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8712AA7" w:rsidRPr="00A11CFE" w:rsidRDefault="58712AA7" w:rsidP="00A9356E">
      <w:pPr>
        <w:pStyle w:val="Podtitul"/>
        <w:jc w:val="both"/>
      </w:pPr>
      <w:bookmarkStart w:id="0" w:name="_GoBack"/>
      <w:bookmarkEnd w:id="0"/>
    </w:p>
    <w:p w:rsidR="00203A8B" w:rsidRPr="008A054D" w:rsidRDefault="002B41A2" w:rsidP="00D73221">
      <w:pPr>
        <w:pStyle w:val="Podtitul"/>
        <w:tabs>
          <w:tab w:val="right" w:pos="8789"/>
        </w:tabs>
        <w:jc w:val="both"/>
        <w:rPr>
          <w:sz w:val="24"/>
          <w:szCs w:val="24"/>
        </w:rPr>
      </w:pPr>
      <w:r w:rsidRPr="008A054D">
        <w:rPr>
          <w:noProof/>
          <w:lang w:eastAsia="cs-CZ"/>
        </w:rPr>
        <w:drawing>
          <wp:anchor distT="0" distB="0" distL="114300" distR="114300" simplePos="0" relativeHeight="251658240" behindDoc="1" locked="0" layoutInCell="0" allowOverlap="1" wp14:anchorId="692655D6" wp14:editId="28D3BDDB">
            <wp:simplePos x="0" y="0"/>
            <wp:positionH relativeFrom="margin">
              <wp:posOffset>-769620</wp:posOffset>
            </wp:positionH>
            <wp:positionV relativeFrom="margin">
              <wp:posOffset>-793115</wp:posOffset>
            </wp:positionV>
            <wp:extent cx="7263765" cy="10273665"/>
            <wp:effectExtent l="0" t="0" r="0" b="0"/>
            <wp:wrapNone/>
            <wp:docPr id="3" name="Obrázek 3" descr="titulka12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88608752" descr="titulka12b-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63765" cy="10273665"/>
                    </a:xfrm>
                    <a:prstGeom prst="rect">
                      <a:avLst/>
                    </a:prstGeom>
                    <a:noFill/>
                  </pic:spPr>
                </pic:pic>
              </a:graphicData>
            </a:graphic>
            <wp14:sizeRelH relativeFrom="page">
              <wp14:pctWidth>0</wp14:pctWidth>
            </wp14:sizeRelH>
            <wp14:sizeRelV relativeFrom="page">
              <wp14:pctHeight>0</wp14:pctHeight>
            </wp14:sizeRelV>
          </wp:anchor>
        </w:drawing>
      </w:r>
      <w:r w:rsidR="00D77165">
        <w:rPr>
          <w:sz w:val="20"/>
          <w:szCs w:val="20"/>
        </w:rPr>
        <w:t xml:space="preserve">   </w:t>
      </w:r>
      <w:r w:rsidR="00D73221" w:rsidRPr="008A054D">
        <w:rPr>
          <w:sz w:val="20"/>
          <w:szCs w:val="20"/>
        </w:rPr>
        <w:tab/>
      </w:r>
    </w:p>
    <w:p w:rsidR="00D73221" w:rsidRPr="008A054D" w:rsidRDefault="00D73221" w:rsidP="00785D3D">
      <w:pPr>
        <w:pStyle w:val="Obsah1"/>
        <w:rPr>
          <w:lang w:eastAsia="cs-CZ"/>
        </w:rPr>
      </w:pPr>
    </w:p>
    <w:p w:rsidR="00D73221" w:rsidRPr="008A054D" w:rsidRDefault="00D73221" w:rsidP="00785D3D">
      <w:pPr>
        <w:pStyle w:val="Obsah1"/>
        <w:rPr>
          <w:lang w:eastAsia="cs-CZ"/>
        </w:rPr>
      </w:pPr>
    </w:p>
    <w:p w:rsidR="00EA5AD7" w:rsidRPr="008A054D" w:rsidRDefault="00EA5AD7" w:rsidP="00EA5AD7">
      <w:pPr>
        <w:spacing w:before="0" w:after="160" w:line="259" w:lineRule="auto"/>
        <w:jc w:val="left"/>
        <w:rPr>
          <w:rFonts w:eastAsia="Calibri"/>
        </w:rPr>
      </w:pPr>
    </w:p>
    <w:p w:rsidR="00EA5AD7" w:rsidRPr="008A054D" w:rsidRDefault="00EA5AD7" w:rsidP="00EA5AD7">
      <w:pPr>
        <w:spacing w:before="0" w:after="160" w:line="259" w:lineRule="auto"/>
        <w:jc w:val="left"/>
        <w:rPr>
          <w:rFonts w:eastAsia="Calibri"/>
        </w:rPr>
      </w:pPr>
    </w:p>
    <w:p w:rsidR="00EA5AD7" w:rsidRPr="008A054D" w:rsidRDefault="00EA5AD7" w:rsidP="00EA5AD7">
      <w:pPr>
        <w:spacing w:before="0" w:after="160"/>
        <w:jc w:val="left"/>
        <w:rPr>
          <w:rFonts w:eastAsia="Calibri"/>
        </w:rPr>
      </w:pPr>
    </w:p>
    <w:p w:rsidR="00EA5AD7" w:rsidRPr="008A054D" w:rsidRDefault="00EA5AD7" w:rsidP="00EA5AD7">
      <w:pPr>
        <w:spacing w:before="0" w:after="160"/>
        <w:jc w:val="center"/>
        <w:rPr>
          <w:rFonts w:eastAsia="Times New Roman"/>
          <w:b/>
          <w:iCs/>
          <w:spacing w:val="15"/>
          <w:sz w:val="28"/>
          <w:szCs w:val="28"/>
        </w:rPr>
      </w:pPr>
    </w:p>
    <w:p w:rsidR="00EA5AD7" w:rsidRPr="008A054D" w:rsidRDefault="00EA5AD7" w:rsidP="00EA5AD7">
      <w:pPr>
        <w:spacing w:before="0" w:after="160"/>
        <w:jc w:val="center"/>
        <w:rPr>
          <w:rFonts w:eastAsia="Times New Roman"/>
          <w:b/>
          <w:iCs/>
          <w:spacing w:val="15"/>
          <w:sz w:val="28"/>
          <w:szCs w:val="28"/>
        </w:rPr>
      </w:pPr>
    </w:p>
    <w:p w:rsidR="002B41A2" w:rsidRPr="008A054D" w:rsidRDefault="002B41A2" w:rsidP="00EA5AD7">
      <w:pPr>
        <w:spacing w:before="0" w:after="160" w:line="240" w:lineRule="auto"/>
        <w:jc w:val="center"/>
        <w:rPr>
          <w:rFonts w:eastAsia="Times New Roman"/>
          <w:b/>
          <w:iCs/>
          <w:spacing w:val="15"/>
          <w:sz w:val="28"/>
          <w:szCs w:val="28"/>
        </w:rPr>
      </w:pPr>
    </w:p>
    <w:p w:rsidR="002B41A2" w:rsidRPr="008A054D" w:rsidRDefault="002B41A2" w:rsidP="00EA5AD7">
      <w:pPr>
        <w:spacing w:before="0" w:after="160" w:line="240" w:lineRule="auto"/>
        <w:jc w:val="center"/>
        <w:rPr>
          <w:rFonts w:eastAsia="Times New Roman"/>
          <w:b/>
          <w:iCs/>
          <w:spacing w:val="15"/>
          <w:sz w:val="28"/>
          <w:szCs w:val="28"/>
        </w:rPr>
      </w:pPr>
    </w:p>
    <w:p w:rsidR="002B41A2" w:rsidRPr="008A054D" w:rsidRDefault="002B41A2" w:rsidP="00EA5AD7">
      <w:pPr>
        <w:spacing w:before="0" w:after="160" w:line="240" w:lineRule="auto"/>
        <w:jc w:val="center"/>
        <w:rPr>
          <w:rFonts w:eastAsia="Times New Roman"/>
          <w:b/>
          <w:iCs/>
          <w:spacing w:val="15"/>
          <w:sz w:val="28"/>
          <w:szCs w:val="28"/>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506A0C" w:rsidP="00EA5AD7">
      <w:pPr>
        <w:spacing w:before="0" w:after="160" w:line="240" w:lineRule="auto"/>
        <w:jc w:val="center"/>
        <w:rPr>
          <w:rFonts w:eastAsia="Calibri"/>
          <w:b/>
        </w:rPr>
      </w:pPr>
      <w:r w:rsidRPr="008A054D">
        <w:rPr>
          <w:noProof/>
          <w:sz w:val="22"/>
          <w:szCs w:val="22"/>
          <w:lang w:eastAsia="cs-CZ"/>
        </w:rPr>
        <mc:AlternateContent>
          <mc:Choice Requires="wps">
            <w:drawing>
              <wp:anchor distT="0" distB="0" distL="114300" distR="114300" simplePos="0" relativeHeight="251658241" behindDoc="0" locked="0" layoutInCell="1" allowOverlap="1" wp14:anchorId="6CC5BB13" wp14:editId="78A6B153">
                <wp:simplePos x="0" y="0"/>
                <wp:positionH relativeFrom="column">
                  <wp:posOffset>-232520</wp:posOffset>
                </wp:positionH>
                <wp:positionV relativeFrom="paragraph">
                  <wp:posOffset>259522</wp:posOffset>
                </wp:positionV>
                <wp:extent cx="5929381" cy="4606290"/>
                <wp:effectExtent l="0" t="0" r="0" b="3810"/>
                <wp:wrapNone/>
                <wp:docPr id="2" name="Textové pole 2"/>
                <wp:cNvGraphicFramePr/>
                <a:graphic xmlns:a="http://schemas.openxmlformats.org/drawingml/2006/main">
                  <a:graphicData uri="http://schemas.microsoft.com/office/word/2010/wordprocessingShape">
                    <wps:wsp>
                      <wps:cNvSpPr txBox="1"/>
                      <wps:spPr>
                        <a:xfrm>
                          <a:off x="0" y="0"/>
                          <a:ext cx="5929381" cy="4606290"/>
                        </a:xfrm>
                        <a:prstGeom prst="rect">
                          <a:avLst/>
                        </a:prstGeom>
                        <a:noFill/>
                        <a:ln w="6350">
                          <a:noFill/>
                        </a:ln>
                        <a:effectLst/>
                      </wps:spPr>
                      <wps:txbx>
                        <w:txbxContent>
                          <w:p w:rsidR="00447655" w:rsidRDefault="00447655" w:rsidP="00791FA8">
                            <w:pPr>
                              <w:spacing w:before="720"/>
                              <w:jc w:val="center"/>
                              <w:rPr>
                                <w:b/>
                                <w:sz w:val="34"/>
                                <w:szCs w:val="34"/>
                              </w:rPr>
                            </w:pPr>
                            <w:r>
                              <w:rPr>
                                <w:b/>
                                <w:sz w:val="34"/>
                                <w:szCs w:val="34"/>
                              </w:rPr>
                              <w:t>NÁRODNÍ KONCEPCE REALIZACE POLITIKY SOUDRŽNOSTI V ČR PO ROCE 2020</w:t>
                            </w:r>
                          </w:p>
                          <w:p w:rsidR="00447655" w:rsidRPr="0052623F" w:rsidRDefault="00447655" w:rsidP="0052623F">
                            <w:pPr>
                              <w:spacing w:before="720"/>
                              <w:jc w:val="center"/>
                              <w:rPr>
                                <w:rFonts w:eastAsia="Calibri"/>
                                <w:b/>
                                <w:color w:val="0070C0"/>
                                <w:sz w:val="28"/>
                                <w:szCs w:val="28"/>
                                <w:lang w:eastAsia="cs-CZ"/>
                              </w:rPr>
                            </w:pPr>
                            <w:r w:rsidRPr="0052623F">
                              <w:rPr>
                                <w:rFonts w:eastAsia="Calibri"/>
                                <w:b/>
                                <w:color w:val="0070C0"/>
                                <w:sz w:val="28"/>
                                <w:szCs w:val="28"/>
                                <w:lang w:eastAsia="cs-CZ"/>
                              </w:rPr>
                              <w:t>PODKLAD PRO DOHODU O PARTNE</w:t>
                            </w:r>
                            <w:r>
                              <w:rPr>
                                <w:rFonts w:eastAsia="Calibri"/>
                                <w:b/>
                                <w:color w:val="0070C0"/>
                                <w:sz w:val="28"/>
                                <w:szCs w:val="28"/>
                                <w:lang w:eastAsia="cs-CZ"/>
                              </w:rPr>
                              <w:t>R</w:t>
                            </w:r>
                            <w:r w:rsidRPr="0052623F">
                              <w:rPr>
                                <w:rFonts w:eastAsia="Calibri"/>
                                <w:b/>
                                <w:color w:val="0070C0"/>
                                <w:sz w:val="28"/>
                                <w:szCs w:val="28"/>
                                <w:lang w:eastAsia="cs-CZ"/>
                              </w:rPr>
                              <w:t xml:space="preserve">STVÍ </w:t>
                            </w:r>
                            <w:r>
                              <w:rPr>
                                <w:rFonts w:eastAsia="Calibri"/>
                                <w:b/>
                                <w:color w:val="0070C0"/>
                                <w:sz w:val="28"/>
                                <w:szCs w:val="28"/>
                                <w:lang w:eastAsia="cs-CZ"/>
                              </w:rPr>
                              <w:br/>
                              <w:t xml:space="preserve">PRO OBDOBÍ </w:t>
                            </w:r>
                            <w:r w:rsidRPr="0052623F">
                              <w:rPr>
                                <w:rFonts w:eastAsia="Calibri"/>
                                <w:b/>
                                <w:color w:val="0070C0"/>
                                <w:sz w:val="28"/>
                                <w:szCs w:val="28"/>
                                <w:lang w:eastAsia="cs-CZ"/>
                              </w:rPr>
                              <w:t>2021-2027</w:t>
                            </w: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r>
                              <w:rPr>
                                <w:rFonts w:eastAsia="Calibri"/>
                                <w:sz w:val="28"/>
                                <w:szCs w:val="28"/>
                                <w:lang w:eastAsia="cs-CZ"/>
                              </w:rPr>
                              <w:t>červenec</w:t>
                            </w:r>
                            <w:r w:rsidRPr="00116053">
                              <w:rPr>
                                <w:rFonts w:eastAsia="Calibri"/>
                                <w:sz w:val="28"/>
                                <w:szCs w:val="28"/>
                                <w:lang w:eastAsia="cs-CZ"/>
                              </w:rPr>
                              <w:t xml:space="preserve"> 201</w:t>
                            </w:r>
                            <w:r>
                              <w:rPr>
                                <w:rFonts w:eastAsia="Calibri"/>
                                <w:sz w:val="28"/>
                                <w:szCs w:val="28"/>
                                <w:lang w:eastAsia="cs-CZ"/>
                              </w:rPr>
                              <w:t>9</w:t>
                            </w:r>
                          </w:p>
                          <w:p w:rsidR="00447655" w:rsidRPr="00116053" w:rsidRDefault="00447655" w:rsidP="00506A0C">
                            <w:pPr>
                              <w:spacing w:before="0"/>
                              <w:jc w:val="left"/>
                              <w:rPr>
                                <w:rFonts w:eastAsia="Calibri"/>
                                <w:sz w:val="28"/>
                                <w:szCs w:val="28"/>
                                <w:lang w:eastAsia="cs-CZ"/>
                              </w:rPr>
                            </w:pPr>
                            <w:r>
                              <w:rPr>
                                <w:rFonts w:eastAsia="Calibri"/>
                                <w:sz w:val="28"/>
                                <w:szCs w:val="28"/>
                                <w:lang w:eastAsia="cs-CZ"/>
                              </w:rPr>
                              <w:t>MMR-NOK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8.3pt;margin-top:20.45pt;width:466.9pt;height:36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" filled="f" stroked="f" strokeweight=".5pt">
                <v:textbox>
                  <w:txbxContent>
                    <w:p w:rsidR="00447655" w:rsidRDefault="00447655" w:rsidP="00791FA8">
                      <w:pPr>
                        <w:spacing w:before="720"/>
                        <w:jc w:val="center"/>
                        <w:rPr>
                          <w:b/>
                          <w:sz w:val="34"/>
                          <w:szCs w:val="34"/>
                        </w:rPr>
                      </w:pPr>
                      <w:r>
                        <w:rPr>
                          <w:b/>
                          <w:sz w:val="34"/>
                          <w:szCs w:val="34"/>
                        </w:rPr>
                        <w:t>NÁRODNÍ KONCEPCE REALIZACE POLITIKY SOUDRŽNOSTI V ČR PO ROCE 2020</w:t>
                      </w:r>
                    </w:p>
                    <w:p w:rsidR="00447655" w:rsidRPr="0052623F" w:rsidRDefault="00447655" w:rsidP="0052623F">
                      <w:pPr>
                        <w:spacing w:before="720"/>
                        <w:jc w:val="center"/>
                        <w:rPr>
                          <w:rFonts w:eastAsia="Calibri"/>
                          <w:b/>
                          <w:color w:val="0070C0"/>
                          <w:sz w:val="28"/>
                          <w:szCs w:val="28"/>
                          <w:lang w:eastAsia="cs-CZ"/>
                        </w:rPr>
                      </w:pPr>
                      <w:r w:rsidRPr="0052623F">
                        <w:rPr>
                          <w:rFonts w:eastAsia="Calibri"/>
                          <w:b/>
                          <w:color w:val="0070C0"/>
                          <w:sz w:val="28"/>
                          <w:szCs w:val="28"/>
                          <w:lang w:eastAsia="cs-CZ"/>
                        </w:rPr>
                        <w:t>PODKLAD PRO DOHODU O PARTNE</w:t>
                      </w:r>
                      <w:r>
                        <w:rPr>
                          <w:rFonts w:eastAsia="Calibri"/>
                          <w:b/>
                          <w:color w:val="0070C0"/>
                          <w:sz w:val="28"/>
                          <w:szCs w:val="28"/>
                          <w:lang w:eastAsia="cs-CZ"/>
                        </w:rPr>
                        <w:t>R</w:t>
                      </w:r>
                      <w:r w:rsidRPr="0052623F">
                        <w:rPr>
                          <w:rFonts w:eastAsia="Calibri"/>
                          <w:b/>
                          <w:color w:val="0070C0"/>
                          <w:sz w:val="28"/>
                          <w:szCs w:val="28"/>
                          <w:lang w:eastAsia="cs-CZ"/>
                        </w:rPr>
                        <w:t xml:space="preserve">STVÍ </w:t>
                      </w:r>
                      <w:r>
                        <w:rPr>
                          <w:rFonts w:eastAsia="Calibri"/>
                          <w:b/>
                          <w:color w:val="0070C0"/>
                          <w:sz w:val="28"/>
                          <w:szCs w:val="28"/>
                          <w:lang w:eastAsia="cs-CZ"/>
                        </w:rPr>
                        <w:br/>
                        <w:t xml:space="preserve">PRO OBDOBÍ </w:t>
                      </w:r>
                      <w:r w:rsidRPr="0052623F">
                        <w:rPr>
                          <w:rFonts w:eastAsia="Calibri"/>
                          <w:b/>
                          <w:color w:val="0070C0"/>
                          <w:sz w:val="28"/>
                          <w:szCs w:val="28"/>
                          <w:lang w:eastAsia="cs-CZ"/>
                        </w:rPr>
                        <w:t>2021-2027</w:t>
                      </w: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p>
                    <w:p w:rsidR="00447655" w:rsidRDefault="00447655" w:rsidP="00506A0C">
                      <w:pPr>
                        <w:spacing w:before="0"/>
                        <w:jc w:val="left"/>
                        <w:rPr>
                          <w:rFonts w:eastAsia="Calibri"/>
                          <w:sz w:val="28"/>
                          <w:szCs w:val="28"/>
                          <w:lang w:eastAsia="cs-CZ"/>
                        </w:rPr>
                      </w:pPr>
                      <w:r>
                        <w:rPr>
                          <w:rFonts w:eastAsia="Calibri"/>
                          <w:sz w:val="28"/>
                          <w:szCs w:val="28"/>
                          <w:lang w:eastAsia="cs-CZ"/>
                        </w:rPr>
                        <w:t>červenec</w:t>
                      </w:r>
                      <w:r w:rsidRPr="00116053">
                        <w:rPr>
                          <w:rFonts w:eastAsia="Calibri"/>
                          <w:sz w:val="28"/>
                          <w:szCs w:val="28"/>
                          <w:lang w:eastAsia="cs-CZ"/>
                        </w:rPr>
                        <w:t xml:space="preserve"> 201</w:t>
                      </w:r>
                      <w:r>
                        <w:rPr>
                          <w:rFonts w:eastAsia="Calibri"/>
                          <w:sz w:val="28"/>
                          <w:szCs w:val="28"/>
                          <w:lang w:eastAsia="cs-CZ"/>
                        </w:rPr>
                        <w:t>9</w:t>
                      </w:r>
                    </w:p>
                    <w:p w:rsidR="00447655" w:rsidRPr="00116053" w:rsidRDefault="00447655" w:rsidP="00506A0C">
                      <w:pPr>
                        <w:spacing w:before="0"/>
                        <w:jc w:val="left"/>
                        <w:rPr>
                          <w:rFonts w:eastAsia="Calibri"/>
                          <w:sz w:val="28"/>
                          <w:szCs w:val="28"/>
                          <w:lang w:eastAsia="cs-CZ"/>
                        </w:rPr>
                      </w:pPr>
                      <w:r>
                        <w:rPr>
                          <w:rFonts w:eastAsia="Calibri"/>
                          <w:sz w:val="28"/>
                          <w:szCs w:val="28"/>
                          <w:lang w:eastAsia="cs-CZ"/>
                        </w:rPr>
                        <w:t>MMR-NOK</w:t>
                      </w:r>
                    </w:p>
                  </w:txbxContent>
                </v:textbox>
              </v:shape>
            </w:pict>
          </mc:Fallback>
        </mc:AlternateContent>
      </w: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b/>
        </w:rPr>
      </w:pPr>
    </w:p>
    <w:p w:rsidR="00EA5AD7" w:rsidRPr="008A054D" w:rsidRDefault="00EA5AD7" w:rsidP="00EA5AD7">
      <w:pPr>
        <w:spacing w:before="0" w:after="160" w:line="240" w:lineRule="auto"/>
        <w:jc w:val="center"/>
        <w:rPr>
          <w:rFonts w:eastAsia="Calibri"/>
          <w:sz w:val="28"/>
          <w:szCs w:val="28"/>
        </w:rPr>
      </w:pPr>
    </w:p>
    <w:p w:rsidR="00EA5AD7" w:rsidRPr="008A054D" w:rsidRDefault="00EA5AD7" w:rsidP="00EA5AD7">
      <w:pPr>
        <w:spacing w:before="0" w:after="160" w:line="240" w:lineRule="auto"/>
        <w:jc w:val="center"/>
        <w:rPr>
          <w:rFonts w:eastAsia="Calibri"/>
          <w:sz w:val="28"/>
          <w:szCs w:val="28"/>
        </w:rPr>
      </w:pPr>
    </w:p>
    <w:p w:rsidR="00EA5AD7" w:rsidRPr="008A054D" w:rsidRDefault="00EA5AD7" w:rsidP="004249A2">
      <w:pPr>
        <w:spacing w:before="0" w:after="160" w:line="240" w:lineRule="auto"/>
        <w:rPr>
          <w:rFonts w:eastAsia="Calibri"/>
          <w:sz w:val="28"/>
          <w:szCs w:val="28"/>
        </w:rPr>
      </w:pPr>
    </w:p>
    <w:p w:rsidR="00155B86" w:rsidRPr="008A054D" w:rsidRDefault="00155B86" w:rsidP="003152D2"/>
    <w:p w:rsidR="00155B86" w:rsidRPr="008A054D" w:rsidRDefault="00155B86" w:rsidP="003152D2">
      <w:pPr>
        <w:pStyle w:val="Podtitul"/>
      </w:pPr>
    </w:p>
    <w:p w:rsidR="00155B86" w:rsidRPr="008A054D" w:rsidRDefault="00155B86" w:rsidP="003152D2"/>
    <w:p w:rsidR="00255B3F" w:rsidRPr="008A054D" w:rsidRDefault="00255B3F" w:rsidP="003152D2">
      <w:bookmarkStart w:id="1" w:name="_Toc401842233"/>
      <w:bookmarkStart w:id="2" w:name="_Toc401148475"/>
      <w:bookmarkStart w:id="3" w:name="_Toc385492638"/>
      <w:bookmarkStart w:id="4" w:name="_Toc352675895"/>
    </w:p>
    <w:bookmarkEnd w:id="4" w:displacedByCustomXml="next"/>
    <w:bookmarkEnd w:id="3" w:displacedByCustomXml="next"/>
    <w:bookmarkEnd w:id="2" w:displacedByCustomXml="next"/>
    <w:bookmarkEnd w:id="1" w:displacedByCustomXml="next"/>
    <w:sdt>
      <w:sdtPr>
        <w:rPr>
          <w:rFonts w:ascii="Arial" w:eastAsia="Arial Unicode MS" w:hAnsi="Arial" w:cs="Arial"/>
          <w:b w:val="0"/>
          <w:bCs w:val="0"/>
          <w:color w:val="auto"/>
          <w:sz w:val="20"/>
          <w:szCs w:val="20"/>
        </w:rPr>
        <w:id w:val="-437683514"/>
        <w:docPartObj>
          <w:docPartGallery w:val="Table of Contents"/>
          <w:docPartUnique/>
        </w:docPartObj>
      </w:sdtPr>
      <w:sdtEndPr/>
      <w:sdtContent>
        <w:p w:rsidR="00053B1D" w:rsidRPr="00F427D2" w:rsidRDefault="00053B1D" w:rsidP="00053B1D">
          <w:pPr>
            <w:pStyle w:val="Nadpisobsahu"/>
            <w:spacing w:before="0" w:line="240" w:lineRule="auto"/>
            <w:rPr>
              <w:rFonts w:ascii="Arial" w:hAnsi="Arial" w:cs="Arial"/>
            </w:rPr>
          </w:pPr>
          <w:r w:rsidRPr="00F427D2">
            <w:rPr>
              <w:rFonts w:ascii="Arial" w:hAnsi="Arial" w:cs="Arial"/>
            </w:rPr>
            <w:t>Obsah</w:t>
          </w:r>
        </w:p>
        <w:p w:rsidR="008121E5" w:rsidRDefault="00053B1D">
          <w:pPr>
            <w:pStyle w:val="Obsah1"/>
            <w:rPr>
              <w:rFonts w:asciiTheme="minorHAnsi" w:eastAsiaTheme="minorEastAsia" w:hAnsiTheme="minorHAnsi" w:cstheme="minorBidi"/>
              <w:noProof/>
              <w:sz w:val="22"/>
              <w:szCs w:val="22"/>
              <w:lang w:eastAsia="cs-CZ"/>
            </w:rPr>
          </w:pPr>
          <w:r w:rsidRPr="00F427D2">
            <w:rPr>
              <w:b/>
              <w:bCs/>
            </w:rPr>
            <w:fldChar w:fldCharType="begin"/>
          </w:r>
          <w:r w:rsidRPr="00F427D2">
            <w:rPr>
              <w:b/>
              <w:bCs/>
            </w:rPr>
            <w:instrText xml:space="preserve"> TOC \o "1-3" \h \z \u </w:instrText>
          </w:r>
          <w:r w:rsidRPr="00F427D2">
            <w:rPr>
              <w:b/>
            </w:rPr>
            <w:fldChar w:fldCharType="separate"/>
          </w:r>
          <w:hyperlink w:anchor="_Toc13828187" w:history="1">
            <w:r w:rsidR="008121E5" w:rsidRPr="00D47AF6">
              <w:rPr>
                <w:rStyle w:val="Hypertextovodkaz"/>
                <w:noProof/>
              </w:rPr>
              <w:t>Úvod</w:t>
            </w:r>
            <w:r w:rsidR="008121E5">
              <w:rPr>
                <w:noProof/>
                <w:webHidden/>
              </w:rPr>
              <w:tab/>
            </w:r>
            <w:r w:rsidR="008121E5">
              <w:rPr>
                <w:noProof/>
                <w:webHidden/>
              </w:rPr>
              <w:fldChar w:fldCharType="begin"/>
            </w:r>
            <w:r w:rsidR="008121E5">
              <w:rPr>
                <w:noProof/>
                <w:webHidden/>
              </w:rPr>
              <w:instrText xml:space="preserve"> PAGEREF _Toc13828187 \h </w:instrText>
            </w:r>
            <w:r w:rsidR="008121E5">
              <w:rPr>
                <w:noProof/>
                <w:webHidden/>
              </w:rPr>
            </w:r>
            <w:r w:rsidR="008121E5">
              <w:rPr>
                <w:noProof/>
                <w:webHidden/>
              </w:rPr>
              <w:fldChar w:fldCharType="separate"/>
            </w:r>
            <w:r w:rsidR="00557AE9">
              <w:rPr>
                <w:noProof/>
                <w:webHidden/>
              </w:rPr>
              <w:t>6</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188" w:history="1">
            <w:r w:rsidR="008121E5" w:rsidRPr="00D47AF6">
              <w:rPr>
                <w:rStyle w:val="Hypertextovodkaz"/>
                <w:noProof/>
              </w:rPr>
              <w:t>Shrnutí změn oproti verzi NKR projednané v lednu 2019</w:t>
            </w:r>
            <w:r w:rsidR="008121E5">
              <w:rPr>
                <w:noProof/>
                <w:webHidden/>
              </w:rPr>
              <w:tab/>
            </w:r>
            <w:r w:rsidR="008121E5">
              <w:rPr>
                <w:noProof/>
                <w:webHidden/>
              </w:rPr>
              <w:fldChar w:fldCharType="begin"/>
            </w:r>
            <w:r w:rsidR="008121E5">
              <w:rPr>
                <w:noProof/>
                <w:webHidden/>
              </w:rPr>
              <w:instrText xml:space="preserve"> PAGEREF _Toc13828188 \h </w:instrText>
            </w:r>
            <w:r w:rsidR="008121E5">
              <w:rPr>
                <w:noProof/>
                <w:webHidden/>
              </w:rPr>
            </w:r>
            <w:r w:rsidR="008121E5">
              <w:rPr>
                <w:noProof/>
                <w:webHidden/>
              </w:rPr>
              <w:fldChar w:fldCharType="separate"/>
            </w:r>
            <w:r w:rsidR="00557AE9">
              <w:rPr>
                <w:noProof/>
                <w:webHidden/>
              </w:rPr>
              <w:t>7</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189" w:history="1">
            <w:r w:rsidR="008121E5" w:rsidRPr="00D47AF6">
              <w:rPr>
                <w:rStyle w:val="Hypertextovodkaz"/>
                <w:rFonts w:cs="Times New Roman"/>
                <w:noProof/>
              </w:rPr>
              <w:t>1.</w:t>
            </w:r>
            <w:r w:rsidR="008121E5">
              <w:rPr>
                <w:rFonts w:asciiTheme="minorHAnsi" w:eastAsiaTheme="minorEastAsia" w:hAnsiTheme="minorHAnsi" w:cstheme="minorBidi"/>
                <w:noProof/>
                <w:sz w:val="22"/>
                <w:szCs w:val="22"/>
                <w:lang w:eastAsia="cs-CZ"/>
              </w:rPr>
              <w:tab/>
            </w:r>
            <w:r w:rsidR="008121E5" w:rsidRPr="00D47AF6">
              <w:rPr>
                <w:rStyle w:val="Hypertextovodkaz"/>
                <w:noProof/>
              </w:rPr>
              <w:t>ANALYTICKÁ ČÁST</w:t>
            </w:r>
            <w:r w:rsidR="008121E5">
              <w:rPr>
                <w:noProof/>
                <w:webHidden/>
              </w:rPr>
              <w:tab/>
            </w:r>
            <w:r w:rsidR="008121E5">
              <w:rPr>
                <w:noProof/>
                <w:webHidden/>
              </w:rPr>
              <w:fldChar w:fldCharType="begin"/>
            </w:r>
            <w:r w:rsidR="008121E5">
              <w:rPr>
                <w:noProof/>
                <w:webHidden/>
              </w:rPr>
              <w:instrText xml:space="preserve"> PAGEREF _Toc13828189 \h </w:instrText>
            </w:r>
            <w:r w:rsidR="008121E5">
              <w:rPr>
                <w:noProof/>
                <w:webHidden/>
              </w:rPr>
            </w:r>
            <w:r w:rsidR="008121E5">
              <w:rPr>
                <w:noProof/>
                <w:webHidden/>
              </w:rPr>
              <w:fldChar w:fldCharType="separate"/>
            </w:r>
            <w:r w:rsidR="00557AE9">
              <w:rPr>
                <w:noProof/>
                <w:webHidden/>
              </w:rPr>
              <w:t>10</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190" w:history="1">
            <w:r w:rsidR="008121E5" w:rsidRPr="00D47AF6">
              <w:rPr>
                <w:rStyle w:val="Hypertextovodkaz"/>
                <w:noProof/>
              </w:rPr>
              <w:t>1.1.</w:t>
            </w:r>
            <w:r w:rsidR="008121E5">
              <w:rPr>
                <w:rFonts w:asciiTheme="minorHAnsi" w:eastAsiaTheme="minorEastAsia" w:hAnsiTheme="minorHAnsi" w:cstheme="minorBidi"/>
                <w:noProof/>
                <w:sz w:val="22"/>
                <w:szCs w:val="22"/>
                <w:lang w:eastAsia="cs-CZ"/>
              </w:rPr>
              <w:tab/>
            </w:r>
            <w:r w:rsidR="008121E5" w:rsidRPr="00D47AF6">
              <w:rPr>
                <w:rStyle w:val="Hypertextovodkaz"/>
                <w:noProof/>
              </w:rPr>
              <w:t>Makroekonomická analýza – shrnutí</w:t>
            </w:r>
            <w:r w:rsidR="008121E5">
              <w:rPr>
                <w:noProof/>
                <w:webHidden/>
              </w:rPr>
              <w:tab/>
            </w:r>
            <w:r w:rsidR="008121E5">
              <w:rPr>
                <w:noProof/>
                <w:webHidden/>
              </w:rPr>
              <w:fldChar w:fldCharType="begin"/>
            </w:r>
            <w:r w:rsidR="008121E5">
              <w:rPr>
                <w:noProof/>
                <w:webHidden/>
              </w:rPr>
              <w:instrText xml:space="preserve"> PAGEREF _Toc13828190 \h </w:instrText>
            </w:r>
            <w:r w:rsidR="008121E5">
              <w:rPr>
                <w:noProof/>
                <w:webHidden/>
              </w:rPr>
            </w:r>
            <w:r w:rsidR="008121E5">
              <w:rPr>
                <w:noProof/>
                <w:webHidden/>
              </w:rPr>
              <w:fldChar w:fldCharType="separate"/>
            </w:r>
            <w:r w:rsidR="00557AE9">
              <w:rPr>
                <w:noProof/>
                <w:webHidden/>
              </w:rPr>
              <w:t>10</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1" w:history="1">
            <w:r w:rsidR="008121E5" w:rsidRPr="00D47AF6">
              <w:rPr>
                <w:rStyle w:val="Hypertextovodkaz"/>
                <w:noProof/>
              </w:rPr>
              <w:t>1.1.1.</w:t>
            </w:r>
            <w:r w:rsidR="008121E5">
              <w:rPr>
                <w:rFonts w:asciiTheme="minorHAnsi" w:eastAsiaTheme="minorEastAsia" w:hAnsiTheme="minorHAnsi" w:cstheme="minorBidi"/>
                <w:noProof/>
                <w:sz w:val="22"/>
                <w:szCs w:val="22"/>
                <w:lang w:eastAsia="cs-CZ"/>
              </w:rPr>
              <w:tab/>
            </w:r>
            <w:r w:rsidR="008121E5" w:rsidRPr="00D47AF6">
              <w:rPr>
                <w:rStyle w:val="Hypertextovodkaz"/>
                <w:noProof/>
              </w:rPr>
              <w:t>Situace ČR v EU</w:t>
            </w:r>
            <w:r w:rsidR="008121E5">
              <w:rPr>
                <w:noProof/>
                <w:webHidden/>
              </w:rPr>
              <w:tab/>
            </w:r>
            <w:r w:rsidR="008121E5">
              <w:rPr>
                <w:noProof/>
                <w:webHidden/>
              </w:rPr>
              <w:fldChar w:fldCharType="begin"/>
            </w:r>
            <w:r w:rsidR="008121E5">
              <w:rPr>
                <w:noProof/>
                <w:webHidden/>
              </w:rPr>
              <w:instrText xml:space="preserve"> PAGEREF _Toc13828191 \h </w:instrText>
            </w:r>
            <w:r w:rsidR="008121E5">
              <w:rPr>
                <w:noProof/>
                <w:webHidden/>
              </w:rPr>
            </w:r>
            <w:r w:rsidR="008121E5">
              <w:rPr>
                <w:noProof/>
                <w:webHidden/>
              </w:rPr>
              <w:fldChar w:fldCharType="separate"/>
            </w:r>
            <w:r w:rsidR="00557AE9">
              <w:rPr>
                <w:noProof/>
                <w:webHidden/>
              </w:rPr>
              <w:t>10</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2" w:history="1">
            <w:r w:rsidR="008121E5" w:rsidRPr="00D47AF6">
              <w:rPr>
                <w:rStyle w:val="Hypertextovodkaz"/>
                <w:noProof/>
              </w:rPr>
              <w:t>1.1.2.</w:t>
            </w:r>
            <w:r w:rsidR="008121E5">
              <w:rPr>
                <w:rFonts w:asciiTheme="minorHAnsi" w:eastAsiaTheme="minorEastAsia" w:hAnsiTheme="minorHAnsi" w:cstheme="minorBidi"/>
                <w:noProof/>
                <w:sz w:val="22"/>
                <w:szCs w:val="22"/>
                <w:lang w:eastAsia="cs-CZ"/>
              </w:rPr>
              <w:tab/>
            </w:r>
            <w:r w:rsidR="008121E5" w:rsidRPr="00D47AF6">
              <w:rPr>
                <w:rStyle w:val="Hypertextovodkaz"/>
                <w:noProof/>
              </w:rPr>
              <w:t>Domácí kapitál a zahraniční investice</w:t>
            </w:r>
            <w:r w:rsidR="008121E5">
              <w:rPr>
                <w:noProof/>
                <w:webHidden/>
              </w:rPr>
              <w:tab/>
            </w:r>
            <w:r w:rsidR="008121E5">
              <w:rPr>
                <w:noProof/>
                <w:webHidden/>
              </w:rPr>
              <w:fldChar w:fldCharType="begin"/>
            </w:r>
            <w:r w:rsidR="008121E5">
              <w:rPr>
                <w:noProof/>
                <w:webHidden/>
              </w:rPr>
              <w:instrText xml:space="preserve"> PAGEREF _Toc13828192 \h </w:instrText>
            </w:r>
            <w:r w:rsidR="008121E5">
              <w:rPr>
                <w:noProof/>
                <w:webHidden/>
              </w:rPr>
            </w:r>
            <w:r w:rsidR="008121E5">
              <w:rPr>
                <w:noProof/>
                <w:webHidden/>
              </w:rPr>
              <w:fldChar w:fldCharType="separate"/>
            </w:r>
            <w:r w:rsidR="00557AE9">
              <w:rPr>
                <w:noProof/>
                <w:webHidden/>
              </w:rPr>
              <w:t>10</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3" w:history="1">
            <w:r w:rsidR="008121E5" w:rsidRPr="00D47AF6">
              <w:rPr>
                <w:rStyle w:val="Hypertextovodkaz"/>
                <w:noProof/>
              </w:rPr>
              <w:t>1.1.3.</w:t>
            </w:r>
            <w:r w:rsidR="008121E5">
              <w:rPr>
                <w:rFonts w:asciiTheme="minorHAnsi" w:eastAsiaTheme="minorEastAsia" w:hAnsiTheme="minorHAnsi" w:cstheme="minorBidi"/>
                <w:noProof/>
                <w:sz w:val="22"/>
                <w:szCs w:val="22"/>
                <w:lang w:eastAsia="cs-CZ"/>
              </w:rPr>
              <w:tab/>
            </w:r>
            <w:r w:rsidR="008121E5" w:rsidRPr="00D47AF6">
              <w:rPr>
                <w:rStyle w:val="Hypertextovodkaz"/>
                <w:noProof/>
              </w:rPr>
              <w:t>Omezení ekonomického růstu</w:t>
            </w:r>
            <w:r w:rsidR="008121E5">
              <w:rPr>
                <w:noProof/>
                <w:webHidden/>
              </w:rPr>
              <w:tab/>
            </w:r>
            <w:r w:rsidR="008121E5">
              <w:rPr>
                <w:noProof/>
                <w:webHidden/>
              </w:rPr>
              <w:fldChar w:fldCharType="begin"/>
            </w:r>
            <w:r w:rsidR="008121E5">
              <w:rPr>
                <w:noProof/>
                <w:webHidden/>
              </w:rPr>
              <w:instrText xml:space="preserve"> PAGEREF _Toc13828193 \h </w:instrText>
            </w:r>
            <w:r w:rsidR="008121E5">
              <w:rPr>
                <w:noProof/>
                <w:webHidden/>
              </w:rPr>
            </w:r>
            <w:r w:rsidR="008121E5">
              <w:rPr>
                <w:noProof/>
                <w:webHidden/>
              </w:rPr>
              <w:fldChar w:fldCharType="separate"/>
            </w:r>
            <w:r w:rsidR="00557AE9">
              <w:rPr>
                <w:noProof/>
                <w:webHidden/>
              </w:rPr>
              <w:t>11</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4" w:history="1">
            <w:r w:rsidR="008121E5" w:rsidRPr="00D47AF6">
              <w:rPr>
                <w:rStyle w:val="Hypertextovodkaz"/>
                <w:noProof/>
              </w:rPr>
              <w:t>1.1.4.</w:t>
            </w:r>
            <w:r w:rsidR="008121E5">
              <w:rPr>
                <w:rFonts w:asciiTheme="minorHAnsi" w:eastAsiaTheme="minorEastAsia" w:hAnsiTheme="minorHAnsi" w:cstheme="minorBidi"/>
                <w:noProof/>
                <w:sz w:val="22"/>
                <w:szCs w:val="22"/>
                <w:lang w:eastAsia="cs-CZ"/>
              </w:rPr>
              <w:tab/>
            </w:r>
            <w:r w:rsidR="008121E5" w:rsidRPr="00D47AF6">
              <w:rPr>
                <w:rStyle w:val="Hypertextovodkaz"/>
                <w:noProof/>
              </w:rPr>
              <w:t>Vládní výdaje a veřejná správa</w:t>
            </w:r>
            <w:r w:rsidR="008121E5">
              <w:rPr>
                <w:noProof/>
                <w:webHidden/>
              </w:rPr>
              <w:tab/>
            </w:r>
            <w:r w:rsidR="008121E5">
              <w:rPr>
                <w:noProof/>
                <w:webHidden/>
              </w:rPr>
              <w:fldChar w:fldCharType="begin"/>
            </w:r>
            <w:r w:rsidR="008121E5">
              <w:rPr>
                <w:noProof/>
                <w:webHidden/>
              </w:rPr>
              <w:instrText xml:space="preserve"> PAGEREF _Toc13828194 \h </w:instrText>
            </w:r>
            <w:r w:rsidR="008121E5">
              <w:rPr>
                <w:noProof/>
                <w:webHidden/>
              </w:rPr>
            </w:r>
            <w:r w:rsidR="008121E5">
              <w:rPr>
                <w:noProof/>
                <w:webHidden/>
              </w:rPr>
              <w:fldChar w:fldCharType="separate"/>
            </w:r>
            <w:r w:rsidR="00557AE9">
              <w:rPr>
                <w:noProof/>
                <w:webHidden/>
              </w:rPr>
              <w:t>11</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5" w:history="1">
            <w:r w:rsidR="008121E5" w:rsidRPr="00D47AF6">
              <w:rPr>
                <w:rStyle w:val="Hypertextovodkaz"/>
                <w:noProof/>
              </w:rPr>
              <w:t>1.1.5.</w:t>
            </w:r>
            <w:r w:rsidR="008121E5">
              <w:rPr>
                <w:rFonts w:asciiTheme="minorHAnsi" w:eastAsiaTheme="minorEastAsia" w:hAnsiTheme="minorHAnsi" w:cstheme="minorBidi"/>
                <w:noProof/>
                <w:sz w:val="22"/>
                <w:szCs w:val="22"/>
                <w:lang w:eastAsia="cs-CZ"/>
              </w:rPr>
              <w:tab/>
            </w:r>
            <w:r w:rsidR="008121E5" w:rsidRPr="00D47AF6">
              <w:rPr>
                <w:rStyle w:val="Hypertextovodkaz"/>
                <w:noProof/>
              </w:rPr>
              <w:t>Kvalita života v ČR</w:t>
            </w:r>
            <w:r w:rsidR="008121E5">
              <w:rPr>
                <w:noProof/>
                <w:webHidden/>
              </w:rPr>
              <w:tab/>
            </w:r>
            <w:r w:rsidR="008121E5">
              <w:rPr>
                <w:noProof/>
                <w:webHidden/>
              </w:rPr>
              <w:fldChar w:fldCharType="begin"/>
            </w:r>
            <w:r w:rsidR="008121E5">
              <w:rPr>
                <w:noProof/>
                <w:webHidden/>
              </w:rPr>
              <w:instrText xml:space="preserve"> PAGEREF _Toc13828195 \h </w:instrText>
            </w:r>
            <w:r w:rsidR="008121E5">
              <w:rPr>
                <w:noProof/>
                <w:webHidden/>
              </w:rPr>
            </w:r>
            <w:r w:rsidR="008121E5">
              <w:rPr>
                <w:noProof/>
                <w:webHidden/>
              </w:rPr>
              <w:fldChar w:fldCharType="separate"/>
            </w:r>
            <w:r w:rsidR="00557AE9">
              <w:rPr>
                <w:noProof/>
                <w:webHidden/>
              </w:rPr>
              <w:t>11</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6" w:history="1">
            <w:r w:rsidR="008121E5" w:rsidRPr="00D47AF6">
              <w:rPr>
                <w:rStyle w:val="Hypertextovodkaz"/>
                <w:noProof/>
              </w:rPr>
              <w:t>1.1.6.</w:t>
            </w:r>
            <w:r w:rsidR="008121E5">
              <w:rPr>
                <w:rFonts w:asciiTheme="minorHAnsi" w:eastAsiaTheme="minorEastAsia" w:hAnsiTheme="minorHAnsi" w:cstheme="minorBidi"/>
                <w:noProof/>
                <w:sz w:val="22"/>
                <w:szCs w:val="22"/>
                <w:lang w:eastAsia="cs-CZ"/>
              </w:rPr>
              <w:tab/>
            </w:r>
            <w:r w:rsidR="008121E5" w:rsidRPr="00D47AF6">
              <w:rPr>
                <w:rStyle w:val="Hypertextovodkaz"/>
                <w:noProof/>
              </w:rPr>
              <w:t>Celkové shrnutí a výhled</w:t>
            </w:r>
            <w:r w:rsidR="008121E5">
              <w:rPr>
                <w:noProof/>
                <w:webHidden/>
              </w:rPr>
              <w:tab/>
            </w:r>
            <w:r w:rsidR="008121E5">
              <w:rPr>
                <w:noProof/>
                <w:webHidden/>
              </w:rPr>
              <w:fldChar w:fldCharType="begin"/>
            </w:r>
            <w:r w:rsidR="008121E5">
              <w:rPr>
                <w:noProof/>
                <w:webHidden/>
              </w:rPr>
              <w:instrText xml:space="preserve"> PAGEREF _Toc13828196 \h </w:instrText>
            </w:r>
            <w:r w:rsidR="008121E5">
              <w:rPr>
                <w:noProof/>
                <w:webHidden/>
              </w:rPr>
            </w:r>
            <w:r w:rsidR="008121E5">
              <w:rPr>
                <w:noProof/>
                <w:webHidden/>
              </w:rPr>
              <w:fldChar w:fldCharType="separate"/>
            </w:r>
            <w:r w:rsidR="00557AE9">
              <w:rPr>
                <w:noProof/>
                <w:webHidden/>
              </w:rPr>
              <w:t>11</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197" w:history="1">
            <w:r w:rsidR="008121E5" w:rsidRPr="00D47AF6">
              <w:rPr>
                <w:rStyle w:val="Hypertextovodkaz"/>
                <w:noProof/>
              </w:rPr>
              <w:t>1.2.</w:t>
            </w:r>
            <w:r w:rsidR="008121E5">
              <w:rPr>
                <w:rFonts w:asciiTheme="minorHAnsi" w:eastAsiaTheme="minorEastAsia" w:hAnsiTheme="minorHAnsi" w:cstheme="minorBidi"/>
                <w:noProof/>
                <w:sz w:val="22"/>
                <w:szCs w:val="22"/>
                <w:lang w:eastAsia="cs-CZ"/>
              </w:rPr>
              <w:tab/>
            </w:r>
            <w:r w:rsidR="008121E5" w:rsidRPr="00D47AF6">
              <w:rPr>
                <w:rStyle w:val="Hypertextovodkaz"/>
                <w:noProof/>
              </w:rPr>
              <w:t>Sektorové oblasti – shrnutí</w:t>
            </w:r>
            <w:r w:rsidR="008121E5">
              <w:rPr>
                <w:noProof/>
                <w:webHidden/>
              </w:rPr>
              <w:tab/>
            </w:r>
            <w:r w:rsidR="008121E5">
              <w:rPr>
                <w:noProof/>
                <w:webHidden/>
              </w:rPr>
              <w:fldChar w:fldCharType="begin"/>
            </w:r>
            <w:r w:rsidR="008121E5">
              <w:rPr>
                <w:noProof/>
                <w:webHidden/>
              </w:rPr>
              <w:instrText xml:space="preserve"> PAGEREF _Toc13828197 \h </w:instrText>
            </w:r>
            <w:r w:rsidR="008121E5">
              <w:rPr>
                <w:noProof/>
                <w:webHidden/>
              </w:rPr>
            </w:r>
            <w:r w:rsidR="008121E5">
              <w:rPr>
                <w:noProof/>
                <w:webHidden/>
              </w:rPr>
              <w:fldChar w:fldCharType="separate"/>
            </w:r>
            <w:r w:rsidR="00557AE9">
              <w:rPr>
                <w:noProof/>
                <w:webHidden/>
              </w:rPr>
              <w:t>12</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8" w:history="1">
            <w:r w:rsidR="008121E5" w:rsidRPr="00D47AF6">
              <w:rPr>
                <w:rStyle w:val="Hypertextovodkaz"/>
                <w:noProof/>
              </w:rPr>
              <w:t>1.2.1.</w:t>
            </w:r>
            <w:r w:rsidR="008121E5">
              <w:rPr>
                <w:rFonts w:asciiTheme="minorHAnsi" w:eastAsiaTheme="minorEastAsia" w:hAnsiTheme="minorHAnsi" w:cstheme="minorBidi"/>
                <w:noProof/>
                <w:sz w:val="22"/>
                <w:szCs w:val="22"/>
                <w:lang w:eastAsia="cs-CZ"/>
              </w:rPr>
              <w:tab/>
            </w:r>
            <w:r w:rsidR="008121E5" w:rsidRPr="00D47AF6">
              <w:rPr>
                <w:rStyle w:val="Hypertextovodkaz"/>
                <w:noProof/>
              </w:rPr>
              <w:t>Trh práce a zaměstnanost</w:t>
            </w:r>
            <w:r w:rsidR="008121E5">
              <w:rPr>
                <w:noProof/>
                <w:webHidden/>
              </w:rPr>
              <w:tab/>
            </w:r>
            <w:r w:rsidR="008121E5">
              <w:rPr>
                <w:noProof/>
                <w:webHidden/>
              </w:rPr>
              <w:fldChar w:fldCharType="begin"/>
            </w:r>
            <w:r w:rsidR="008121E5">
              <w:rPr>
                <w:noProof/>
                <w:webHidden/>
              </w:rPr>
              <w:instrText xml:space="preserve"> PAGEREF _Toc13828198 \h </w:instrText>
            </w:r>
            <w:r w:rsidR="008121E5">
              <w:rPr>
                <w:noProof/>
                <w:webHidden/>
              </w:rPr>
            </w:r>
            <w:r w:rsidR="008121E5">
              <w:rPr>
                <w:noProof/>
                <w:webHidden/>
              </w:rPr>
              <w:fldChar w:fldCharType="separate"/>
            </w:r>
            <w:r w:rsidR="00557AE9">
              <w:rPr>
                <w:noProof/>
                <w:webHidden/>
              </w:rPr>
              <w:t>12</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199" w:history="1">
            <w:r w:rsidR="008121E5" w:rsidRPr="00D47AF6">
              <w:rPr>
                <w:rStyle w:val="Hypertextovodkaz"/>
                <w:noProof/>
              </w:rPr>
              <w:t>1.2.2.</w:t>
            </w:r>
            <w:r w:rsidR="008121E5">
              <w:rPr>
                <w:rFonts w:asciiTheme="minorHAnsi" w:eastAsiaTheme="minorEastAsia" w:hAnsiTheme="minorHAnsi" w:cstheme="minorBidi"/>
                <w:noProof/>
                <w:sz w:val="22"/>
                <w:szCs w:val="22"/>
                <w:lang w:eastAsia="cs-CZ"/>
              </w:rPr>
              <w:tab/>
            </w:r>
            <w:r w:rsidR="008121E5" w:rsidRPr="00D47AF6">
              <w:rPr>
                <w:rStyle w:val="Hypertextovodkaz"/>
                <w:noProof/>
              </w:rPr>
              <w:t>Vzdělávání</w:t>
            </w:r>
            <w:r w:rsidR="008121E5">
              <w:rPr>
                <w:noProof/>
                <w:webHidden/>
              </w:rPr>
              <w:tab/>
            </w:r>
            <w:r w:rsidR="008121E5">
              <w:rPr>
                <w:noProof/>
                <w:webHidden/>
              </w:rPr>
              <w:fldChar w:fldCharType="begin"/>
            </w:r>
            <w:r w:rsidR="008121E5">
              <w:rPr>
                <w:noProof/>
                <w:webHidden/>
              </w:rPr>
              <w:instrText xml:space="preserve"> PAGEREF _Toc13828199 \h </w:instrText>
            </w:r>
            <w:r w:rsidR="008121E5">
              <w:rPr>
                <w:noProof/>
                <w:webHidden/>
              </w:rPr>
            </w:r>
            <w:r w:rsidR="008121E5">
              <w:rPr>
                <w:noProof/>
                <w:webHidden/>
              </w:rPr>
              <w:fldChar w:fldCharType="separate"/>
            </w:r>
            <w:r w:rsidR="00557AE9">
              <w:rPr>
                <w:noProof/>
                <w:webHidden/>
              </w:rPr>
              <w:t>13</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0" w:history="1">
            <w:r w:rsidR="008121E5" w:rsidRPr="00D47AF6">
              <w:rPr>
                <w:rStyle w:val="Hypertextovodkaz"/>
                <w:noProof/>
              </w:rPr>
              <w:t>1.2.3.</w:t>
            </w:r>
            <w:r w:rsidR="008121E5">
              <w:rPr>
                <w:rFonts w:asciiTheme="minorHAnsi" w:eastAsiaTheme="minorEastAsia" w:hAnsiTheme="minorHAnsi" w:cstheme="minorBidi"/>
                <w:noProof/>
                <w:sz w:val="22"/>
                <w:szCs w:val="22"/>
                <w:lang w:eastAsia="cs-CZ"/>
              </w:rPr>
              <w:tab/>
            </w:r>
            <w:r w:rsidR="008121E5" w:rsidRPr="00D47AF6">
              <w:rPr>
                <w:rStyle w:val="Hypertextovodkaz"/>
                <w:noProof/>
              </w:rPr>
              <w:t>Sociální začleňování, boj s chudobou a péče o zdraví</w:t>
            </w:r>
            <w:r w:rsidR="008121E5">
              <w:rPr>
                <w:noProof/>
                <w:webHidden/>
              </w:rPr>
              <w:tab/>
            </w:r>
            <w:r w:rsidR="008121E5">
              <w:rPr>
                <w:noProof/>
                <w:webHidden/>
              </w:rPr>
              <w:fldChar w:fldCharType="begin"/>
            </w:r>
            <w:r w:rsidR="008121E5">
              <w:rPr>
                <w:noProof/>
                <w:webHidden/>
              </w:rPr>
              <w:instrText xml:space="preserve"> PAGEREF _Toc13828200 \h </w:instrText>
            </w:r>
            <w:r w:rsidR="008121E5">
              <w:rPr>
                <w:noProof/>
                <w:webHidden/>
              </w:rPr>
            </w:r>
            <w:r w:rsidR="008121E5">
              <w:rPr>
                <w:noProof/>
                <w:webHidden/>
              </w:rPr>
              <w:fldChar w:fldCharType="separate"/>
            </w:r>
            <w:r w:rsidR="00557AE9">
              <w:rPr>
                <w:noProof/>
                <w:webHidden/>
              </w:rPr>
              <w:t>13</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1" w:history="1">
            <w:r w:rsidR="008121E5" w:rsidRPr="00D47AF6">
              <w:rPr>
                <w:rStyle w:val="Hypertextovodkaz"/>
                <w:noProof/>
              </w:rPr>
              <w:t>1.2.4.</w:t>
            </w:r>
            <w:r w:rsidR="008121E5">
              <w:rPr>
                <w:rFonts w:asciiTheme="minorHAnsi" w:eastAsiaTheme="minorEastAsia" w:hAnsiTheme="minorHAnsi" w:cstheme="minorBidi"/>
                <w:noProof/>
                <w:sz w:val="22"/>
                <w:szCs w:val="22"/>
                <w:lang w:eastAsia="cs-CZ"/>
              </w:rPr>
              <w:tab/>
            </w:r>
            <w:r w:rsidR="008121E5" w:rsidRPr="00D47AF6">
              <w:rPr>
                <w:rStyle w:val="Hypertextovodkaz"/>
                <w:noProof/>
              </w:rPr>
              <w:t>Veřejná správa a bezpečnost</w:t>
            </w:r>
            <w:r w:rsidR="008121E5">
              <w:rPr>
                <w:noProof/>
                <w:webHidden/>
              </w:rPr>
              <w:tab/>
            </w:r>
            <w:r w:rsidR="008121E5">
              <w:rPr>
                <w:noProof/>
                <w:webHidden/>
              </w:rPr>
              <w:fldChar w:fldCharType="begin"/>
            </w:r>
            <w:r w:rsidR="008121E5">
              <w:rPr>
                <w:noProof/>
                <w:webHidden/>
              </w:rPr>
              <w:instrText xml:space="preserve"> PAGEREF _Toc13828201 \h </w:instrText>
            </w:r>
            <w:r w:rsidR="008121E5">
              <w:rPr>
                <w:noProof/>
                <w:webHidden/>
              </w:rPr>
            </w:r>
            <w:r w:rsidR="008121E5">
              <w:rPr>
                <w:noProof/>
                <w:webHidden/>
              </w:rPr>
              <w:fldChar w:fldCharType="separate"/>
            </w:r>
            <w:r w:rsidR="00557AE9">
              <w:rPr>
                <w:noProof/>
                <w:webHidden/>
              </w:rPr>
              <w:t>15</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2" w:history="1">
            <w:r w:rsidR="008121E5" w:rsidRPr="00D47AF6">
              <w:rPr>
                <w:rStyle w:val="Hypertextovodkaz"/>
                <w:noProof/>
              </w:rPr>
              <w:t>1.2.5.</w:t>
            </w:r>
            <w:r w:rsidR="008121E5">
              <w:rPr>
                <w:rFonts w:asciiTheme="minorHAnsi" w:eastAsiaTheme="minorEastAsia" w:hAnsiTheme="minorHAnsi" w:cstheme="minorBidi"/>
                <w:noProof/>
                <w:sz w:val="22"/>
                <w:szCs w:val="22"/>
                <w:lang w:eastAsia="cs-CZ"/>
              </w:rPr>
              <w:tab/>
            </w:r>
            <w:r w:rsidR="008121E5" w:rsidRPr="00D47AF6">
              <w:rPr>
                <w:rStyle w:val="Hypertextovodkaz"/>
                <w:noProof/>
              </w:rPr>
              <w:t>Výzkumný a inovační systém</w:t>
            </w:r>
            <w:r w:rsidR="008121E5">
              <w:rPr>
                <w:noProof/>
                <w:webHidden/>
              </w:rPr>
              <w:tab/>
            </w:r>
            <w:r w:rsidR="008121E5">
              <w:rPr>
                <w:noProof/>
                <w:webHidden/>
              </w:rPr>
              <w:fldChar w:fldCharType="begin"/>
            </w:r>
            <w:r w:rsidR="008121E5">
              <w:rPr>
                <w:noProof/>
                <w:webHidden/>
              </w:rPr>
              <w:instrText xml:space="preserve"> PAGEREF _Toc13828202 \h </w:instrText>
            </w:r>
            <w:r w:rsidR="008121E5">
              <w:rPr>
                <w:noProof/>
                <w:webHidden/>
              </w:rPr>
            </w:r>
            <w:r w:rsidR="008121E5">
              <w:rPr>
                <w:noProof/>
                <w:webHidden/>
              </w:rPr>
              <w:fldChar w:fldCharType="separate"/>
            </w:r>
            <w:r w:rsidR="00557AE9">
              <w:rPr>
                <w:noProof/>
                <w:webHidden/>
              </w:rPr>
              <w:t>16</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3" w:history="1">
            <w:r w:rsidR="008121E5" w:rsidRPr="00D47AF6">
              <w:rPr>
                <w:rStyle w:val="Hypertextovodkaz"/>
                <w:noProof/>
              </w:rPr>
              <w:t>1.2.6.</w:t>
            </w:r>
            <w:r w:rsidR="008121E5">
              <w:rPr>
                <w:rFonts w:asciiTheme="minorHAnsi" w:eastAsiaTheme="minorEastAsia" w:hAnsiTheme="minorHAnsi" w:cstheme="minorBidi"/>
                <w:noProof/>
                <w:sz w:val="22"/>
                <w:szCs w:val="22"/>
                <w:lang w:eastAsia="cs-CZ"/>
              </w:rPr>
              <w:tab/>
            </w:r>
            <w:r w:rsidR="008121E5" w:rsidRPr="00D47AF6">
              <w:rPr>
                <w:rStyle w:val="Hypertextovodkaz"/>
                <w:noProof/>
              </w:rPr>
              <w:t>Podpora podnikání a průmyslu</w:t>
            </w:r>
            <w:r w:rsidR="008121E5">
              <w:rPr>
                <w:noProof/>
                <w:webHidden/>
              </w:rPr>
              <w:tab/>
            </w:r>
            <w:r w:rsidR="008121E5">
              <w:rPr>
                <w:noProof/>
                <w:webHidden/>
              </w:rPr>
              <w:fldChar w:fldCharType="begin"/>
            </w:r>
            <w:r w:rsidR="008121E5">
              <w:rPr>
                <w:noProof/>
                <w:webHidden/>
              </w:rPr>
              <w:instrText xml:space="preserve"> PAGEREF _Toc13828203 \h </w:instrText>
            </w:r>
            <w:r w:rsidR="008121E5">
              <w:rPr>
                <w:noProof/>
                <w:webHidden/>
              </w:rPr>
            </w:r>
            <w:r w:rsidR="008121E5">
              <w:rPr>
                <w:noProof/>
                <w:webHidden/>
              </w:rPr>
              <w:fldChar w:fldCharType="separate"/>
            </w:r>
            <w:r w:rsidR="00557AE9">
              <w:rPr>
                <w:noProof/>
                <w:webHidden/>
              </w:rPr>
              <w:t>17</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4" w:history="1">
            <w:r w:rsidR="008121E5" w:rsidRPr="00D47AF6">
              <w:rPr>
                <w:rStyle w:val="Hypertextovodkaz"/>
                <w:noProof/>
              </w:rPr>
              <w:t>1.2.7.</w:t>
            </w:r>
            <w:r w:rsidR="008121E5">
              <w:rPr>
                <w:rFonts w:asciiTheme="minorHAnsi" w:eastAsiaTheme="minorEastAsia" w:hAnsiTheme="minorHAnsi" w:cstheme="minorBidi"/>
                <w:noProof/>
                <w:sz w:val="22"/>
                <w:szCs w:val="22"/>
                <w:lang w:eastAsia="cs-CZ"/>
              </w:rPr>
              <w:tab/>
            </w:r>
            <w:r w:rsidR="008121E5" w:rsidRPr="00D47AF6">
              <w:rPr>
                <w:rStyle w:val="Hypertextovodkaz"/>
                <w:noProof/>
              </w:rPr>
              <w:t>Doprava</w:t>
            </w:r>
            <w:r w:rsidR="008121E5">
              <w:rPr>
                <w:noProof/>
                <w:webHidden/>
              </w:rPr>
              <w:tab/>
            </w:r>
            <w:r w:rsidR="008121E5">
              <w:rPr>
                <w:noProof/>
                <w:webHidden/>
              </w:rPr>
              <w:fldChar w:fldCharType="begin"/>
            </w:r>
            <w:r w:rsidR="008121E5">
              <w:rPr>
                <w:noProof/>
                <w:webHidden/>
              </w:rPr>
              <w:instrText xml:space="preserve"> PAGEREF _Toc13828204 \h </w:instrText>
            </w:r>
            <w:r w:rsidR="008121E5">
              <w:rPr>
                <w:noProof/>
                <w:webHidden/>
              </w:rPr>
            </w:r>
            <w:r w:rsidR="008121E5">
              <w:rPr>
                <w:noProof/>
                <w:webHidden/>
              </w:rPr>
              <w:fldChar w:fldCharType="separate"/>
            </w:r>
            <w:r w:rsidR="00557AE9">
              <w:rPr>
                <w:noProof/>
                <w:webHidden/>
              </w:rPr>
              <w:t>18</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5" w:history="1">
            <w:r w:rsidR="008121E5" w:rsidRPr="00D47AF6">
              <w:rPr>
                <w:rStyle w:val="Hypertextovodkaz"/>
                <w:noProof/>
              </w:rPr>
              <w:t>1.2.8.</w:t>
            </w:r>
            <w:r w:rsidR="008121E5">
              <w:rPr>
                <w:rFonts w:asciiTheme="minorHAnsi" w:eastAsiaTheme="minorEastAsia" w:hAnsiTheme="minorHAnsi" w:cstheme="minorBidi"/>
                <w:noProof/>
                <w:sz w:val="22"/>
                <w:szCs w:val="22"/>
                <w:lang w:eastAsia="cs-CZ"/>
              </w:rPr>
              <w:tab/>
            </w:r>
            <w:r w:rsidR="008121E5" w:rsidRPr="00D47AF6">
              <w:rPr>
                <w:rStyle w:val="Hypertextovodkaz"/>
                <w:noProof/>
              </w:rPr>
              <w:t>Posun k nízkouhlíkovému hospodářství</w:t>
            </w:r>
            <w:r w:rsidR="008121E5">
              <w:rPr>
                <w:noProof/>
                <w:webHidden/>
              </w:rPr>
              <w:tab/>
            </w:r>
            <w:r w:rsidR="008121E5">
              <w:rPr>
                <w:noProof/>
                <w:webHidden/>
              </w:rPr>
              <w:fldChar w:fldCharType="begin"/>
            </w:r>
            <w:r w:rsidR="008121E5">
              <w:rPr>
                <w:noProof/>
                <w:webHidden/>
              </w:rPr>
              <w:instrText xml:space="preserve"> PAGEREF _Toc13828205 \h </w:instrText>
            </w:r>
            <w:r w:rsidR="008121E5">
              <w:rPr>
                <w:noProof/>
                <w:webHidden/>
              </w:rPr>
            </w:r>
            <w:r w:rsidR="008121E5">
              <w:rPr>
                <w:noProof/>
                <w:webHidden/>
              </w:rPr>
              <w:fldChar w:fldCharType="separate"/>
            </w:r>
            <w:r w:rsidR="00557AE9">
              <w:rPr>
                <w:noProof/>
                <w:webHidden/>
              </w:rPr>
              <w:t>19</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6" w:history="1">
            <w:r w:rsidR="008121E5" w:rsidRPr="00D47AF6">
              <w:rPr>
                <w:rStyle w:val="Hypertextovodkaz"/>
                <w:noProof/>
              </w:rPr>
              <w:t>1.2.9.</w:t>
            </w:r>
            <w:r w:rsidR="008121E5">
              <w:rPr>
                <w:rFonts w:asciiTheme="minorHAnsi" w:eastAsiaTheme="minorEastAsia" w:hAnsiTheme="minorHAnsi" w:cstheme="minorBidi"/>
                <w:noProof/>
                <w:sz w:val="22"/>
                <w:szCs w:val="22"/>
                <w:lang w:eastAsia="cs-CZ"/>
              </w:rPr>
              <w:tab/>
            </w:r>
            <w:r w:rsidR="008121E5" w:rsidRPr="00D47AF6">
              <w:rPr>
                <w:rStyle w:val="Hypertextovodkaz"/>
                <w:noProof/>
              </w:rPr>
              <w:t>Ochrana životního prostředí a oběhové hospodářství</w:t>
            </w:r>
            <w:r w:rsidR="008121E5">
              <w:rPr>
                <w:noProof/>
                <w:webHidden/>
              </w:rPr>
              <w:tab/>
            </w:r>
            <w:r w:rsidR="008121E5">
              <w:rPr>
                <w:noProof/>
                <w:webHidden/>
              </w:rPr>
              <w:fldChar w:fldCharType="begin"/>
            </w:r>
            <w:r w:rsidR="008121E5">
              <w:rPr>
                <w:noProof/>
                <w:webHidden/>
              </w:rPr>
              <w:instrText xml:space="preserve"> PAGEREF _Toc13828206 \h </w:instrText>
            </w:r>
            <w:r w:rsidR="008121E5">
              <w:rPr>
                <w:noProof/>
                <w:webHidden/>
              </w:rPr>
            </w:r>
            <w:r w:rsidR="008121E5">
              <w:rPr>
                <w:noProof/>
                <w:webHidden/>
              </w:rPr>
              <w:fldChar w:fldCharType="separate"/>
            </w:r>
            <w:r w:rsidR="00557AE9">
              <w:rPr>
                <w:noProof/>
                <w:webHidden/>
              </w:rPr>
              <w:t>20</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7" w:history="1">
            <w:r w:rsidR="008121E5" w:rsidRPr="00D47AF6">
              <w:rPr>
                <w:rStyle w:val="Hypertextovodkaz"/>
                <w:noProof/>
              </w:rPr>
              <w:t>1.2.10.</w:t>
            </w:r>
            <w:r w:rsidR="008121E5">
              <w:rPr>
                <w:rFonts w:asciiTheme="minorHAnsi" w:eastAsiaTheme="minorEastAsia" w:hAnsiTheme="minorHAnsi" w:cstheme="minorBidi"/>
                <w:noProof/>
                <w:sz w:val="22"/>
                <w:szCs w:val="22"/>
                <w:lang w:eastAsia="cs-CZ"/>
              </w:rPr>
              <w:tab/>
            </w:r>
            <w:r w:rsidR="008121E5" w:rsidRPr="00D47AF6">
              <w:rPr>
                <w:rStyle w:val="Hypertextovodkaz"/>
                <w:noProof/>
              </w:rPr>
              <w:t>Kultura</w:t>
            </w:r>
            <w:r w:rsidR="008121E5">
              <w:rPr>
                <w:noProof/>
                <w:webHidden/>
              </w:rPr>
              <w:tab/>
            </w:r>
            <w:r w:rsidR="008121E5">
              <w:rPr>
                <w:noProof/>
                <w:webHidden/>
              </w:rPr>
              <w:fldChar w:fldCharType="begin"/>
            </w:r>
            <w:r w:rsidR="008121E5">
              <w:rPr>
                <w:noProof/>
                <w:webHidden/>
              </w:rPr>
              <w:instrText xml:space="preserve"> PAGEREF _Toc13828207 \h </w:instrText>
            </w:r>
            <w:r w:rsidR="008121E5">
              <w:rPr>
                <w:noProof/>
                <w:webHidden/>
              </w:rPr>
            </w:r>
            <w:r w:rsidR="008121E5">
              <w:rPr>
                <w:noProof/>
                <w:webHidden/>
              </w:rPr>
              <w:fldChar w:fldCharType="separate"/>
            </w:r>
            <w:r w:rsidR="00557AE9">
              <w:rPr>
                <w:noProof/>
                <w:webHidden/>
              </w:rPr>
              <w:t>22</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08" w:history="1">
            <w:r w:rsidR="008121E5" w:rsidRPr="00D47AF6">
              <w:rPr>
                <w:rStyle w:val="Hypertextovodkaz"/>
                <w:noProof/>
              </w:rPr>
              <w:t>1.2.11.</w:t>
            </w:r>
            <w:r w:rsidR="008121E5">
              <w:rPr>
                <w:rFonts w:asciiTheme="minorHAnsi" w:eastAsiaTheme="minorEastAsia" w:hAnsiTheme="minorHAnsi" w:cstheme="minorBidi"/>
                <w:noProof/>
                <w:sz w:val="22"/>
                <w:szCs w:val="22"/>
                <w:lang w:eastAsia="cs-CZ"/>
              </w:rPr>
              <w:tab/>
            </w:r>
            <w:r w:rsidR="008121E5" w:rsidRPr="00D47AF6">
              <w:rPr>
                <w:rStyle w:val="Hypertextovodkaz"/>
                <w:noProof/>
              </w:rPr>
              <w:t>Cestovní ruch</w:t>
            </w:r>
            <w:r w:rsidR="008121E5">
              <w:rPr>
                <w:noProof/>
                <w:webHidden/>
              </w:rPr>
              <w:tab/>
            </w:r>
            <w:r w:rsidR="008121E5">
              <w:rPr>
                <w:noProof/>
                <w:webHidden/>
              </w:rPr>
              <w:fldChar w:fldCharType="begin"/>
            </w:r>
            <w:r w:rsidR="008121E5">
              <w:rPr>
                <w:noProof/>
                <w:webHidden/>
              </w:rPr>
              <w:instrText xml:space="preserve"> PAGEREF _Toc13828208 \h </w:instrText>
            </w:r>
            <w:r w:rsidR="008121E5">
              <w:rPr>
                <w:noProof/>
                <w:webHidden/>
              </w:rPr>
            </w:r>
            <w:r w:rsidR="008121E5">
              <w:rPr>
                <w:noProof/>
                <w:webHidden/>
              </w:rPr>
              <w:fldChar w:fldCharType="separate"/>
            </w:r>
            <w:r w:rsidR="00557AE9">
              <w:rPr>
                <w:noProof/>
                <w:webHidden/>
              </w:rPr>
              <w:t>22</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09" w:history="1">
            <w:r w:rsidR="008121E5" w:rsidRPr="00D47AF6">
              <w:rPr>
                <w:rStyle w:val="Hypertextovodkaz"/>
                <w:noProof/>
              </w:rPr>
              <w:t>1.3.</w:t>
            </w:r>
            <w:r w:rsidR="008121E5">
              <w:rPr>
                <w:rFonts w:asciiTheme="minorHAnsi" w:eastAsiaTheme="minorEastAsia" w:hAnsiTheme="minorHAnsi" w:cstheme="minorBidi"/>
                <w:noProof/>
                <w:sz w:val="22"/>
                <w:szCs w:val="22"/>
                <w:lang w:eastAsia="cs-CZ"/>
              </w:rPr>
              <w:tab/>
            </w:r>
            <w:r w:rsidR="008121E5" w:rsidRPr="00D47AF6">
              <w:rPr>
                <w:rStyle w:val="Hypertextovodkaz"/>
                <w:noProof/>
              </w:rPr>
              <w:t>Průřezové oblasti</w:t>
            </w:r>
            <w:r w:rsidR="008121E5">
              <w:rPr>
                <w:noProof/>
                <w:webHidden/>
              </w:rPr>
              <w:tab/>
            </w:r>
            <w:r w:rsidR="008121E5">
              <w:rPr>
                <w:noProof/>
                <w:webHidden/>
              </w:rPr>
              <w:fldChar w:fldCharType="begin"/>
            </w:r>
            <w:r w:rsidR="008121E5">
              <w:rPr>
                <w:noProof/>
                <w:webHidden/>
              </w:rPr>
              <w:instrText xml:space="preserve"> PAGEREF _Toc13828209 \h </w:instrText>
            </w:r>
            <w:r w:rsidR="008121E5">
              <w:rPr>
                <w:noProof/>
                <w:webHidden/>
              </w:rPr>
            </w:r>
            <w:r w:rsidR="008121E5">
              <w:rPr>
                <w:noProof/>
                <w:webHidden/>
              </w:rPr>
              <w:fldChar w:fldCharType="separate"/>
            </w:r>
            <w:r w:rsidR="00557AE9">
              <w:rPr>
                <w:noProof/>
                <w:webHidden/>
              </w:rPr>
              <w:t>23</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10" w:history="1">
            <w:r w:rsidR="008121E5" w:rsidRPr="00D47AF6">
              <w:rPr>
                <w:rStyle w:val="Hypertextovodkaz"/>
                <w:noProof/>
              </w:rPr>
              <w:t>1.3.1.</w:t>
            </w:r>
            <w:r w:rsidR="008121E5">
              <w:rPr>
                <w:rFonts w:asciiTheme="minorHAnsi" w:eastAsiaTheme="minorEastAsia" w:hAnsiTheme="minorHAnsi" w:cstheme="minorBidi"/>
                <w:noProof/>
                <w:sz w:val="22"/>
                <w:szCs w:val="22"/>
                <w:lang w:eastAsia="cs-CZ"/>
              </w:rPr>
              <w:tab/>
            </w:r>
            <w:r w:rsidR="008121E5" w:rsidRPr="00D47AF6">
              <w:rPr>
                <w:rStyle w:val="Hypertextovodkaz"/>
                <w:noProof/>
              </w:rPr>
              <w:t>Přizpůsobení se změně klimatu</w:t>
            </w:r>
            <w:r w:rsidR="008121E5">
              <w:rPr>
                <w:noProof/>
                <w:webHidden/>
              </w:rPr>
              <w:tab/>
            </w:r>
            <w:r w:rsidR="008121E5">
              <w:rPr>
                <w:noProof/>
                <w:webHidden/>
              </w:rPr>
              <w:fldChar w:fldCharType="begin"/>
            </w:r>
            <w:r w:rsidR="008121E5">
              <w:rPr>
                <w:noProof/>
                <w:webHidden/>
              </w:rPr>
              <w:instrText xml:space="preserve"> PAGEREF _Toc13828210 \h </w:instrText>
            </w:r>
            <w:r w:rsidR="008121E5">
              <w:rPr>
                <w:noProof/>
                <w:webHidden/>
              </w:rPr>
            </w:r>
            <w:r w:rsidR="008121E5">
              <w:rPr>
                <w:noProof/>
                <w:webHidden/>
              </w:rPr>
              <w:fldChar w:fldCharType="separate"/>
            </w:r>
            <w:r w:rsidR="00557AE9">
              <w:rPr>
                <w:noProof/>
                <w:webHidden/>
              </w:rPr>
              <w:t>24</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11" w:history="1">
            <w:r w:rsidR="008121E5" w:rsidRPr="00D47AF6">
              <w:rPr>
                <w:rStyle w:val="Hypertextovodkaz"/>
                <w:noProof/>
              </w:rPr>
              <w:t>1.3.2.</w:t>
            </w:r>
            <w:r w:rsidR="008121E5">
              <w:rPr>
                <w:rFonts w:asciiTheme="minorHAnsi" w:eastAsiaTheme="minorEastAsia" w:hAnsiTheme="minorHAnsi" w:cstheme="minorBidi"/>
                <w:noProof/>
                <w:sz w:val="22"/>
                <w:szCs w:val="22"/>
                <w:lang w:eastAsia="cs-CZ"/>
              </w:rPr>
              <w:tab/>
            </w:r>
            <w:r w:rsidR="008121E5" w:rsidRPr="00D47AF6">
              <w:rPr>
                <w:rStyle w:val="Hypertextovodkaz"/>
                <w:noProof/>
              </w:rPr>
              <w:t>Společnost 4.0</w:t>
            </w:r>
            <w:r w:rsidR="008121E5">
              <w:rPr>
                <w:noProof/>
                <w:webHidden/>
              </w:rPr>
              <w:tab/>
            </w:r>
            <w:r w:rsidR="008121E5">
              <w:rPr>
                <w:noProof/>
                <w:webHidden/>
              </w:rPr>
              <w:fldChar w:fldCharType="begin"/>
            </w:r>
            <w:r w:rsidR="008121E5">
              <w:rPr>
                <w:noProof/>
                <w:webHidden/>
              </w:rPr>
              <w:instrText xml:space="preserve"> PAGEREF _Toc13828211 \h </w:instrText>
            </w:r>
            <w:r w:rsidR="008121E5">
              <w:rPr>
                <w:noProof/>
                <w:webHidden/>
              </w:rPr>
            </w:r>
            <w:r w:rsidR="008121E5">
              <w:rPr>
                <w:noProof/>
                <w:webHidden/>
              </w:rPr>
              <w:fldChar w:fldCharType="separate"/>
            </w:r>
            <w:r w:rsidR="00557AE9">
              <w:rPr>
                <w:noProof/>
                <w:webHidden/>
              </w:rPr>
              <w:t>24</w:t>
            </w:r>
            <w:r w:rsidR="008121E5">
              <w:rPr>
                <w:noProof/>
                <w:webHidden/>
              </w:rPr>
              <w:fldChar w:fldCharType="end"/>
            </w:r>
          </w:hyperlink>
        </w:p>
        <w:p w:rsidR="008121E5" w:rsidRDefault="006C1DA3">
          <w:pPr>
            <w:pStyle w:val="Obsah3"/>
            <w:tabs>
              <w:tab w:val="left" w:pos="1320"/>
            </w:tabs>
            <w:rPr>
              <w:rFonts w:asciiTheme="minorHAnsi" w:eastAsiaTheme="minorEastAsia" w:hAnsiTheme="minorHAnsi" w:cstheme="minorBidi"/>
              <w:noProof/>
              <w:sz w:val="22"/>
              <w:szCs w:val="22"/>
              <w:lang w:eastAsia="cs-CZ"/>
            </w:rPr>
          </w:pPr>
          <w:hyperlink w:anchor="_Toc13828212" w:history="1">
            <w:r w:rsidR="008121E5" w:rsidRPr="00D47AF6">
              <w:rPr>
                <w:rStyle w:val="Hypertextovodkaz"/>
                <w:noProof/>
              </w:rPr>
              <w:t>1.3.3.</w:t>
            </w:r>
            <w:r w:rsidR="008121E5">
              <w:rPr>
                <w:rFonts w:asciiTheme="minorHAnsi" w:eastAsiaTheme="minorEastAsia" w:hAnsiTheme="minorHAnsi" w:cstheme="minorBidi"/>
                <w:noProof/>
                <w:sz w:val="22"/>
                <w:szCs w:val="22"/>
                <w:lang w:eastAsia="cs-CZ"/>
              </w:rPr>
              <w:tab/>
            </w:r>
            <w:r w:rsidR="008121E5" w:rsidRPr="00D47AF6">
              <w:rPr>
                <w:rStyle w:val="Hypertextovodkaz"/>
                <w:rFonts w:eastAsia="Arial"/>
                <w:noProof/>
              </w:rPr>
              <w:t>Územní dimenze</w:t>
            </w:r>
            <w:r w:rsidR="008121E5">
              <w:rPr>
                <w:noProof/>
                <w:webHidden/>
              </w:rPr>
              <w:tab/>
            </w:r>
            <w:r w:rsidR="008121E5">
              <w:rPr>
                <w:noProof/>
                <w:webHidden/>
              </w:rPr>
              <w:fldChar w:fldCharType="begin"/>
            </w:r>
            <w:r w:rsidR="008121E5">
              <w:rPr>
                <w:noProof/>
                <w:webHidden/>
              </w:rPr>
              <w:instrText xml:space="preserve"> PAGEREF _Toc13828212 \h </w:instrText>
            </w:r>
            <w:r w:rsidR="008121E5">
              <w:rPr>
                <w:noProof/>
                <w:webHidden/>
              </w:rPr>
            </w:r>
            <w:r w:rsidR="008121E5">
              <w:rPr>
                <w:noProof/>
                <w:webHidden/>
              </w:rPr>
              <w:fldChar w:fldCharType="separate"/>
            </w:r>
            <w:r w:rsidR="00557AE9">
              <w:rPr>
                <w:noProof/>
                <w:webHidden/>
              </w:rPr>
              <w:t>25</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13" w:history="1">
            <w:r w:rsidR="008121E5" w:rsidRPr="00D47AF6">
              <w:rPr>
                <w:rStyle w:val="Hypertextovodkaz"/>
                <w:noProof/>
              </w:rPr>
              <w:t>1.4.</w:t>
            </w:r>
            <w:r w:rsidR="008121E5">
              <w:rPr>
                <w:rFonts w:asciiTheme="minorHAnsi" w:eastAsiaTheme="minorEastAsia" w:hAnsiTheme="minorHAnsi" w:cstheme="minorBidi"/>
                <w:noProof/>
                <w:sz w:val="22"/>
                <w:szCs w:val="22"/>
                <w:lang w:eastAsia="cs-CZ"/>
              </w:rPr>
              <w:tab/>
            </w:r>
            <w:r w:rsidR="008121E5" w:rsidRPr="00D47AF6">
              <w:rPr>
                <w:rStyle w:val="Hypertextovodkaz"/>
                <w:noProof/>
              </w:rPr>
              <w:t>SWOT analýza za tematické oblasti NKR</w:t>
            </w:r>
            <w:r w:rsidR="008121E5">
              <w:rPr>
                <w:noProof/>
                <w:webHidden/>
              </w:rPr>
              <w:tab/>
            </w:r>
            <w:r w:rsidR="008121E5">
              <w:rPr>
                <w:noProof/>
                <w:webHidden/>
              </w:rPr>
              <w:fldChar w:fldCharType="begin"/>
            </w:r>
            <w:r w:rsidR="008121E5">
              <w:rPr>
                <w:noProof/>
                <w:webHidden/>
              </w:rPr>
              <w:instrText xml:space="preserve"> PAGEREF _Toc13828213 \h </w:instrText>
            </w:r>
            <w:r w:rsidR="008121E5">
              <w:rPr>
                <w:noProof/>
                <w:webHidden/>
              </w:rPr>
            </w:r>
            <w:r w:rsidR="008121E5">
              <w:rPr>
                <w:noProof/>
                <w:webHidden/>
              </w:rPr>
              <w:fldChar w:fldCharType="separate"/>
            </w:r>
            <w:r w:rsidR="00557AE9">
              <w:rPr>
                <w:noProof/>
                <w:webHidden/>
              </w:rPr>
              <w:t>26</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14" w:history="1">
            <w:r w:rsidR="008121E5" w:rsidRPr="00D47AF6">
              <w:rPr>
                <w:rStyle w:val="Hypertextovodkaz"/>
                <w:rFonts w:eastAsia="Arial"/>
                <w:noProof/>
              </w:rPr>
              <w:t>1.5 Shrnutí hlavních vývojových trendů v EU a ve světě</w:t>
            </w:r>
            <w:r w:rsidR="008121E5">
              <w:rPr>
                <w:noProof/>
                <w:webHidden/>
              </w:rPr>
              <w:tab/>
            </w:r>
            <w:r w:rsidR="008121E5">
              <w:rPr>
                <w:noProof/>
                <w:webHidden/>
              </w:rPr>
              <w:fldChar w:fldCharType="begin"/>
            </w:r>
            <w:r w:rsidR="008121E5">
              <w:rPr>
                <w:noProof/>
                <w:webHidden/>
              </w:rPr>
              <w:instrText xml:space="preserve"> PAGEREF _Toc13828214 \h </w:instrText>
            </w:r>
            <w:r w:rsidR="008121E5">
              <w:rPr>
                <w:noProof/>
                <w:webHidden/>
              </w:rPr>
            </w:r>
            <w:r w:rsidR="008121E5">
              <w:rPr>
                <w:noProof/>
                <w:webHidden/>
              </w:rPr>
              <w:fldChar w:fldCharType="separate"/>
            </w:r>
            <w:r w:rsidR="00557AE9">
              <w:rPr>
                <w:noProof/>
                <w:webHidden/>
              </w:rPr>
              <w:t>34</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215" w:history="1">
            <w:r w:rsidR="008121E5" w:rsidRPr="00D47AF6">
              <w:rPr>
                <w:rStyle w:val="Hypertextovodkaz"/>
                <w:noProof/>
              </w:rPr>
              <w:t>2.</w:t>
            </w:r>
            <w:r w:rsidR="008121E5">
              <w:rPr>
                <w:rFonts w:asciiTheme="minorHAnsi" w:eastAsiaTheme="minorEastAsia" w:hAnsiTheme="minorHAnsi" w:cstheme="minorBidi"/>
                <w:noProof/>
                <w:sz w:val="22"/>
                <w:szCs w:val="22"/>
                <w:lang w:eastAsia="cs-CZ"/>
              </w:rPr>
              <w:tab/>
            </w:r>
            <w:r w:rsidR="008121E5" w:rsidRPr="00D47AF6">
              <w:rPr>
                <w:rStyle w:val="Hypertextovodkaz"/>
                <w:noProof/>
              </w:rPr>
              <w:t>EVROPSKÁ ROVINA</w:t>
            </w:r>
            <w:r w:rsidR="008121E5">
              <w:rPr>
                <w:noProof/>
                <w:webHidden/>
              </w:rPr>
              <w:tab/>
            </w:r>
            <w:r w:rsidR="008121E5">
              <w:rPr>
                <w:noProof/>
                <w:webHidden/>
              </w:rPr>
              <w:fldChar w:fldCharType="begin"/>
            </w:r>
            <w:r w:rsidR="008121E5">
              <w:rPr>
                <w:noProof/>
                <w:webHidden/>
              </w:rPr>
              <w:instrText xml:space="preserve"> PAGEREF _Toc13828215 \h </w:instrText>
            </w:r>
            <w:r w:rsidR="008121E5">
              <w:rPr>
                <w:noProof/>
                <w:webHidden/>
              </w:rPr>
            </w:r>
            <w:r w:rsidR="008121E5">
              <w:rPr>
                <w:noProof/>
                <w:webHidden/>
              </w:rPr>
              <w:fldChar w:fldCharType="separate"/>
            </w:r>
            <w:r w:rsidR="00557AE9">
              <w:rPr>
                <w:noProof/>
                <w:webHidden/>
              </w:rPr>
              <w:t>36</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16" w:history="1">
            <w:r w:rsidR="008121E5" w:rsidRPr="00D47AF6">
              <w:rPr>
                <w:rStyle w:val="Hypertextovodkaz"/>
                <w:noProof/>
              </w:rPr>
              <w:t>2.1.</w:t>
            </w:r>
            <w:r w:rsidR="008121E5">
              <w:rPr>
                <w:rFonts w:asciiTheme="minorHAnsi" w:eastAsiaTheme="minorEastAsia" w:hAnsiTheme="minorHAnsi" w:cstheme="minorBidi"/>
                <w:noProof/>
                <w:sz w:val="22"/>
                <w:szCs w:val="22"/>
                <w:lang w:eastAsia="cs-CZ"/>
              </w:rPr>
              <w:tab/>
            </w:r>
            <w:r w:rsidR="008121E5" w:rsidRPr="00D47AF6">
              <w:rPr>
                <w:rStyle w:val="Hypertextovodkaz"/>
                <w:noProof/>
              </w:rPr>
              <w:t>Víceletý finanční rámec</w:t>
            </w:r>
            <w:r w:rsidR="008121E5">
              <w:rPr>
                <w:noProof/>
                <w:webHidden/>
              </w:rPr>
              <w:tab/>
            </w:r>
            <w:r w:rsidR="008121E5">
              <w:rPr>
                <w:noProof/>
                <w:webHidden/>
              </w:rPr>
              <w:fldChar w:fldCharType="begin"/>
            </w:r>
            <w:r w:rsidR="008121E5">
              <w:rPr>
                <w:noProof/>
                <w:webHidden/>
              </w:rPr>
              <w:instrText xml:space="preserve"> PAGEREF _Toc13828216 \h </w:instrText>
            </w:r>
            <w:r w:rsidR="008121E5">
              <w:rPr>
                <w:noProof/>
                <w:webHidden/>
              </w:rPr>
            </w:r>
            <w:r w:rsidR="008121E5">
              <w:rPr>
                <w:noProof/>
                <w:webHidden/>
              </w:rPr>
              <w:fldChar w:fldCharType="separate"/>
            </w:r>
            <w:r w:rsidR="00557AE9">
              <w:rPr>
                <w:noProof/>
                <w:webHidden/>
              </w:rPr>
              <w:t>36</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17" w:history="1">
            <w:r w:rsidR="008121E5" w:rsidRPr="00D47AF6">
              <w:rPr>
                <w:rStyle w:val="Hypertextovodkaz"/>
                <w:noProof/>
              </w:rPr>
              <w:t>2.2.</w:t>
            </w:r>
            <w:r w:rsidR="008121E5">
              <w:rPr>
                <w:rFonts w:asciiTheme="minorHAnsi" w:eastAsiaTheme="minorEastAsia" w:hAnsiTheme="minorHAnsi" w:cstheme="minorBidi"/>
                <w:noProof/>
                <w:sz w:val="22"/>
                <w:szCs w:val="22"/>
                <w:lang w:eastAsia="cs-CZ"/>
              </w:rPr>
              <w:tab/>
            </w:r>
            <w:r w:rsidR="008121E5" w:rsidRPr="00D47AF6">
              <w:rPr>
                <w:rStyle w:val="Hypertextovodkaz"/>
                <w:noProof/>
              </w:rPr>
              <w:t>Návrh nařízení pro EU fondy</w:t>
            </w:r>
            <w:r w:rsidR="008121E5">
              <w:rPr>
                <w:noProof/>
                <w:webHidden/>
              </w:rPr>
              <w:tab/>
            </w:r>
            <w:r w:rsidR="008121E5">
              <w:rPr>
                <w:noProof/>
                <w:webHidden/>
              </w:rPr>
              <w:fldChar w:fldCharType="begin"/>
            </w:r>
            <w:r w:rsidR="008121E5">
              <w:rPr>
                <w:noProof/>
                <w:webHidden/>
              </w:rPr>
              <w:instrText xml:space="preserve"> PAGEREF _Toc13828217 \h </w:instrText>
            </w:r>
            <w:r w:rsidR="008121E5">
              <w:rPr>
                <w:noProof/>
                <w:webHidden/>
              </w:rPr>
            </w:r>
            <w:r w:rsidR="008121E5">
              <w:rPr>
                <w:noProof/>
                <w:webHidden/>
              </w:rPr>
              <w:fldChar w:fldCharType="separate"/>
            </w:r>
            <w:r w:rsidR="00557AE9">
              <w:rPr>
                <w:noProof/>
                <w:webHidden/>
              </w:rPr>
              <w:t>37</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218" w:history="1">
            <w:r w:rsidR="008121E5" w:rsidRPr="00D47AF6">
              <w:rPr>
                <w:rStyle w:val="Hypertextovodkaz"/>
                <w:noProof/>
              </w:rPr>
              <w:t>3.</w:t>
            </w:r>
            <w:r w:rsidR="008121E5">
              <w:rPr>
                <w:rFonts w:asciiTheme="minorHAnsi" w:eastAsiaTheme="minorEastAsia" w:hAnsiTheme="minorHAnsi" w:cstheme="minorBidi"/>
                <w:noProof/>
                <w:sz w:val="22"/>
                <w:szCs w:val="22"/>
                <w:lang w:eastAsia="cs-CZ"/>
              </w:rPr>
              <w:tab/>
            </w:r>
            <w:r w:rsidR="008121E5" w:rsidRPr="00D47AF6">
              <w:rPr>
                <w:rStyle w:val="Hypertextovodkaz"/>
                <w:noProof/>
              </w:rPr>
              <w:t>NÁVRHOVÁ ČÁST</w:t>
            </w:r>
            <w:r w:rsidR="008121E5">
              <w:rPr>
                <w:noProof/>
                <w:webHidden/>
              </w:rPr>
              <w:tab/>
            </w:r>
            <w:r w:rsidR="008121E5">
              <w:rPr>
                <w:noProof/>
                <w:webHidden/>
              </w:rPr>
              <w:fldChar w:fldCharType="begin"/>
            </w:r>
            <w:r w:rsidR="008121E5">
              <w:rPr>
                <w:noProof/>
                <w:webHidden/>
              </w:rPr>
              <w:instrText xml:space="preserve"> PAGEREF _Toc13828218 \h </w:instrText>
            </w:r>
            <w:r w:rsidR="008121E5">
              <w:rPr>
                <w:noProof/>
                <w:webHidden/>
              </w:rPr>
            </w:r>
            <w:r w:rsidR="008121E5">
              <w:rPr>
                <w:noProof/>
                <w:webHidden/>
              </w:rPr>
              <w:fldChar w:fldCharType="separate"/>
            </w:r>
            <w:r w:rsidR="00557AE9">
              <w:rPr>
                <w:noProof/>
                <w:webHidden/>
              </w:rPr>
              <w:t>39</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19" w:history="1">
            <w:r w:rsidR="008121E5" w:rsidRPr="00D47AF6">
              <w:rPr>
                <w:rStyle w:val="Hypertextovodkaz"/>
                <w:noProof/>
              </w:rPr>
              <w:t>3.1.</w:t>
            </w:r>
            <w:r w:rsidR="008121E5">
              <w:rPr>
                <w:rFonts w:asciiTheme="minorHAnsi" w:eastAsiaTheme="minorEastAsia" w:hAnsiTheme="minorHAnsi" w:cstheme="minorBidi"/>
                <w:noProof/>
                <w:sz w:val="22"/>
                <w:szCs w:val="22"/>
                <w:lang w:eastAsia="cs-CZ"/>
              </w:rPr>
              <w:tab/>
            </w:r>
            <w:r w:rsidR="008121E5" w:rsidRPr="00D47AF6">
              <w:rPr>
                <w:rStyle w:val="Hypertextovodkaz"/>
                <w:noProof/>
              </w:rPr>
              <w:t>Východiska</w:t>
            </w:r>
            <w:r w:rsidR="008121E5">
              <w:rPr>
                <w:noProof/>
                <w:webHidden/>
              </w:rPr>
              <w:tab/>
            </w:r>
            <w:r w:rsidR="008121E5">
              <w:rPr>
                <w:noProof/>
                <w:webHidden/>
              </w:rPr>
              <w:fldChar w:fldCharType="begin"/>
            </w:r>
            <w:r w:rsidR="008121E5">
              <w:rPr>
                <w:noProof/>
                <w:webHidden/>
              </w:rPr>
              <w:instrText xml:space="preserve"> PAGEREF _Toc13828219 \h </w:instrText>
            </w:r>
            <w:r w:rsidR="008121E5">
              <w:rPr>
                <w:noProof/>
                <w:webHidden/>
              </w:rPr>
            </w:r>
            <w:r w:rsidR="008121E5">
              <w:rPr>
                <w:noProof/>
                <w:webHidden/>
              </w:rPr>
              <w:fldChar w:fldCharType="separate"/>
            </w:r>
            <w:r w:rsidR="00557AE9">
              <w:rPr>
                <w:noProof/>
                <w:webHidden/>
              </w:rPr>
              <w:t>39</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0" w:history="1">
            <w:r w:rsidR="008121E5" w:rsidRPr="00D47AF6">
              <w:rPr>
                <w:rStyle w:val="Hypertextovodkaz"/>
                <w:noProof/>
              </w:rPr>
              <w:t>3.2.</w:t>
            </w:r>
            <w:r w:rsidR="008121E5">
              <w:rPr>
                <w:rFonts w:asciiTheme="minorHAnsi" w:eastAsiaTheme="minorEastAsia" w:hAnsiTheme="minorHAnsi" w:cstheme="minorBidi"/>
                <w:noProof/>
                <w:sz w:val="22"/>
                <w:szCs w:val="22"/>
                <w:lang w:eastAsia="cs-CZ"/>
              </w:rPr>
              <w:tab/>
            </w:r>
            <w:r w:rsidR="008121E5" w:rsidRPr="00D47AF6">
              <w:rPr>
                <w:rStyle w:val="Hypertextovodkaz"/>
                <w:noProof/>
              </w:rPr>
              <w:t>Vize a struktura cílů</w:t>
            </w:r>
            <w:r w:rsidR="008121E5">
              <w:rPr>
                <w:noProof/>
                <w:webHidden/>
              </w:rPr>
              <w:tab/>
            </w:r>
            <w:r w:rsidR="008121E5">
              <w:rPr>
                <w:noProof/>
                <w:webHidden/>
              </w:rPr>
              <w:fldChar w:fldCharType="begin"/>
            </w:r>
            <w:r w:rsidR="008121E5">
              <w:rPr>
                <w:noProof/>
                <w:webHidden/>
              </w:rPr>
              <w:instrText xml:space="preserve"> PAGEREF _Toc13828220 \h </w:instrText>
            </w:r>
            <w:r w:rsidR="008121E5">
              <w:rPr>
                <w:noProof/>
                <w:webHidden/>
              </w:rPr>
            </w:r>
            <w:r w:rsidR="008121E5">
              <w:rPr>
                <w:noProof/>
                <w:webHidden/>
              </w:rPr>
              <w:fldChar w:fldCharType="separate"/>
            </w:r>
            <w:r w:rsidR="00557AE9">
              <w:rPr>
                <w:noProof/>
                <w:webHidden/>
              </w:rPr>
              <w:t>41</w:t>
            </w:r>
            <w:r w:rsidR="008121E5">
              <w:rPr>
                <w:noProof/>
                <w:webHidden/>
              </w:rPr>
              <w:fldChar w:fldCharType="end"/>
            </w:r>
          </w:hyperlink>
        </w:p>
        <w:p w:rsidR="008121E5" w:rsidRDefault="006C1DA3">
          <w:pPr>
            <w:pStyle w:val="Obsah3"/>
            <w:rPr>
              <w:rFonts w:asciiTheme="minorHAnsi" w:eastAsiaTheme="minorEastAsia" w:hAnsiTheme="minorHAnsi" w:cstheme="minorBidi"/>
              <w:noProof/>
              <w:sz w:val="22"/>
              <w:szCs w:val="22"/>
              <w:lang w:eastAsia="cs-CZ"/>
            </w:rPr>
          </w:pPr>
          <w:hyperlink w:anchor="_Toc13828221" w:history="1">
            <w:r w:rsidR="008121E5" w:rsidRPr="00D47AF6">
              <w:rPr>
                <w:rStyle w:val="Hypertextovodkaz"/>
                <w:noProof/>
              </w:rPr>
              <w:t>3.2.1. Vize</w:t>
            </w:r>
            <w:r w:rsidR="008121E5">
              <w:rPr>
                <w:noProof/>
                <w:webHidden/>
              </w:rPr>
              <w:tab/>
            </w:r>
            <w:r w:rsidR="008121E5">
              <w:rPr>
                <w:noProof/>
                <w:webHidden/>
              </w:rPr>
              <w:fldChar w:fldCharType="begin"/>
            </w:r>
            <w:r w:rsidR="008121E5">
              <w:rPr>
                <w:noProof/>
                <w:webHidden/>
              </w:rPr>
              <w:instrText xml:space="preserve"> PAGEREF _Toc13828221 \h </w:instrText>
            </w:r>
            <w:r w:rsidR="008121E5">
              <w:rPr>
                <w:noProof/>
                <w:webHidden/>
              </w:rPr>
            </w:r>
            <w:r w:rsidR="008121E5">
              <w:rPr>
                <w:noProof/>
                <w:webHidden/>
              </w:rPr>
              <w:fldChar w:fldCharType="separate"/>
            </w:r>
            <w:r w:rsidR="00557AE9">
              <w:rPr>
                <w:noProof/>
                <w:webHidden/>
              </w:rPr>
              <w:t>41</w:t>
            </w:r>
            <w:r w:rsidR="008121E5">
              <w:rPr>
                <w:noProof/>
                <w:webHidden/>
              </w:rPr>
              <w:fldChar w:fldCharType="end"/>
            </w:r>
          </w:hyperlink>
        </w:p>
        <w:p w:rsidR="008121E5" w:rsidRDefault="006C1DA3">
          <w:pPr>
            <w:pStyle w:val="Obsah3"/>
            <w:rPr>
              <w:rFonts w:asciiTheme="minorHAnsi" w:eastAsiaTheme="minorEastAsia" w:hAnsiTheme="minorHAnsi" w:cstheme="minorBidi"/>
              <w:noProof/>
              <w:sz w:val="22"/>
              <w:szCs w:val="22"/>
              <w:lang w:eastAsia="cs-CZ"/>
            </w:rPr>
          </w:pPr>
          <w:hyperlink w:anchor="_Toc13828222" w:history="1">
            <w:r w:rsidR="008121E5" w:rsidRPr="00D47AF6">
              <w:rPr>
                <w:rStyle w:val="Hypertextovodkaz"/>
                <w:noProof/>
              </w:rPr>
              <w:t>3.2.2. Globální cíl</w:t>
            </w:r>
            <w:r w:rsidR="008121E5">
              <w:rPr>
                <w:noProof/>
                <w:webHidden/>
              </w:rPr>
              <w:tab/>
            </w:r>
            <w:r w:rsidR="008121E5">
              <w:rPr>
                <w:noProof/>
                <w:webHidden/>
              </w:rPr>
              <w:fldChar w:fldCharType="begin"/>
            </w:r>
            <w:r w:rsidR="008121E5">
              <w:rPr>
                <w:noProof/>
                <w:webHidden/>
              </w:rPr>
              <w:instrText xml:space="preserve"> PAGEREF _Toc13828222 \h </w:instrText>
            </w:r>
            <w:r w:rsidR="008121E5">
              <w:rPr>
                <w:noProof/>
                <w:webHidden/>
              </w:rPr>
            </w:r>
            <w:r w:rsidR="008121E5">
              <w:rPr>
                <w:noProof/>
                <w:webHidden/>
              </w:rPr>
              <w:fldChar w:fldCharType="separate"/>
            </w:r>
            <w:r w:rsidR="00557AE9">
              <w:rPr>
                <w:noProof/>
                <w:webHidden/>
              </w:rPr>
              <w:t>41</w:t>
            </w:r>
            <w:r w:rsidR="008121E5">
              <w:rPr>
                <w:noProof/>
                <w:webHidden/>
              </w:rPr>
              <w:fldChar w:fldCharType="end"/>
            </w:r>
          </w:hyperlink>
        </w:p>
        <w:p w:rsidR="008121E5" w:rsidRDefault="006C1DA3">
          <w:pPr>
            <w:pStyle w:val="Obsah3"/>
            <w:rPr>
              <w:rFonts w:asciiTheme="minorHAnsi" w:eastAsiaTheme="minorEastAsia" w:hAnsiTheme="minorHAnsi" w:cstheme="minorBidi"/>
              <w:noProof/>
              <w:sz w:val="22"/>
              <w:szCs w:val="22"/>
              <w:lang w:eastAsia="cs-CZ"/>
            </w:rPr>
          </w:pPr>
          <w:hyperlink w:anchor="_Toc13828223" w:history="1">
            <w:r w:rsidR="008121E5" w:rsidRPr="00D47AF6">
              <w:rPr>
                <w:rStyle w:val="Hypertextovodkaz"/>
                <w:noProof/>
              </w:rPr>
              <w:t>3.2.3. Priority</w:t>
            </w:r>
            <w:r w:rsidR="008121E5">
              <w:rPr>
                <w:noProof/>
                <w:webHidden/>
              </w:rPr>
              <w:tab/>
            </w:r>
            <w:r w:rsidR="008121E5">
              <w:rPr>
                <w:noProof/>
                <w:webHidden/>
              </w:rPr>
              <w:fldChar w:fldCharType="begin"/>
            </w:r>
            <w:r w:rsidR="008121E5">
              <w:rPr>
                <w:noProof/>
                <w:webHidden/>
              </w:rPr>
              <w:instrText xml:space="preserve"> PAGEREF _Toc13828223 \h </w:instrText>
            </w:r>
            <w:r w:rsidR="008121E5">
              <w:rPr>
                <w:noProof/>
                <w:webHidden/>
              </w:rPr>
            </w:r>
            <w:r w:rsidR="008121E5">
              <w:rPr>
                <w:noProof/>
                <w:webHidden/>
              </w:rPr>
              <w:fldChar w:fldCharType="separate"/>
            </w:r>
            <w:r w:rsidR="00557AE9">
              <w:rPr>
                <w:noProof/>
                <w:webHidden/>
              </w:rPr>
              <w:t>41</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4" w:history="1">
            <w:r w:rsidR="008121E5" w:rsidRPr="00D47AF6">
              <w:rPr>
                <w:rStyle w:val="Hypertextovodkaz"/>
                <w:noProof/>
              </w:rPr>
              <w:t>3.3.</w:t>
            </w:r>
            <w:r w:rsidR="008121E5">
              <w:rPr>
                <w:rFonts w:asciiTheme="minorHAnsi" w:eastAsiaTheme="minorEastAsia" w:hAnsiTheme="minorHAnsi" w:cstheme="minorBidi"/>
                <w:noProof/>
                <w:sz w:val="22"/>
                <w:szCs w:val="22"/>
                <w:lang w:eastAsia="cs-CZ"/>
              </w:rPr>
              <w:tab/>
            </w:r>
            <w:r w:rsidR="008121E5" w:rsidRPr="00D47AF6">
              <w:rPr>
                <w:rStyle w:val="Hypertextovodkaz"/>
                <w:noProof/>
              </w:rPr>
              <w:t>Vztah specifických cílů NKR k průřezovým oblastem</w:t>
            </w:r>
            <w:r w:rsidR="008121E5">
              <w:rPr>
                <w:noProof/>
                <w:webHidden/>
              </w:rPr>
              <w:tab/>
            </w:r>
            <w:r w:rsidR="008121E5">
              <w:rPr>
                <w:noProof/>
                <w:webHidden/>
              </w:rPr>
              <w:fldChar w:fldCharType="begin"/>
            </w:r>
            <w:r w:rsidR="008121E5">
              <w:rPr>
                <w:noProof/>
                <w:webHidden/>
              </w:rPr>
              <w:instrText xml:space="preserve"> PAGEREF _Toc13828224 \h </w:instrText>
            </w:r>
            <w:r w:rsidR="008121E5">
              <w:rPr>
                <w:noProof/>
                <w:webHidden/>
              </w:rPr>
            </w:r>
            <w:r w:rsidR="008121E5">
              <w:rPr>
                <w:noProof/>
                <w:webHidden/>
              </w:rPr>
              <w:fldChar w:fldCharType="separate"/>
            </w:r>
            <w:r w:rsidR="00557AE9">
              <w:rPr>
                <w:noProof/>
                <w:webHidden/>
              </w:rPr>
              <w:t>43</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5" w:history="1">
            <w:r w:rsidR="008121E5" w:rsidRPr="00D47AF6">
              <w:rPr>
                <w:rStyle w:val="Hypertextovodkaz"/>
                <w:noProof/>
              </w:rPr>
              <w:t>3.4.</w:t>
            </w:r>
            <w:r w:rsidR="008121E5">
              <w:rPr>
                <w:rFonts w:asciiTheme="minorHAnsi" w:eastAsiaTheme="minorEastAsia" w:hAnsiTheme="minorHAnsi" w:cstheme="minorBidi"/>
                <w:noProof/>
                <w:sz w:val="22"/>
                <w:szCs w:val="22"/>
                <w:lang w:eastAsia="cs-CZ"/>
              </w:rPr>
              <w:tab/>
            </w:r>
            <w:r w:rsidR="008121E5" w:rsidRPr="00D47AF6">
              <w:rPr>
                <w:rStyle w:val="Hypertextovodkaz"/>
                <w:noProof/>
              </w:rPr>
              <w:t>Vztah specifických cílů NKR k procesu evropského semestru</w:t>
            </w:r>
            <w:r w:rsidR="008121E5">
              <w:rPr>
                <w:noProof/>
                <w:webHidden/>
              </w:rPr>
              <w:tab/>
            </w:r>
            <w:r w:rsidR="008121E5">
              <w:rPr>
                <w:noProof/>
                <w:webHidden/>
              </w:rPr>
              <w:fldChar w:fldCharType="begin"/>
            </w:r>
            <w:r w:rsidR="008121E5">
              <w:rPr>
                <w:noProof/>
                <w:webHidden/>
              </w:rPr>
              <w:instrText xml:space="preserve"> PAGEREF _Toc13828225 \h </w:instrText>
            </w:r>
            <w:r w:rsidR="008121E5">
              <w:rPr>
                <w:noProof/>
                <w:webHidden/>
              </w:rPr>
            </w:r>
            <w:r w:rsidR="008121E5">
              <w:rPr>
                <w:noProof/>
                <w:webHidden/>
              </w:rPr>
              <w:fldChar w:fldCharType="separate"/>
            </w:r>
            <w:r w:rsidR="00557AE9">
              <w:rPr>
                <w:noProof/>
                <w:webHidden/>
              </w:rPr>
              <w:t>48</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6" w:history="1">
            <w:r w:rsidR="008121E5" w:rsidRPr="00D47AF6">
              <w:rPr>
                <w:rStyle w:val="Hypertextovodkaz"/>
                <w:noProof/>
              </w:rPr>
              <w:t>3.5.</w:t>
            </w:r>
            <w:r w:rsidR="008121E5">
              <w:rPr>
                <w:rFonts w:asciiTheme="minorHAnsi" w:eastAsiaTheme="minorEastAsia" w:hAnsiTheme="minorHAnsi" w:cstheme="minorBidi"/>
                <w:noProof/>
                <w:sz w:val="22"/>
                <w:szCs w:val="22"/>
                <w:lang w:eastAsia="cs-CZ"/>
              </w:rPr>
              <w:tab/>
            </w:r>
            <w:r w:rsidR="008121E5" w:rsidRPr="00D47AF6">
              <w:rPr>
                <w:rStyle w:val="Hypertextovodkaz"/>
                <w:noProof/>
              </w:rPr>
              <w:t>Prioritizace</w:t>
            </w:r>
            <w:r w:rsidR="008121E5">
              <w:rPr>
                <w:noProof/>
                <w:webHidden/>
              </w:rPr>
              <w:tab/>
            </w:r>
            <w:r w:rsidR="008121E5">
              <w:rPr>
                <w:noProof/>
                <w:webHidden/>
              </w:rPr>
              <w:fldChar w:fldCharType="begin"/>
            </w:r>
            <w:r w:rsidR="008121E5">
              <w:rPr>
                <w:noProof/>
                <w:webHidden/>
              </w:rPr>
              <w:instrText xml:space="preserve"> PAGEREF _Toc13828226 \h </w:instrText>
            </w:r>
            <w:r w:rsidR="008121E5">
              <w:rPr>
                <w:noProof/>
                <w:webHidden/>
              </w:rPr>
            </w:r>
            <w:r w:rsidR="008121E5">
              <w:rPr>
                <w:noProof/>
                <w:webHidden/>
              </w:rPr>
              <w:fldChar w:fldCharType="separate"/>
            </w:r>
            <w:r w:rsidR="00557AE9">
              <w:rPr>
                <w:noProof/>
                <w:webHidden/>
              </w:rPr>
              <w:t>49</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7" w:history="1">
            <w:r w:rsidR="008121E5" w:rsidRPr="00D47AF6">
              <w:rPr>
                <w:rStyle w:val="Hypertextovodkaz"/>
                <w:noProof/>
              </w:rPr>
              <w:t>3.6.</w:t>
            </w:r>
            <w:r w:rsidR="008121E5">
              <w:rPr>
                <w:rFonts w:asciiTheme="minorHAnsi" w:eastAsiaTheme="minorEastAsia" w:hAnsiTheme="minorHAnsi" w:cstheme="minorBidi"/>
                <w:noProof/>
                <w:sz w:val="22"/>
                <w:szCs w:val="22"/>
                <w:lang w:eastAsia="cs-CZ"/>
              </w:rPr>
              <w:tab/>
            </w:r>
            <w:r w:rsidR="008121E5" w:rsidRPr="00D47AF6">
              <w:rPr>
                <w:rStyle w:val="Hypertextovodkaz"/>
                <w:noProof/>
              </w:rPr>
              <w:t>Výsledky hodnocení podle jednotlivých oblastí</w:t>
            </w:r>
            <w:r w:rsidR="008121E5">
              <w:rPr>
                <w:noProof/>
                <w:webHidden/>
              </w:rPr>
              <w:tab/>
            </w:r>
            <w:r w:rsidR="008121E5">
              <w:rPr>
                <w:noProof/>
                <w:webHidden/>
              </w:rPr>
              <w:fldChar w:fldCharType="begin"/>
            </w:r>
            <w:r w:rsidR="008121E5">
              <w:rPr>
                <w:noProof/>
                <w:webHidden/>
              </w:rPr>
              <w:instrText xml:space="preserve"> PAGEREF _Toc13828227 \h </w:instrText>
            </w:r>
            <w:r w:rsidR="008121E5">
              <w:rPr>
                <w:noProof/>
                <w:webHidden/>
              </w:rPr>
            </w:r>
            <w:r w:rsidR="008121E5">
              <w:rPr>
                <w:noProof/>
                <w:webHidden/>
              </w:rPr>
              <w:fldChar w:fldCharType="separate"/>
            </w:r>
            <w:r w:rsidR="00557AE9">
              <w:rPr>
                <w:noProof/>
                <w:webHidden/>
              </w:rPr>
              <w:t>50</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28" w:history="1">
            <w:r w:rsidR="008121E5" w:rsidRPr="00D47AF6">
              <w:rPr>
                <w:rStyle w:val="Hypertextovodkaz"/>
                <w:noProof/>
              </w:rPr>
              <w:t>3.7.</w:t>
            </w:r>
            <w:r w:rsidR="008121E5">
              <w:rPr>
                <w:rFonts w:asciiTheme="minorHAnsi" w:eastAsiaTheme="minorEastAsia" w:hAnsiTheme="minorHAnsi" w:cstheme="minorBidi"/>
                <w:noProof/>
                <w:sz w:val="22"/>
                <w:szCs w:val="22"/>
                <w:lang w:eastAsia="cs-CZ"/>
              </w:rPr>
              <w:tab/>
            </w:r>
            <w:r w:rsidR="008121E5" w:rsidRPr="00D47AF6">
              <w:rPr>
                <w:rStyle w:val="Hypertextovodkaz"/>
                <w:noProof/>
              </w:rPr>
              <w:t>Souhrnné výsledky hodnocení</w:t>
            </w:r>
            <w:r w:rsidR="008121E5">
              <w:rPr>
                <w:noProof/>
                <w:webHidden/>
              </w:rPr>
              <w:tab/>
            </w:r>
            <w:r w:rsidR="008121E5">
              <w:rPr>
                <w:noProof/>
                <w:webHidden/>
              </w:rPr>
              <w:fldChar w:fldCharType="begin"/>
            </w:r>
            <w:r w:rsidR="008121E5">
              <w:rPr>
                <w:noProof/>
                <w:webHidden/>
              </w:rPr>
              <w:instrText xml:space="preserve"> PAGEREF _Toc13828228 \h </w:instrText>
            </w:r>
            <w:r w:rsidR="008121E5">
              <w:rPr>
                <w:noProof/>
                <w:webHidden/>
              </w:rPr>
            </w:r>
            <w:r w:rsidR="008121E5">
              <w:rPr>
                <w:noProof/>
                <w:webHidden/>
              </w:rPr>
              <w:fldChar w:fldCharType="separate"/>
            </w:r>
            <w:r w:rsidR="00557AE9">
              <w:rPr>
                <w:noProof/>
                <w:webHidden/>
              </w:rPr>
              <w:t>62</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229" w:history="1">
            <w:r w:rsidR="008121E5" w:rsidRPr="00D47AF6">
              <w:rPr>
                <w:rStyle w:val="Hypertextovodkaz"/>
                <w:noProof/>
              </w:rPr>
              <w:t>4.</w:t>
            </w:r>
            <w:r w:rsidR="008121E5">
              <w:rPr>
                <w:rFonts w:asciiTheme="minorHAnsi" w:eastAsiaTheme="minorEastAsia" w:hAnsiTheme="minorHAnsi" w:cstheme="minorBidi"/>
                <w:noProof/>
                <w:sz w:val="22"/>
                <w:szCs w:val="22"/>
                <w:lang w:eastAsia="cs-CZ"/>
              </w:rPr>
              <w:tab/>
            </w:r>
            <w:r w:rsidR="008121E5" w:rsidRPr="00D47AF6">
              <w:rPr>
                <w:rStyle w:val="Hypertextovodkaz"/>
                <w:noProof/>
              </w:rPr>
              <w:t>NÁVRH A PRINCIPY IMPLEMENTACE</w:t>
            </w:r>
            <w:r w:rsidR="008121E5">
              <w:rPr>
                <w:noProof/>
                <w:webHidden/>
              </w:rPr>
              <w:tab/>
            </w:r>
            <w:r w:rsidR="008121E5">
              <w:rPr>
                <w:noProof/>
                <w:webHidden/>
              </w:rPr>
              <w:fldChar w:fldCharType="begin"/>
            </w:r>
            <w:r w:rsidR="008121E5">
              <w:rPr>
                <w:noProof/>
                <w:webHidden/>
              </w:rPr>
              <w:instrText xml:space="preserve"> PAGEREF _Toc13828229 \h </w:instrText>
            </w:r>
            <w:r w:rsidR="008121E5">
              <w:rPr>
                <w:noProof/>
                <w:webHidden/>
              </w:rPr>
            </w:r>
            <w:r w:rsidR="008121E5">
              <w:rPr>
                <w:noProof/>
                <w:webHidden/>
              </w:rPr>
              <w:fldChar w:fldCharType="separate"/>
            </w:r>
            <w:r w:rsidR="00557AE9">
              <w:rPr>
                <w:noProof/>
                <w:webHidden/>
              </w:rPr>
              <w:t>65</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0" w:history="1">
            <w:r w:rsidR="008121E5" w:rsidRPr="00D47AF6">
              <w:rPr>
                <w:rStyle w:val="Hypertextovodkaz"/>
                <w:noProof/>
              </w:rPr>
              <w:t>4.1.</w:t>
            </w:r>
            <w:r w:rsidR="008121E5">
              <w:rPr>
                <w:rFonts w:asciiTheme="minorHAnsi" w:eastAsiaTheme="minorEastAsia" w:hAnsiTheme="minorHAnsi" w:cstheme="minorBidi"/>
                <w:noProof/>
                <w:sz w:val="22"/>
                <w:szCs w:val="22"/>
                <w:lang w:eastAsia="cs-CZ"/>
              </w:rPr>
              <w:tab/>
            </w:r>
            <w:r w:rsidR="008121E5" w:rsidRPr="00D47AF6">
              <w:rPr>
                <w:rStyle w:val="Hypertextovodkaz"/>
                <w:noProof/>
              </w:rPr>
              <w:t>Východiska implementační části</w:t>
            </w:r>
            <w:r w:rsidR="008121E5">
              <w:rPr>
                <w:noProof/>
                <w:webHidden/>
              </w:rPr>
              <w:tab/>
            </w:r>
            <w:r w:rsidR="008121E5">
              <w:rPr>
                <w:noProof/>
                <w:webHidden/>
              </w:rPr>
              <w:fldChar w:fldCharType="begin"/>
            </w:r>
            <w:r w:rsidR="008121E5">
              <w:rPr>
                <w:noProof/>
                <w:webHidden/>
              </w:rPr>
              <w:instrText xml:space="preserve"> PAGEREF _Toc13828230 \h </w:instrText>
            </w:r>
            <w:r w:rsidR="008121E5">
              <w:rPr>
                <w:noProof/>
                <w:webHidden/>
              </w:rPr>
            </w:r>
            <w:r w:rsidR="008121E5">
              <w:rPr>
                <w:noProof/>
                <w:webHidden/>
              </w:rPr>
              <w:fldChar w:fldCharType="separate"/>
            </w:r>
            <w:r w:rsidR="00557AE9">
              <w:rPr>
                <w:noProof/>
                <w:webHidden/>
              </w:rPr>
              <w:t>65</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1" w:history="1">
            <w:r w:rsidR="008121E5" w:rsidRPr="00D47AF6">
              <w:rPr>
                <w:rStyle w:val="Hypertextovodkaz"/>
                <w:noProof/>
              </w:rPr>
              <w:t>4.2.</w:t>
            </w:r>
            <w:r w:rsidR="008121E5">
              <w:rPr>
                <w:rFonts w:asciiTheme="minorHAnsi" w:eastAsiaTheme="minorEastAsia" w:hAnsiTheme="minorHAnsi" w:cstheme="minorBidi"/>
                <w:noProof/>
                <w:sz w:val="22"/>
                <w:szCs w:val="22"/>
                <w:lang w:eastAsia="cs-CZ"/>
              </w:rPr>
              <w:tab/>
            </w:r>
            <w:r w:rsidR="008121E5" w:rsidRPr="00D47AF6">
              <w:rPr>
                <w:rStyle w:val="Hypertextovodkaz"/>
                <w:noProof/>
              </w:rPr>
              <w:t>Vazba specifických cílů NKR na jednotlivé operační programy</w:t>
            </w:r>
            <w:r w:rsidR="008121E5">
              <w:rPr>
                <w:noProof/>
                <w:webHidden/>
              </w:rPr>
              <w:tab/>
            </w:r>
            <w:r w:rsidR="008121E5">
              <w:rPr>
                <w:noProof/>
                <w:webHidden/>
              </w:rPr>
              <w:fldChar w:fldCharType="begin"/>
            </w:r>
            <w:r w:rsidR="008121E5">
              <w:rPr>
                <w:noProof/>
                <w:webHidden/>
              </w:rPr>
              <w:instrText xml:space="preserve"> PAGEREF _Toc13828231 \h </w:instrText>
            </w:r>
            <w:r w:rsidR="008121E5">
              <w:rPr>
                <w:noProof/>
                <w:webHidden/>
              </w:rPr>
            </w:r>
            <w:r w:rsidR="008121E5">
              <w:rPr>
                <w:noProof/>
                <w:webHidden/>
              </w:rPr>
              <w:fldChar w:fldCharType="separate"/>
            </w:r>
            <w:r w:rsidR="00557AE9">
              <w:rPr>
                <w:noProof/>
                <w:webHidden/>
              </w:rPr>
              <w:t>65</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2" w:history="1">
            <w:r w:rsidR="008121E5" w:rsidRPr="00D47AF6">
              <w:rPr>
                <w:rStyle w:val="Hypertextovodkaz"/>
                <w:noProof/>
              </w:rPr>
              <w:t>4.3.</w:t>
            </w:r>
            <w:r w:rsidR="008121E5">
              <w:rPr>
                <w:rFonts w:asciiTheme="minorHAnsi" w:eastAsiaTheme="minorEastAsia" w:hAnsiTheme="minorHAnsi" w:cstheme="minorBidi"/>
                <w:noProof/>
                <w:sz w:val="22"/>
                <w:szCs w:val="22"/>
                <w:lang w:eastAsia="cs-CZ"/>
              </w:rPr>
              <w:tab/>
            </w:r>
            <w:r w:rsidR="008121E5" w:rsidRPr="00D47AF6">
              <w:rPr>
                <w:rStyle w:val="Hypertextovodkaz"/>
                <w:noProof/>
              </w:rPr>
              <w:t>Územně-specifický přístup</w:t>
            </w:r>
            <w:r w:rsidR="008121E5">
              <w:rPr>
                <w:noProof/>
                <w:webHidden/>
              </w:rPr>
              <w:tab/>
            </w:r>
            <w:r w:rsidR="008121E5">
              <w:rPr>
                <w:noProof/>
                <w:webHidden/>
              </w:rPr>
              <w:fldChar w:fldCharType="begin"/>
            </w:r>
            <w:r w:rsidR="008121E5">
              <w:rPr>
                <w:noProof/>
                <w:webHidden/>
              </w:rPr>
              <w:instrText xml:space="preserve"> PAGEREF _Toc13828232 \h </w:instrText>
            </w:r>
            <w:r w:rsidR="008121E5">
              <w:rPr>
                <w:noProof/>
                <w:webHidden/>
              </w:rPr>
            </w:r>
            <w:r w:rsidR="008121E5">
              <w:rPr>
                <w:noProof/>
                <w:webHidden/>
              </w:rPr>
              <w:fldChar w:fldCharType="separate"/>
            </w:r>
            <w:r w:rsidR="00557AE9">
              <w:rPr>
                <w:noProof/>
                <w:webHidden/>
              </w:rPr>
              <w:t>68</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3" w:history="1">
            <w:r w:rsidR="008121E5" w:rsidRPr="00D47AF6">
              <w:rPr>
                <w:rStyle w:val="Hypertextovodkaz"/>
                <w:noProof/>
              </w:rPr>
              <w:t>4.4.</w:t>
            </w:r>
            <w:r w:rsidR="008121E5">
              <w:rPr>
                <w:rFonts w:asciiTheme="minorHAnsi" w:eastAsiaTheme="minorEastAsia" w:hAnsiTheme="minorHAnsi" w:cstheme="minorBidi"/>
                <w:noProof/>
                <w:sz w:val="22"/>
                <w:szCs w:val="22"/>
                <w:lang w:eastAsia="cs-CZ"/>
              </w:rPr>
              <w:tab/>
            </w:r>
            <w:r w:rsidR="008121E5" w:rsidRPr="00D47AF6">
              <w:rPr>
                <w:rStyle w:val="Hypertextovodkaz"/>
                <w:noProof/>
              </w:rPr>
              <w:t>Rýsující se hraniční oblasti</w:t>
            </w:r>
            <w:r w:rsidR="008121E5">
              <w:rPr>
                <w:noProof/>
                <w:webHidden/>
              </w:rPr>
              <w:tab/>
            </w:r>
            <w:r w:rsidR="008121E5">
              <w:rPr>
                <w:noProof/>
                <w:webHidden/>
              </w:rPr>
              <w:fldChar w:fldCharType="begin"/>
            </w:r>
            <w:r w:rsidR="008121E5">
              <w:rPr>
                <w:noProof/>
                <w:webHidden/>
              </w:rPr>
              <w:instrText xml:space="preserve"> PAGEREF _Toc13828233 \h </w:instrText>
            </w:r>
            <w:r w:rsidR="008121E5">
              <w:rPr>
                <w:noProof/>
                <w:webHidden/>
              </w:rPr>
            </w:r>
            <w:r w:rsidR="008121E5">
              <w:rPr>
                <w:noProof/>
                <w:webHidden/>
              </w:rPr>
              <w:fldChar w:fldCharType="separate"/>
            </w:r>
            <w:r w:rsidR="00557AE9">
              <w:rPr>
                <w:noProof/>
                <w:webHidden/>
              </w:rPr>
              <w:t>69</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4" w:history="1">
            <w:r w:rsidR="008121E5" w:rsidRPr="00D47AF6">
              <w:rPr>
                <w:rStyle w:val="Hypertextovodkaz"/>
                <w:noProof/>
              </w:rPr>
              <w:t>4.5.</w:t>
            </w:r>
            <w:r w:rsidR="008121E5">
              <w:rPr>
                <w:rFonts w:asciiTheme="minorHAnsi" w:eastAsiaTheme="minorEastAsia" w:hAnsiTheme="minorHAnsi" w:cstheme="minorBidi"/>
                <w:noProof/>
                <w:sz w:val="22"/>
                <w:szCs w:val="22"/>
                <w:lang w:eastAsia="cs-CZ"/>
              </w:rPr>
              <w:tab/>
            </w:r>
            <w:r w:rsidR="008121E5" w:rsidRPr="00D47AF6">
              <w:rPr>
                <w:rStyle w:val="Hypertextovodkaz"/>
                <w:noProof/>
              </w:rPr>
              <w:t>Doplňkovost s programy EU</w:t>
            </w:r>
            <w:r w:rsidR="008121E5">
              <w:rPr>
                <w:noProof/>
                <w:webHidden/>
              </w:rPr>
              <w:tab/>
            </w:r>
            <w:r w:rsidR="008121E5">
              <w:rPr>
                <w:noProof/>
                <w:webHidden/>
              </w:rPr>
              <w:fldChar w:fldCharType="begin"/>
            </w:r>
            <w:r w:rsidR="008121E5">
              <w:rPr>
                <w:noProof/>
                <w:webHidden/>
              </w:rPr>
              <w:instrText xml:space="preserve"> PAGEREF _Toc13828234 \h </w:instrText>
            </w:r>
            <w:r w:rsidR="008121E5">
              <w:rPr>
                <w:noProof/>
                <w:webHidden/>
              </w:rPr>
            </w:r>
            <w:r w:rsidR="008121E5">
              <w:rPr>
                <w:noProof/>
                <w:webHidden/>
              </w:rPr>
              <w:fldChar w:fldCharType="separate"/>
            </w:r>
            <w:r w:rsidR="00557AE9">
              <w:rPr>
                <w:noProof/>
                <w:webHidden/>
              </w:rPr>
              <w:t>71</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5" w:history="1">
            <w:r w:rsidR="008121E5" w:rsidRPr="00D47AF6">
              <w:rPr>
                <w:rStyle w:val="Hypertextovodkaz"/>
                <w:noProof/>
              </w:rPr>
              <w:t>4.6.</w:t>
            </w:r>
            <w:r w:rsidR="008121E5">
              <w:rPr>
                <w:rFonts w:asciiTheme="minorHAnsi" w:eastAsiaTheme="minorEastAsia" w:hAnsiTheme="minorHAnsi" w:cstheme="minorBidi"/>
                <w:noProof/>
                <w:sz w:val="22"/>
                <w:szCs w:val="22"/>
                <w:lang w:eastAsia="cs-CZ"/>
              </w:rPr>
              <w:tab/>
            </w:r>
            <w:r w:rsidR="008121E5" w:rsidRPr="00D47AF6">
              <w:rPr>
                <w:rStyle w:val="Hypertextovodkaz"/>
                <w:noProof/>
              </w:rPr>
              <w:t>Využitelnost finančních nástrojů</w:t>
            </w:r>
            <w:r w:rsidR="008121E5">
              <w:rPr>
                <w:noProof/>
                <w:webHidden/>
              </w:rPr>
              <w:tab/>
            </w:r>
            <w:r w:rsidR="008121E5">
              <w:rPr>
                <w:noProof/>
                <w:webHidden/>
              </w:rPr>
              <w:fldChar w:fldCharType="begin"/>
            </w:r>
            <w:r w:rsidR="008121E5">
              <w:rPr>
                <w:noProof/>
                <w:webHidden/>
              </w:rPr>
              <w:instrText xml:space="preserve"> PAGEREF _Toc13828235 \h </w:instrText>
            </w:r>
            <w:r w:rsidR="008121E5">
              <w:rPr>
                <w:noProof/>
                <w:webHidden/>
              </w:rPr>
            </w:r>
            <w:r w:rsidR="008121E5">
              <w:rPr>
                <w:noProof/>
                <w:webHidden/>
              </w:rPr>
              <w:fldChar w:fldCharType="separate"/>
            </w:r>
            <w:r w:rsidR="00557AE9">
              <w:rPr>
                <w:noProof/>
                <w:webHidden/>
              </w:rPr>
              <w:t>75</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6" w:history="1">
            <w:r w:rsidR="008121E5" w:rsidRPr="00D47AF6">
              <w:rPr>
                <w:rStyle w:val="Hypertextovodkaz"/>
                <w:noProof/>
              </w:rPr>
              <w:t>4.7.</w:t>
            </w:r>
            <w:r w:rsidR="008121E5">
              <w:rPr>
                <w:rFonts w:asciiTheme="minorHAnsi" w:eastAsiaTheme="minorEastAsia" w:hAnsiTheme="minorHAnsi" w:cstheme="minorBidi"/>
                <w:noProof/>
                <w:sz w:val="22"/>
                <w:szCs w:val="22"/>
                <w:lang w:eastAsia="cs-CZ"/>
              </w:rPr>
              <w:tab/>
            </w:r>
            <w:r w:rsidR="008121E5" w:rsidRPr="00D47AF6">
              <w:rPr>
                <w:rStyle w:val="Hypertextovodkaz"/>
                <w:noProof/>
              </w:rPr>
              <w:t>Vazba na společnou zemědělskou politiku</w:t>
            </w:r>
            <w:r w:rsidR="008121E5">
              <w:rPr>
                <w:noProof/>
                <w:webHidden/>
              </w:rPr>
              <w:tab/>
            </w:r>
            <w:r w:rsidR="008121E5">
              <w:rPr>
                <w:noProof/>
                <w:webHidden/>
              </w:rPr>
              <w:fldChar w:fldCharType="begin"/>
            </w:r>
            <w:r w:rsidR="008121E5">
              <w:rPr>
                <w:noProof/>
                <w:webHidden/>
              </w:rPr>
              <w:instrText xml:space="preserve"> PAGEREF _Toc13828236 \h </w:instrText>
            </w:r>
            <w:r w:rsidR="008121E5">
              <w:rPr>
                <w:noProof/>
                <w:webHidden/>
              </w:rPr>
            </w:r>
            <w:r w:rsidR="008121E5">
              <w:rPr>
                <w:noProof/>
                <w:webHidden/>
              </w:rPr>
              <w:fldChar w:fldCharType="separate"/>
            </w:r>
            <w:r w:rsidR="00557AE9">
              <w:rPr>
                <w:noProof/>
                <w:webHidden/>
              </w:rPr>
              <w:t>78</w:t>
            </w:r>
            <w:r w:rsidR="008121E5">
              <w:rPr>
                <w:noProof/>
                <w:webHidden/>
              </w:rPr>
              <w:fldChar w:fldCharType="end"/>
            </w:r>
          </w:hyperlink>
        </w:p>
        <w:p w:rsidR="008121E5" w:rsidRDefault="006C1DA3">
          <w:pPr>
            <w:pStyle w:val="Obsah2"/>
            <w:rPr>
              <w:rFonts w:asciiTheme="minorHAnsi" w:eastAsiaTheme="minorEastAsia" w:hAnsiTheme="minorHAnsi" w:cstheme="minorBidi"/>
              <w:noProof/>
              <w:sz w:val="22"/>
              <w:szCs w:val="22"/>
              <w:lang w:eastAsia="cs-CZ"/>
            </w:rPr>
          </w:pPr>
          <w:hyperlink w:anchor="_Toc13828237" w:history="1">
            <w:r w:rsidR="008121E5" w:rsidRPr="00D47AF6">
              <w:rPr>
                <w:rStyle w:val="Hypertextovodkaz"/>
                <w:noProof/>
              </w:rPr>
              <w:t>4.8.</w:t>
            </w:r>
            <w:r w:rsidR="008121E5">
              <w:rPr>
                <w:rFonts w:asciiTheme="minorHAnsi" w:eastAsiaTheme="minorEastAsia" w:hAnsiTheme="minorHAnsi" w:cstheme="minorBidi"/>
                <w:noProof/>
                <w:sz w:val="22"/>
                <w:szCs w:val="22"/>
                <w:lang w:eastAsia="cs-CZ"/>
              </w:rPr>
              <w:tab/>
            </w:r>
            <w:r w:rsidR="008121E5" w:rsidRPr="00D47AF6">
              <w:rPr>
                <w:rStyle w:val="Hypertextovodkaz"/>
                <w:noProof/>
              </w:rPr>
              <w:t>Doporučení a opatření</w:t>
            </w:r>
            <w:r w:rsidR="008121E5">
              <w:rPr>
                <w:noProof/>
                <w:webHidden/>
              </w:rPr>
              <w:tab/>
            </w:r>
            <w:r w:rsidR="008121E5">
              <w:rPr>
                <w:noProof/>
                <w:webHidden/>
              </w:rPr>
              <w:fldChar w:fldCharType="begin"/>
            </w:r>
            <w:r w:rsidR="008121E5">
              <w:rPr>
                <w:noProof/>
                <w:webHidden/>
              </w:rPr>
              <w:instrText xml:space="preserve"> PAGEREF _Toc13828237 \h </w:instrText>
            </w:r>
            <w:r w:rsidR="008121E5">
              <w:rPr>
                <w:noProof/>
                <w:webHidden/>
              </w:rPr>
            </w:r>
            <w:r w:rsidR="008121E5">
              <w:rPr>
                <w:noProof/>
                <w:webHidden/>
              </w:rPr>
              <w:fldChar w:fldCharType="separate"/>
            </w:r>
            <w:r w:rsidR="00557AE9">
              <w:rPr>
                <w:noProof/>
                <w:webHidden/>
              </w:rPr>
              <w:t>80</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238" w:history="1">
            <w:r w:rsidR="008121E5" w:rsidRPr="00D47AF6">
              <w:rPr>
                <w:rStyle w:val="Hypertextovodkaz"/>
                <w:noProof/>
              </w:rPr>
              <w:t>5.</w:t>
            </w:r>
            <w:r w:rsidR="008121E5">
              <w:rPr>
                <w:rFonts w:asciiTheme="minorHAnsi" w:eastAsiaTheme="minorEastAsia" w:hAnsiTheme="minorHAnsi" w:cstheme="minorBidi"/>
                <w:noProof/>
                <w:sz w:val="22"/>
                <w:szCs w:val="22"/>
                <w:lang w:eastAsia="cs-CZ"/>
              </w:rPr>
              <w:tab/>
            </w:r>
            <w:r w:rsidR="008121E5" w:rsidRPr="00D47AF6">
              <w:rPr>
                <w:rStyle w:val="Hypertextovodkaz"/>
                <w:noProof/>
              </w:rPr>
              <w:t>SEZNAM POUŽITÝCH ZDROJŮ</w:t>
            </w:r>
            <w:r w:rsidR="008121E5">
              <w:rPr>
                <w:noProof/>
                <w:webHidden/>
              </w:rPr>
              <w:tab/>
            </w:r>
            <w:r w:rsidR="008121E5">
              <w:rPr>
                <w:noProof/>
                <w:webHidden/>
              </w:rPr>
              <w:fldChar w:fldCharType="begin"/>
            </w:r>
            <w:r w:rsidR="008121E5">
              <w:rPr>
                <w:noProof/>
                <w:webHidden/>
              </w:rPr>
              <w:instrText xml:space="preserve"> PAGEREF _Toc13828238 \h </w:instrText>
            </w:r>
            <w:r w:rsidR="008121E5">
              <w:rPr>
                <w:noProof/>
                <w:webHidden/>
              </w:rPr>
            </w:r>
            <w:r w:rsidR="008121E5">
              <w:rPr>
                <w:noProof/>
                <w:webHidden/>
              </w:rPr>
              <w:fldChar w:fldCharType="separate"/>
            </w:r>
            <w:r w:rsidR="00557AE9">
              <w:rPr>
                <w:noProof/>
                <w:webHidden/>
              </w:rPr>
              <w:t>87</w:t>
            </w:r>
            <w:r w:rsidR="008121E5">
              <w:rPr>
                <w:noProof/>
                <w:webHidden/>
              </w:rPr>
              <w:fldChar w:fldCharType="end"/>
            </w:r>
          </w:hyperlink>
        </w:p>
        <w:p w:rsidR="008121E5" w:rsidRDefault="006C1DA3">
          <w:pPr>
            <w:pStyle w:val="Obsah1"/>
            <w:rPr>
              <w:rFonts w:asciiTheme="minorHAnsi" w:eastAsiaTheme="minorEastAsia" w:hAnsiTheme="minorHAnsi" w:cstheme="minorBidi"/>
              <w:noProof/>
              <w:sz w:val="22"/>
              <w:szCs w:val="22"/>
              <w:lang w:eastAsia="cs-CZ"/>
            </w:rPr>
          </w:pPr>
          <w:hyperlink w:anchor="_Toc13828239" w:history="1">
            <w:r w:rsidR="008121E5" w:rsidRPr="00D47AF6">
              <w:rPr>
                <w:rStyle w:val="Hypertextovodkaz"/>
                <w:noProof/>
              </w:rPr>
              <w:t>6.</w:t>
            </w:r>
            <w:r w:rsidR="008121E5">
              <w:rPr>
                <w:rFonts w:asciiTheme="minorHAnsi" w:eastAsiaTheme="minorEastAsia" w:hAnsiTheme="minorHAnsi" w:cstheme="minorBidi"/>
                <w:noProof/>
                <w:sz w:val="22"/>
                <w:szCs w:val="22"/>
                <w:lang w:eastAsia="cs-CZ"/>
              </w:rPr>
              <w:tab/>
            </w:r>
            <w:r w:rsidR="008121E5" w:rsidRPr="00D47AF6">
              <w:rPr>
                <w:rStyle w:val="Hypertextovodkaz"/>
                <w:noProof/>
              </w:rPr>
              <w:t>SEZNAM PŘÍLOH</w:t>
            </w:r>
            <w:r w:rsidR="008121E5">
              <w:rPr>
                <w:noProof/>
                <w:webHidden/>
              </w:rPr>
              <w:tab/>
            </w:r>
            <w:r w:rsidR="008121E5">
              <w:rPr>
                <w:noProof/>
                <w:webHidden/>
              </w:rPr>
              <w:fldChar w:fldCharType="begin"/>
            </w:r>
            <w:r w:rsidR="008121E5">
              <w:rPr>
                <w:noProof/>
                <w:webHidden/>
              </w:rPr>
              <w:instrText xml:space="preserve"> PAGEREF _Toc13828239 \h </w:instrText>
            </w:r>
            <w:r w:rsidR="008121E5">
              <w:rPr>
                <w:noProof/>
                <w:webHidden/>
              </w:rPr>
            </w:r>
            <w:r w:rsidR="008121E5">
              <w:rPr>
                <w:noProof/>
                <w:webHidden/>
              </w:rPr>
              <w:fldChar w:fldCharType="separate"/>
            </w:r>
            <w:r w:rsidR="00557AE9">
              <w:rPr>
                <w:noProof/>
                <w:webHidden/>
              </w:rPr>
              <w:t>89</w:t>
            </w:r>
            <w:r w:rsidR="008121E5">
              <w:rPr>
                <w:noProof/>
                <w:webHidden/>
              </w:rPr>
              <w:fldChar w:fldCharType="end"/>
            </w:r>
          </w:hyperlink>
        </w:p>
        <w:p w:rsidR="00053B1D" w:rsidRPr="00F427D2" w:rsidRDefault="00053B1D" w:rsidP="00053B1D">
          <w:pPr>
            <w:spacing w:line="240" w:lineRule="auto"/>
          </w:pPr>
          <w:r w:rsidRPr="00F427D2">
            <w:rPr>
              <w:b/>
              <w:bCs/>
            </w:rPr>
            <w:fldChar w:fldCharType="end"/>
          </w:r>
        </w:p>
      </w:sdtContent>
    </w:sdt>
    <w:p w:rsidR="00BB2A81" w:rsidRDefault="00BB2A81" w:rsidP="00053B1D">
      <w:pPr>
        <w:spacing w:line="240" w:lineRule="auto"/>
      </w:pPr>
    </w:p>
    <w:p w:rsidR="00BB2A81" w:rsidRDefault="004C0DA6">
      <w:pPr>
        <w:spacing w:before="0" w:line="240" w:lineRule="auto"/>
        <w:jc w:val="left"/>
      </w:pPr>
      <w:r w:rsidRPr="001B1C21">
        <w:br w:type="page"/>
      </w:r>
    </w:p>
    <w:p w:rsidR="00BB2A81" w:rsidRPr="00A45C58" w:rsidRDefault="00BB2A81" w:rsidP="00BB2A81">
      <w:pPr>
        <w:rPr>
          <w:b/>
          <w:u w:val="single"/>
        </w:rPr>
      </w:pPr>
      <w:r w:rsidRPr="00A45C58">
        <w:rPr>
          <w:b/>
          <w:u w:val="single"/>
        </w:rPr>
        <w:lastRenderedPageBreak/>
        <w:t>Seznam použitých zkratek</w:t>
      </w:r>
    </w:p>
    <w:p w:rsidR="00BB2A81" w:rsidRDefault="00BB2A81" w:rsidP="00BB2A81"/>
    <w:p w:rsidR="00BB2A81" w:rsidRPr="00C56ECF" w:rsidRDefault="00BB2A81" w:rsidP="00BB2A81">
      <w:r w:rsidRPr="00C56ECF">
        <w:t>AMIF</w:t>
      </w:r>
      <w:r w:rsidRPr="00C56ECF">
        <w:tab/>
      </w:r>
      <w:r w:rsidRPr="00C56ECF">
        <w:tab/>
        <w:t>Azylový, migrační a integrační fond</w:t>
      </w:r>
    </w:p>
    <w:p w:rsidR="00AB0501" w:rsidRPr="00C56ECF" w:rsidRDefault="00AB0501" w:rsidP="00BB2A81">
      <w:r w:rsidRPr="00C56ECF">
        <w:t>AMF</w:t>
      </w:r>
      <w:r w:rsidRPr="00C56ECF">
        <w:tab/>
      </w:r>
      <w:r w:rsidRPr="00C56ECF">
        <w:tab/>
      </w:r>
      <w:r w:rsidRPr="00C56ECF">
        <w:rPr>
          <w:bCs/>
        </w:rPr>
        <w:t>Azylový a migrační fond</w:t>
      </w:r>
    </w:p>
    <w:p w:rsidR="00BB2A81" w:rsidRPr="00C56ECF" w:rsidRDefault="00BB2A81" w:rsidP="00BB2A81">
      <w:r w:rsidRPr="00C56ECF">
        <w:t>BaP</w:t>
      </w:r>
      <w:r w:rsidRPr="00C56ECF">
        <w:tab/>
      </w:r>
      <w:r w:rsidRPr="00C56ECF">
        <w:tab/>
        <w:t>benzo(a)pyren</w:t>
      </w:r>
    </w:p>
    <w:p w:rsidR="00BB2A81" w:rsidRPr="00C56ECF" w:rsidRDefault="00BB2A81" w:rsidP="00BB2A81">
      <w:r w:rsidRPr="00C56ECF">
        <w:t>CEF</w:t>
      </w:r>
      <w:r w:rsidRPr="00C56ECF">
        <w:tab/>
      </w:r>
      <w:r w:rsidRPr="00C56ECF">
        <w:tab/>
        <w:t>Nástroj pro propojení Evropy</w:t>
      </w:r>
    </w:p>
    <w:p w:rsidR="00BB2A81" w:rsidRPr="00C56ECF" w:rsidRDefault="00BB2A81" w:rsidP="00BB2A81">
      <w:r w:rsidRPr="00C56ECF">
        <w:t>CF/FS</w:t>
      </w:r>
      <w:r w:rsidRPr="00C56ECF">
        <w:tab/>
      </w:r>
      <w:r w:rsidRPr="00C56ECF">
        <w:tab/>
        <w:t>Fond soudržnosti</w:t>
      </w:r>
    </w:p>
    <w:p w:rsidR="00BB2A81" w:rsidRPr="00C56ECF" w:rsidRDefault="00BB2A81" w:rsidP="00BB2A81">
      <w:r w:rsidRPr="00C56ECF">
        <w:t>CP</w:t>
      </w:r>
      <w:r w:rsidRPr="00C56ECF">
        <w:tab/>
      </w:r>
      <w:r w:rsidRPr="00C56ECF">
        <w:tab/>
        <w:t>cíl politik EU</w:t>
      </w:r>
    </w:p>
    <w:p w:rsidR="00080229" w:rsidRPr="00C56ECF" w:rsidRDefault="00080229" w:rsidP="00BB2A81">
      <w:r w:rsidRPr="00C56ECF">
        <w:t>CR</w:t>
      </w:r>
      <w:r w:rsidRPr="00C56ECF">
        <w:tab/>
      </w:r>
      <w:r w:rsidRPr="00C56ECF">
        <w:tab/>
        <w:t>Country Report pro ČR 2019</w:t>
      </w:r>
    </w:p>
    <w:p w:rsidR="00BB2A81" w:rsidRPr="00C56ECF" w:rsidRDefault="00BB2A81" w:rsidP="00BB2A81">
      <w:r w:rsidRPr="00C56ECF">
        <w:t>DESI</w:t>
      </w:r>
      <w:r w:rsidRPr="00C56ECF">
        <w:tab/>
      </w:r>
      <w:r w:rsidRPr="00C56ECF">
        <w:tab/>
        <w:t>Digital Economy and Society Index</w:t>
      </w:r>
    </w:p>
    <w:p w:rsidR="00BB2A81" w:rsidRPr="00C56ECF" w:rsidRDefault="00BB2A81" w:rsidP="00BB2A81">
      <w:r w:rsidRPr="00C56ECF">
        <w:t>EaSI</w:t>
      </w:r>
      <w:r w:rsidRPr="00C56ECF">
        <w:tab/>
      </w:r>
      <w:r w:rsidRPr="00C56ECF">
        <w:tab/>
        <w:t>Program pro zaměstnanost a sociální inovace</w:t>
      </w:r>
    </w:p>
    <w:p w:rsidR="00BB2A81" w:rsidRPr="00C56ECF" w:rsidRDefault="00BB2A81" w:rsidP="00BB2A81">
      <w:r w:rsidRPr="00C56ECF">
        <w:t>EGF</w:t>
      </w:r>
      <w:r w:rsidRPr="00C56ECF">
        <w:tab/>
      </w:r>
      <w:r w:rsidRPr="00C56ECF">
        <w:tab/>
        <w:t>Evropský globalizační fond</w:t>
      </w:r>
    </w:p>
    <w:p w:rsidR="00BB2A81" w:rsidRPr="00C56ECF" w:rsidRDefault="00BB2A81" w:rsidP="00BB2A81">
      <w:r w:rsidRPr="00C56ECF">
        <w:t>EPOS</w:t>
      </w:r>
      <w:r w:rsidRPr="00C56ECF">
        <w:tab/>
      </w:r>
      <w:r w:rsidRPr="00C56ECF">
        <w:tab/>
        <w:t>Expertní poradní skupiny pro budoucnost politiky soudržnosti</w:t>
      </w:r>
    </w:p>
    <w:p w:rsidR="00BB2A81" w:rsidRPr="00C56ECF" w:rsidRDefault="00BB2A81" w:rsidP="00BB2A81">
      <w:r w:rsidRPr="00C56ECF">
        <w:t>ERDF/EFRR</w:t>
      </w:r>
      <w:r w:rsidRPr="00C56ECF">
        <w:tab/>
        <w:t>Evropský fond pro regionální rozvoj</w:t>
      </w:r>
    </w:p>
    <w:p w:rsidR="00BB2A81" w:rsidRPr="00C56ECF" w:rsidRDefault="00BB2A81" w:rsidP="00BB2A81">
      <w:r w:rsidRPr="00C56ECF">
        <w:t>ESF</w:t>
      </w:r>
      <w:r w:rsidRPr="00C56ECF">
        <w:tab/>
      </w:r>
      <w:r w:rsidRPr="00C56ECF">
        <w:tab/>
        <w:t>Evropský sociální fond</w:t>
      </w:r>
    </w:p>
    <w:p w:rsidR="00BB2A81" w:rsidRPr="00C56ECF" w:rsidRDefault="00BB2A81" w:rsidP="00BB2A81">
      <w:r w:rsidRPr="00C56ECF">
        <w:t>ESIF</w:t>
      </w:r>
      <w:r w:rsidRPr="00C56ECF">
        <w:tab/>
      </w:r>
      <w:r w:rsidRPr="00C56ECF">
        <w:tab/>
        <w:t>Evropské strukturální a investiční fondy</w:t>
      </w:r>
    </w:p>
    <w:p w:rsidR="00BB2A81" w:rsidRPr="00C56ECF" w:rsidRDefault="00BB2A81" w:rsidP="00BB2A81">
      <w:r w:rsidRPr="00C56ECF">
        <w:t>ESSP</w:t>
      </w:r>
      <w:r w:rsidRPr="00C56ECF">
        <w:tab/>
      </w:r>
      <w:r w:rsidRPr="00C56ECF">
        <w:tab/>
        <w:t>Expertní skupina pro strategickou práci</w:t>
      </w:r>
    </w:p>
    <w:p w:rsidR="00BB2A81" w:rsidRPr="00C56ECF" w:rsidRDefault="00BB2A81" w:rsidP="00BB2A81">
      <w:r w:rsidRPr="00C56ECF">
        <w:t>EZFRV</w:t>
      </w:r>
      <w:r w:rsidRPr="00C56ECF">
        <w:tab/>
      </w:r>
      <w:r w:rsidRPr="00C56ECF">
        <w:tab/>
        <w:t>Evropský zemědělský fond pro rozvoj venkova</w:t>
      </w:r>
    </w:p>
    <w:p w:rsidR="00BB2A81" w:rsidRPr="00C56ECF" w:rsidRDefault="00BB2A81" w:rsidP="00BB2A81">
      <w:r w:rsidRPr="00C56ECF">
        <w:t>FEAD</w:t>
      </w:r>
      <w:r w:rsidRPr="00C56ECF">
        <w:tab/>
      </w:r>
      <w:r w:rsidRPr="00C56ECF">
        <w:tab/>
        <w:t xml:space="preserve">Fond evropské pomoci nejchudším osobám </w:t>
      </w:r>
    </w:p>
    <w:p w:rsidR="0060514C" w:rsidRPr="00C56ECF" w:rsidRDefault="0060514C" w:rsidP="00BB2A81">
      <w:r w:rsidRPr="00C56ECF">
        <w:t>FN</w:t>
      </w:r>
      <w:r w:rsidRPr="00C56ECF">
        <w:tab/>
      </w:r>
      <w:r w:rsidRPr="00C56ECF">
        <w:tab/>
        <w:t>Finanční nástroje</w:t>
      </w:r>
    </w:p>
    <w:p w:rsidR="00161C54" w:rsidRPr="00C56ECF" w:rsidRDefault="00161C54" w:rsidP="00161C54">
      <w:r w:rsidRPr="00C56ECF">
        <w:t>HDP</w:t>
      </w:r>
      <w:r w:rsidRPr="00C56ECF">
        <w:tab/>
      </w:r>
      <w:r w:rsidRPr="00C56ECF">
        <w:tab/>
        <w:t>hrubý domácí produkt</w:t>
      </w:r>
    </w:p>
    <w:p w:rsidR="00161C54" w:rsidRPr="00C56ECF" w:rsidRDefault="00161C54" w:rsidP="00161C54">
      <w:r w:rsidRPr="00C56ECF">
        <w:t>HMU</w:t>
      </w:r>
      <w:r w:rsidRPr="00C56ECF">
        <w:tab/>
      </w:r>
      <w:r w:rsidRPr="00C56ECF">
        <w:tab/>
        <w:t>Hospodářská a měnová unie</w:t>
      </w:r>
    </w:p>
    <w:p w:rsidR="00161C54" w:rsidRPr="00C56ECF" w:rsidRDefault="00161C54" w:rsidP="00161C54">
      <w:r w:rsidRPr="00C56ECF">
        <w:t>HND</w:t>
      </w:r>
      <w:r w:rsidRPr="00C56ECF">
        <w:tab/>
      </w:r>
      <w:r w:rsidRPr="00C56ECF">
        <w:tab/>
        <w:t>hrubý národní důchod</w:t>
      </w:r>
    </w:p>
    <w:p w:rsidR="00161C54" w:rsidRPr="00C56ECF" w:rsidRDefault="00161C54" w:rsidP="00161C54">
      <w:r w:rsidRPr="00C56ECF">
        <w:t>HPH</w:t>
      </w:r>
      <w:r w:rsidRPr="00C56ECF">
        <w:tab/>
      </w:r>
      <w:r w:rsidRPr="00C56ECF">
        <w:tab/>
        <w:t>hrubá přidaná hodnota</w:t>
      </w:r>
    </w:p>
    <w:p w:rsidR="00BB2A81" w:rsidRPr="00C56ECF" w:rsidRDefault="00BB2A81" w:rsidP="00BB2A81">
      <w:r w:rsidRPr="00C56ECF">
        <w:t>ICT</w:t>
      </w:r>
      <w:r w:rsidRPr="00C56ECF">
        <w:tab/>
      </w:r>
      <w:r w:rsidRPr="00C56ECF">
        <w:tab/>
        <w:t>Informační a komunikační technologie</w:t>
      </w:r>
    </w:p>
    <w:p w:rsidR="00BB2A81" w:rsidRPr="00C56ECF" w:rsidRDefault="00BB2A81" w:rsidP="00BB2A81">
      <w:r w:rsidRPr="00C56ECF">
        <w:t>IN</w:t>
      </w:r>
      <w:r w:rsidRPr="00C56ECF">
        <w:tab/>
      </w:r>
      <w:r w:rsidRPr="00C56ECF">
        <w:tab/>
        <w:t>Integrované nástroje</w:t>
      </w:r>
    </w:p>
    <w:p w:rsidR="00161C54" w:rsidRPr="00C56ECF" w:rsidRDefault="00161C54" w:rsidP="00161C54">
      <w:r w:rsidRPr="00C56ECF">
        <w:t>IROP</w:t>
      </w:r>
      <w:r w:rsidRPr="00C56ECF">
        <w:tab/>
      </w:r>
      <w:r w:rsidRPr="00C56ECF">
        <w:tab/>
        <w:t>Integrovaný regionální operační program</w:t>
      </w:r>
    </w:p>
    <w:p w:rsidR="00BB2A81" w:rsidRPr="00C56ECF" w:rsidRDefault="00BB2A81" w:rsidP="00BB2A81">
      <w:r w:rsidRPr="00C56ECF">
        <w:t>ISF</w:t>
      </w:r>
      <w:r w:rsidRPr="00C56ECF">
        <w:tab/>
      </w:r>
      <w:r w:rsidRPr="00C56ECF">
        <w:tab/>
        <w:t>Fond pro vnitřní bezpečnost</w:t>
      </w:r>
    </w:p>
    <w:p w:rsidR="00BB2A81" w:rsidRPr="00C56ECF" w:rsidRDefault="00BB2A81" w:rsidP="00BB2A81">
      <w:r w:rsidRPr="00C56ECF">
        <w:t>IZS</w:t>
      </w:r>
      <w:r w:rsidRPr="00C56ECF">
        <w:tab/>
      </w:r>
      <w:r w:rsidRPr="00C56ECF">
        <w:tab/>
        <w:t>Integrovaný záchran</w:t>
      </w:r>
      <w:r w:rsidR="0060514C" w:rsidRPr="00C56ECF">
        <w:t>n</w:t>
      </w:r>
      <w:r w:rsidRPr="00C56ECF">
        <w:t>ý systém</w:t>
      </w:r>
    </w:p>
    <w:p w:rsidR="008723AA" w:rsidRPr="00C56ECF" w:rsidRDefault="00551890" w:rsidP="008723AA">
      <w:pPr>
        <w:ind w:left="1418" w:hanging="1418"/>
        <w:rPr>
          <w:rFonts w:eastAsia="Times New Roman"/>
          <w:lang w:eastAsia="cs-CZ"/>
        </w:rPr>
      </w:pPr>
      <w:r w:rsidRPr="00C56ECF">
        <w:t>JNR</w:t>
      </w:r>
      <w:r w:rsidRPr="00C56ECF">
        <w:tab/>
        <w:t xml:space="preserve">Jednotný národní rámec pravidel a postupů </w:t>
      </w:r>
      <w:r w:rsidRPr="00C56ECF">
        <w:rPr>
          <w:rFonts w:eastAsia="Times New Roman"/>
          <w:lang w:eastAsia="cs-CZ"/>
        </w:rPr>
        <w:t>v rámci Evropského fondu pro regionální rozvoj, Evropského sociálního fondu+, Fondu soudržnosti a Evropského námořního a rybářského fondu v programovém období 2021-2027</w:t>
      </w:r>
    </w:p>
    <w:p w:rsidR="00A27CEA" w:rsidRPr="00C56ECF" w:rsidRDefault="00A27CEA" w:rsidP="00BB2A81">
      <w:r w:rsidRPr="00C56ECF">
        <w:t>KP</w:t>
      </w:r>
      <w:r w:rsidRPr="00C56ECF">
        <w:tab/>
      </w:r>
      <w:r w:rsidRPr="00C56ECF">
        <w:tab/>
        <w:t>Kohezní politika</w:t>
      </w:r>
    </w:p>
    <w:p w:rsidR="00080229" w:rsidRPr="00C56ECF" w:rsidRDefault="00080229" w:rsidP="00BB2A81">
      <w:r w:rsidRPr="00C56ECF">
        <w:t>KPSLV</w:t>
      </w:r>
      <w:r w:rsidRPr="00C56ECF">
        <w:tab/>
      </w:r>
      <w:r w:rsidRPr="00C56ECF">
        <w:tab/>
        <w:t>Koordinovaný přístup k sociálně vyloučeným lokalitám</w:t>
      </w:r>
    </w:p>
    <w:p w:rsidR="00BB2A81" w:rsidRPr="00C56ECF" w:rsidRDefault="00BB2A81" w:rsidP="00BB2A81">
      <w:r w:rsidRPr="00C56ECF">
        <w:t>LIFE</w:t>
      </w:r>
      <w:r w:rsidRPr="00C56ECF">
        <w:tab/>
      </w:r>
      <w:r w:rsidRPr="00C56ECF">
        <w:tab/>
        <w:t>Program pro životní prostředí a oblast klimatu</w:t>
      </w:r>
    </w:p>
    <w:p w:rsidR="00BB2A81" w:rsidRPr="00C56ECF" w:rsidRDefault="00BB2A81" w:rsidP="00BB2A81">
      <w:r w:rsidRPr="00C56ECF">
        <w:t>MBVI</w:t>
      </w:r>
      <w:r w:rsidRPr="00C56ECF">
        <w:tab/>
      </w:r>
      <w:r w:rsidRPr="00C56ECF">
        <w:tab/>
        <w:t>Nástroj pro řízení hranic a víz</w:t>
      </w:r>
    </w:p>
    <w:p w:rsidR="001403C3" w:rsidRPr="00C56ECF" w:rsidRDefault="001403C3" w:rsidP="00BB2A81">
      <w:r w:rsidRPr="00C56ECF">
        <w:t>MMR</w:t>
      </w:r>
      <w:r w:rsidRPr="00C56ECF">
        <w:tab/>
      </w:r>
      <w:r w:rsidRPr="00C56ECF">
        <w:tab/>
        <w:t>Ministerstvo pro místní rozvoj</w:t>
      </w:r>
    </w:p>
    <w:p w:rsidR="005F18D3" w:rsidRPr="00C56ECF" w:rsidRDefault="005F18D3" w:rsidP="00BB2A81">
      <w:r w:rsidRPr="00C56ECF">
        <w:t>MPŘ</w:t>
      </w:r>
      <w:r w:rsidRPr="00C56ECF">
        <w:tab/>
      </w:r>
      <w:r w:rsidRPr="00C56ECF">
        <w:tab/>
        <w:t>Mezirezortní připomínkové řízení</w:t>
      </w:r>
    </w:p>
    <w:p w:rsidR="00161C54" w:rsidRPr="00C56ECF" w:rsidRDefault="00161C54" w:rsidP="00161C54">
      <w:r w:rsidRPr="00C56ECF">
        <w:t>MSP</w:t>
      </w:r>
      <w:r w:rsidRPr="00C56ECF">
        <w:tab/>
      </w:r>
      <w:r w:rsidRPr="00C56ECF">
        <w:tab/>
        <w:t>malé a střední podniky</w:t>
      </w:r>
    </w:p>
    <w:p w:rsidR="00161C54" w:rsidRPr="00C56ECF" w:rsidRDefault="00161C54" w:rsidP="00161C54">
      <w:r w:rsidRPr="00C56ECF">
        <w:t>MŠMT</w:t>
      </w:r>
      <w:r w:rsidRPr="00C56ECF">
        <w:tab/>
      </w:r>
      <w:r w:rsidRPr="00C56ECF">
        <w:tab/>
        <w:t>Ministerstvo školství, mládeže a tělovýchovy</w:t>
      </w:r>
    </w:p>
    <w:p w:rsidR="00161C54" w:rsidRPr="00C56ECF" w:rsidRDefault="00161C54" w:rsidP="00161C54">
      <w:r w:rsidRPr="00C56ECF">
        <w:t>MZe</w:t>
      </w:r>
      <w:r w:rsidRPr="00C56ECF">
        <w:tab/>
      </w:r>
      <w:r w:rsidRPr="00C56ECF">
        <w:tab/>
        <w:t xml:space="preserve">Ministerstvo zemědělství </w:t>
      </w:r>
    </w:p>
    <w:p w:rsidR="00080229" w:rsidRPr="00C56ECF" w:rsidRDefault="00080229" w:rsidP="00BB2A81">
      <w:r w:rsidRPr="00C56ECF">
        <w:t>NDÚD</w:t>
      </w:r>
      <w:r w:rsidRPr="00C56ECF">
        <w:tab/>
      </w:r>
      <w:r w:rsidRPr="00C56ECF">
        <w:tab/>
        <w:t>Národní dokument k územní dimenzi</w:t>
      </w:r>
    </w:p>
    <w:p w:rsidR="001403C3" w:rsidRPr="00C56ECF" w:rsidRDefault="001403C3" w:rsidP="00BB2A81">
      <w:r w:rsidRPr="00C56ECF">
        <w:t>NOK</w:t>
      </w:r>
      <w:r w:rsidRPr="00C56ECF">
        <w:tab/>
      </w:r>
      <w:r w:rsidRPr="00C56ECF">
        <w:tab/>
        <w:t>Národní orgán pro koordinaci</w:t>
      </w:r>
    </w:p>
    <w:p w:rsidR="001D32F1" w:rsidRPr="00C56ECF" w:rsidRDefault="001D32F1" w:rsidP="00BB2A81">
      <w:r w:rsidRPr="00C56ECF">
        <w:t>NKM</w:t>
      </w:r>
      <w:r w:rsidRPr="00C56ECF">
        <w:tab/>
      </w:r>
      <w:r w:rsidRPr="00C56ECF">
        <w:tab/>
        <w:t>národní kontaktní místo</w:t>
      </w:r>
    </w:p>
    <w:p w:rsidR="00BB2A81" w:rsidRPr="00C56ECF" w:rsidRDefault="00BB2A81" w:rsidP="00BB2A81">
      <w:r w:rsidRPr="00C56ECF">
        <w:t>NKR</w:t>
      </w:r>
      <w:r w:rsidRPr="00C56ECF">
        <w:tab/>
      </w:r>
      <w:r w:rsidRPr="00C56ECF">
        <w:tab/>
        <w:t>Národní koncepce realizace politiky soudržnosti v ČR po roce 2020</w:t>
      </w:r>
    </w:p>
    <w:p w:rsidR="00BB2A81" w:rsidRPr="00C56ECF" w:rsidRDefault="00BB2A81" w:rsidP="00BB2A81">
      <w:r w:rsidRPr="00C56ECF">
        <w:t>NO2</w:t>
      </w:r>
      <w:r w:rsidRPr="00C56ECF">
        <w:tab/>
      </w:r>
      <w:r w:rsidRPr="00C56ECF">
        <w:tab/>
        <w:t>oxid dusičitý</w:t>
      </w:r>
    </w:p>
    <w:p w:rsidR="00BB2A81" w:rsidRPr="00C56ECF" w:rsidRDefault="00BB2A81" w:rsidP="00BB2A81">
      <w:r w:rsidRPr="00C56ECF">
        <w:t>OECD</w:t>
      </w:r>
      <w:r w:rsidRPr="00C56ECF">
        <w:tab/>
      </w:r>
      <w:r w:rsidRPr="00C56ECF">
        <w:tab/>
        <w:t>Organizace pro hospodářskou spolupráci a rozvoj</w:t>
      </w:r>
    </w:p>
    <w:p w:rsidR="001403C3" w:rsidRPr="00C56ECF" w:rsidRDefault="001403C3" w:rsidP="001403C3">
      <w:r w:rsidRPr="00C56ECF">
        <w:t>OP VVV</w:t>
      </w:r>
      <w:r w:rsidRPr="00C56ECF">
        <w:tab/>
        <w:t>Operační program výzkum, vývoj a vzdělávání</w:t>
      </w:r>
    </w:p>
    <w:p w:rsidR="001403C3" w:rsidRPr="00C56ECF" w:rsidRDefault="001403C3" w:rsidP="00BB2A81">
      <w:r w:rsidRPr="00C56ECF">
        <w:t>OP Z</w:t>
      </w:r>
      <w:r w:rsidRPr="00C56ECF">
        <w:tab/>
      </w:r>
      <w:r w:rsidRPr="00C56ECF">
        <w:tab/>
        <w:t>Operační program zaměstnanost</w:t>
      </w:r>
    </w:p>
    <w:p w:rsidR="00BB2A81" w:rsidRPr="00C56ECF" w:rsidRDefault="00BB2A81" w:rsidP="00BB2A81">
      <w:r w:rsidRPr="00C56ECF">
        <w:t>OZE</w:t>
      </w:r>
      <w:r w:rsidRPr="00C56ECF">
        <w:tab/>
      </w:r>
      <w:r w:rsidRPr="00C56ECF">
        <w:tab/>
        <w:t>obnovitelné zdroje energie</w:t>
      </w:r>
    </w:p>
    <w:p w:rsidR="00BB2A81" w:rsidRPr="00C56ECF" w:rsidRDefault="00BB2A81" w:rsidP="00BB2A81">
      <w:r w:rsidRPr="00C56ECF">
        <w:t>PM</w:t>
      </w:r>
      <w:r w:rsidRPr="00C56ECF">
        <w:tab/>
      </w:r>
      <w:r w:rsidRPr="00C56ECF">
        <w:tab/>
        <w:t xml:space="preserve">polétavé částice </w:t>
      </w:r>
    </w:p>
    <w:p w:rsidR="00BB2A81" w:rsidRPr="00C56ECF" w:rsidRDefault="00BB2A81" w:rsidP="00BB2A81">
      <w:r w:rsidRPr="00C56ECF">
        <w:t>PT RHSD</w:t>
      </w:r>
      <w:r w:rsidRPr="00C56ECF">
        <w:tab/>
        <w:t>Pracovní tým Rady hospodářské a sociální dohody</w:t>
      </w:r>
    </w:p>
    <w:p w:rsidR="00BB2A81" w:rsidRPr="00C56ECF" w:rsidRDefault="00BB2A81" w:rsidP="00BB2A81">
      <w:r w:rsidRPr="00C56ECF">
        <w:t>PZI</w:t>
      </w:r>
      <w:r w:rsidRPr="00C56ECF">
        <w:tab/>
      </w:r>
      <w:r w:rsidRPr="00C56ECF">
        <w:tab/>
        <w:t>přímé zahraniční investice</w:t>
      </w:r>
    </w:p>
    <w:p w:rsidR="00BB2A81" w:rsidRPr="00C56ECF" w:rsidRDefault="00BB2A81" w:rsidP="00BB2A81">
      <w:r w:rsidRPr="00C56ECF">
        <w:t>SRP</w:t>
      </w:r>
      <w:r w:rsidRPr="00C56ECF">
        <w:tab/>
      </w:r>
      <w:r w:rsidRPr="00C56ECF">
        <w:tab/>
        <w:t>Společná rybářská politika</w:t>
      </w:r>
    </w:p>
    <w:p w:rsidR="00156831" w:rsidRPr="00C56ECF" w:rsidRDefault="00156831" w:rsidP="00BB2A81">
      <w:r w:rsidRPr="00C56ECF">
        <w:t>SRPS</w:t>
      </w:r>
      <w:r w:rsidRPr="00C56ECF">
        <w:tab/>
      </w:r>
      <w:r w:rsidRPr="00C56ECF">
        <w:tab/>
        <w:t>Program na podporu strukturálních reforem</w:t>
      </w:r>
    </w:p>
    <w:p w:rsidR="00BB2A81" w:rsidRPr="00C56ECF" w:rsidRDefault="00BB2A81" w:rsidP="00BB2A81">
      <w:r w:rsidRPr="00C56ECF">
        <w:t>SZP</w:t>
      </w:r>
      <w:r w:rsidRPr="00C56ECF">
        <w:tab/>
      </w:r>
      <w:r w:rsidRPr="00C56ECF">
        <w:tab/>
        <w:t>Společná zemědělská politika</w:t>
      </w:r>
    </w:p>
    <w:p w:rsidR="00BB2A81" w:rsidRPr="00C56ECF" w:rsidRDefault="00BB2A81" w:rsidP="00BB2A81">
      <w:r w:rsidRPr="00C56ECF">
        <w:t>VaV</w:t>
      </w:r>
      <w:r w:rsidR="007C4A58" w:rsidRPr="00C56ECF">
        <w:t>aI</w:t>
      </w:r>
      <w:r w:rsidRPr="00C56ECF">
        <w:tab/>
      </w:r>
      <w:r w:rsidRPr="00C56ECF">
        <w:tab/>
        <w:t>Výzkum</w:t>
      </w:r>
      <w:r w:rsidR="007C4A58" w:rsidRPr="00C56ECF">
        <w:t>, vývoj a inovace</w:t>
      </w:r>
    </w:p>
    <w:p w:rsidR="005F18D3" w:rsidRPr="00C56ECF" w:rsidRDefault="005F18D3" w:rsidP="00BB2A81">
      <w:r w:rsidRPr="00C56ECF">
        <w:t>VPŘ</w:t>
      </w:r>
      <w:r w:rsidRPr="00C56ECF">
        <w:tab/>
      </w:r>
      <w:r w:rsidRPr="00C56ECF">
        <w:tab/>
        <w:t>Vnitřní připomínkové řízení</w:t>
      </w:r>
    </w:p>
    <w:p w:rsidR="00BB2A81" w:rsidRPr="00C56ECF" w:rsidRDefault="00BB2A81" w:rsidP="00BB2A81">
      <w:r w:rsidRPr="00C56ECF">
        <w:t>YEI</w:t>
      </w:r>
      <w:r w:rsidRPr="00C56ECF">
        <w:tab/>
      </w:r>
      <w:r w:rsidRPr="00C56ECF">
        <w:tab/>
        <w:t>Iniciativa na podporu zaměstnanosti mladých lidí</w:t>
      </w:r>
    </w:p>
    <w:p w:rsidR="00BB2A81" w:rsidRPr="00C56ECF" w:rsidRDefault="00BB2A81" w:rsidP="00BB2A81">
      <w:r w:rsidRPr="00C56ECF">
        <w:t>ZPF</w:t>
      </w:r>
      <w:r w:rsidRPr="00C56ECF">
        <w:tab/>
      </w:r>
      <w:r w:rsidRPr="00C56ECF">
        <w:tab/>
        <w:t>Zemědělský půdní fond</w:t>
      </w:r>
    </w:p>
    <w:p w:rsidR="00053B1D" w:rsidRPr="00F427D2" w:rsidRDefault="00053B1D" w:rsidP="00053B1D">
      <w:pPr>
        <w:spacing w:line="240" w:lineRule="auto"/>
      </w:pPr>
      <w:r w:rsidRPr="00F427D2">
        <w:br w:type="page"/>
      </w:r>
    </w:p>
    <w:p w:rsidR="005A7D09" w:rsidRDefault="005A7D09" w:rsidP="005A7D09">
      <w:pPr>
        <w:pStyle w:val="Nadpis1"/>
        <w:numPr>
          <w:ilvl w:val="0"/>
          <w:numId w:val="0"/>
        </w:numPr>
        <w:spacing w:before="0" w:line="240" w:lineRule="auto"/>
        <w:jc w:val="left"/>
      </w:pPr>
      <w:bookmarkStart w:id="5" w:name="_Toc7774191"/>
      <w:bookmarkStart w:id="6" w:name="_Toc13828187"/>
      <w:r>
        <w:t>Úvod</w:t>
      </w:r>
      <w:bookmarkEnd w:id="5"/>
      <w:bookmarkEnd w:id="6"/>
    </w:p>
    <w:p w:rsidR="002C66B5" w:rsidRPr="002C66B5" w:rsidRDefault="002C66B5" w:rsidP="002C66B5">
      <w:pPr>
        <w:spacing w:before="0" w:after="120" w:line="240" w:lineRule="auto"/>
        <w:rPr>
          <w:sz w:val="22"/>
          <w:szCs w:val="22"/>
        </w:rPr>
      </w:pPr>
      <w:r w:rsidRPr="002C66B5">
        <w:rPr>
          <w:sz w:val="22"/>
          <w:szCs w:val="22"/>
        </w:rPr>
        <w:t xml:space="preserve">Národní koncepce realizace politiky soudržnosti v ČR po roce 2020 (NKR) je stěžejním dokumentem, který určuje hlavní věcné oblasti financování politiky soudržnosti v ČR po roce 2020. První verze NKR (připravená MMR na základě </w:t>
      </w:r>
      <w:r w:rsidR="00721A95">
        <w:rPr>
          <w:sz w:val="22"/>
          <w:szCs w:val="22"/>
        </w:rPr>
        <w:t>u</w:t>
      </w:r>
      <w:r w:rsidRPr="002C66B5">
        <w:rPr>
          <w:sz w:val="22"/>
          <w:szCs w:val="22"/>
        </w:rPr>
        <w:t>snesení Vlády ČR č. 636 ze dne 11. září 2017) byla projednána vládou ČR dne 4. 2. 2019 (</w:t>
      </w:r>
      <w:r w:rsidR="00721A95">
        <w:rPr>
          <w:sz w:val="22"/>
          <w:szCs w:val="22"/>
        </w:rPr>
        <w:t>u</w:t>
      </w:r>
      <w:r w:rsidRPr="002C66B5">
        <w:rPr>
          <w:sz w:val="22"/>
          <w:szCs w:val="22"/>
        </w:rPr>
        <w:t xml:space="preserve">snesením č. 94) a zároveň byly schváleny národní priority v oblasti politiky soudržnosti a podoba operačních programů pro budoucí období. </w:t>
      </w:r>
    </w:p>
    <w:p w:rsidR="002C66B5" w:rsidRPr="002C66B5" w:rsidRDefault="00E829A2" w:rsidP="00C02894">
      <w:pPr>
        <w:spacing w:before="0" w:after="60" w:line="240" w:lineRule="auto"/>
        <w:rPr>
          <w:sz w:val="22"/>
          <w:szCs w:val="22"/>
        </w:rPr>
      </w:pPr>
      <w:r>
        <w:rPr>
          <w:sz w:val="22"/>
          <w:szCs w:val="22"/>
        </w:rPr>
        <w:t>V programovém období 2021-2027 budou realizovány tyto operační programy (OP)</w:t>
      </w:r>
      <w:r w:rsidR="002C66B5" w:rsidRPr="002C66B5">
        <w:rPr>
          <w:sz w:val="22"/>
          <w:szCs w:val="22"/>
        </w:rPr>
        <w:t>:</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Integrovaný regionální OP v gesci MMR (financování z EFRR)</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OP Konkurenceschopnost</w:t>
      </w:r>
      <w:r w:rsidR="00E829A2">
        <w:rPr>
          <w:rStyle w:val="Znakapoznpodarou"/>
          <w:rFonts w:ascii="Arial" w:hAnsi="Arial"/>
          <w:sz w:val="22"/>
          <w:szCs w:val="22"/>
        </w:rPr>
        <w:footnoteReference w:id="2"/>
      </w:r>
      <w:r w:rsidRPr="002C66B5">
        <w:rPr>
          <w:rFonts w:ascii="Arial" w:hAnsi="Arial"/>
          <w:sz w:val="22"/>
          <w:szCs w:val="22"/>
        </w:rPr>
        <w:t xml:space="preserve"> v gesci MPO (financování z EFRR)</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OP Doprava v gesci MD (financování z EFRR a FS)</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OP Životní prostředí v gesci MŽP (financování z EFRR a FS)</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 xml:space="preserve">OP </w:t>
      </w:r>
      <w:r w:rsidR="00E829A2">
        <w:rPr>
          <w:rFonts w:ascii="Arial" w:hAnsi="Arial"/>
          <w:sz w:val="22"/>
          <w:szCs w:val="22"/>
        </w:rPr>
        <w:t>Jan Amos Komenský</w:t>
      </w:r>
      <w:r w:rsidRPr="002C66B5">
        <w:rPr>
          <w:rFonts w:ascii="Arial" w:hAnsi="Arial"/>
          <w:sz w:val="22"/>
          <w:szCs w:val="22"/>
        </w:rPr>
        <w:t xml:space="preserve"> v gesci MŠMT (financování z EFRR a ESF+)</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 xml:space="preserve">OP </w:t>
      </w:r>
      <w:r w:rsidR="00E829A2">
        <w:rPr>
          <w:rFonts w:ascii="Arial" w:hAnsi="Arial"/>
          <w:sz w:val="22"/>
          <w:szCs w:val="22"/>
        </w:rPr>
        <w:t>Zaměstnanost +</w:t>
      </w:r>
      <w:r w:rsidR="00E829A2">
        <w:rPr>
          <w:rStyle w:val="Znakapoznpodarou"/>
          <w:rFonts w:ascii="Arial" w:hAnsi="Arial"/>
          <w:sz w:val="22"/>
          <w:szCs w:val="22"/>
        </w:rPr>
        <w:footnoteReference w:id="3"/>
      </w:r>
      <w:r w:rsidRPr="002C66B5">
        <w:rPr>
          <w:rFonts w:ascii="Arial" w:hAnsi="Arial"/>
          <w:sz w:val="22"/>
          <w:szCs w:val="22"/>
        </w:rPr>
        <w:t xml:space="preserve"> v gesci MPSV (financování z ESF+)</w:t>
      </w:r>
    </w:p>
    <w:p w:rsidR="002C66B5" w:rsidRPr="002C66B5" w:rsidRDefault="002C66B5" w:rsidP="00C02894">
      <w:pPr>
        <w:pStyle w:val="Odstavecseseznamem"/>
        <w:numPr>
          <w:ilvl w:val="0"/>
          <w:numId w:val="27"/>
        </w:numPr>
        <w:spacing w:before="40" w:after="80" w:line="240" w:lineRule="auto"/>
        <w:ind w:left="714" w:hanging="357"/>
        <w:contextualSpacing w:val="0"/>
        <w:rPr>
          <w:rFonts w:ascii="Arial" w:hAnsi="Arial"/>
          <w:sz w:val="22"/>
          <w:szCs w:val="22"/>
        </w:rPr>
      </w:pPr>
      <w:r w:rsidRPr="002C66B5">
        <w:rPr>
          <w:rFonts w:ascii="Arial" w:hAnsi="Arial"/>
          <w:sz w:val="22"/>
          <w:szCs w:val="22"/>
        </w:rPr>
        <w:t xml:space="preserve">OP </w:t>
      </w:r>
      <w:r w:rsidR="002E6F4F">
        <w:rPr>
          <w:rFonts w:ascii="Arial" w:hAnsi="Arial"/>
          <w:sz w:val="22"/>
          <w:szCs w:val="22"/>
        </w:rPr>
        <w:t>Technická pomoc</w:t>
      </w:r>
      <w:r w:rsidRPr="002C66B5">
        <w:rPr>
          <w:rFonts w:ascii="Arial" w:hAnsi="Arial"/>
          <w:sz w:val="22"/>
          <w:szCs w:val="22"/>
        </w:rPr>
        <w:t xml:space="preserve"> v gesci MMR (financování z EFRR</w:t>
      </w:r>
      <w:r w:rsidR="00A758E3">
        <w:rPr>
          <w:rFonts w:ascii="Arial" w:hAnsi="Arial"/>
          <w:sz w:val="22"/>
          <w:szCs w:val="22"/>
        </w:rPr>
        <w:t xml:space="preserve"> /</w:t>
      </w:r>
      <w:r w:rsidR="00A758E3" w:rsidRPr="002C66B5">
        <w:rPr>
          <w:rFonts w:ascii="Arial" w:hAnsi="Arial"/>
          <w:sz w:val="22"/>
          <w:szCs w:val="22"/>
        </w:rPr>
        <w:t xml:space="preserve"> </w:t>
      </w:r>
      <w:r w:rsidRPr="002C66B5">
        <w:rPr>
          <w:rFonts w:ascii="Arial" w:hAnsi="Arial"/>
          <w:sz w:val="22"/>
          <w:szCs w:val="22"/>
        </w:rPr>
        <w:t xml:space="preserve">ESF+ </w:t>
      </w:r>
      <w:r w:rsidR="00A758E3">
        <w:rPr>
          <w:rFonts w:ascii="Arial" w:hAnsi="Arial"/>
          <w:sz w:val="22"/>
          <w:szCs w:val="22"/>
        </w:rPr>
        <w:t>/</w:t>
      </w:r>
      <w:r w:rsidR="00A758E3" w:rsidRPr="002C66B5">
        <w:rPr>
          <w:rFonts w:ascii="Arial" w:hAnsi="Arial"/>
          <w:sz w:val="22"/>
          <w:szCs w:val="22"/>
        </w:rPr>
        <w:t xml:space="preserve"> </w:t>
      </w:r>
      <w:r w:rsidRPr="002C66B5">
        <w:rPr>
          <w:rFonts w:ascii="Arial" w:hAnsi="Arial"/>
          <w:sz w:val="22"/>
          <w:szCs w:val="22"/>
        </w:rPr>
        <w:t>FS)</w:t>
      </w:r>
    </w:p>
    <w:p w:rsidR="002C66B5" w:rsidRPr="00590FD1" w:rsidRDefault="002C66B5" w:rsidP="00E829A2">
      <w:pPr>
        <w:pStyle w:val="Odstavecseseznamem"/>
        <w:numPr>
          <w:ilvl w:val="0"/>
          <w:numId w:val="27"/>
        </w:numPr>
        <w:spacing w:before="40" w:after="80" w:line="240" w:lineRule="auto"/>
        <w:ind w:left="714" w:hanging="357"/>
        <w:contextualSpacing w:val="0"/>
        <w:rPr>
          <w:rFonts w:ascii="Arial" w:hAnsi="Arial"/>
          <w:sz w:val="22"/>
          <w:szCs w:val="22"/>
        </w:rPr>
      </w:pPr>
      <w:r w:rsidRPr="00590FD1">
        <w:rPr>
          <w:rFonts w:ascii="Arial" w:hAnsi="Arial"/>
          <w:sz w:val="22"/>
          <w:szCs w:val="22"/>
        </w:rPr>
        <w:t>OP Přeshraniční spolupráce, aktuálně dojednáno mezi ČR a Polskem v gesci MMR (financování z EFRR) a další programy přeshraniční spolupráce, kde Česká republika hraje koordinační roli (správcem je MMR).</w:t>
      </w:r>
    </w:p>
    <w:p w:rsidR="002C66B5" w:rsidRPr="002C66B5" w:rsidRDefault="002C66B5" w:rsidP="00590FD1">
      <w:pPr>
        <w:spacing w:before="40" w:after="80" w:line="240" w:lineRule="auto"/>
        <w:rPr>
          <w:sz w:val="22"/>
          <w:szCs w:val="22"/>
        </w:rPr>
      </w:pPr>
      <w:r w:rsidRPr="002C66B5">
        <w:rPr>
          <w:sz w:val="22"/>
          <w:szCs w:val="22"/>
        </w:rPr>
        <w:t xml:space="preserve">Zároveň bude součástí EU fondů také OP Rybářství v gesci </w:t>
      </w:r>
      <w:r w:rsidR="003866C7">
        <w:rPr>
          <w:sz w:val="22"/>
          <w:szCs w:val="22"/>
        </w:rPr>
        <w:t>MZe</w:t>
      </w:r>
      <w:r w:rsidRPr="002C66B5">
        <w:rPr>
          <w:sz w:val="22"/>
          <w:szCs w:val="22"/>
        </w:rPr>
        <w:t>.</w:t>
      </w:r>
    </w:p>
    <w:p w:rsidR="002C66B5" w:rsidRPr="002C66B5" w:rsidRDefault="002C66B5" w:rsidP="002C66B5">
      <w:pPr>
        <w:spacing w:before="0" w:after="120" w:line="240" w:lineRule="auto"/>
        <w:rPr>
          <w:sz w:val="22"/>
          <w:szCs w:val="22"/>
        </w:rPr>
      </w:pPr>
      <w:r w:rsidRPr="002C66B5">
        <w:rPr>
          <w:sz w:val="22"/>
          <w:szCs w:val="22"/>
        </w:rPr>
        <w:t>Na realizaci EU fondů má ČR pro období 2021-20</w:t>
      </w:r>
      <w:r w:rsidR="00012E8E">
        <w:rPr>
          <w:sz w:val="22"/>
          <w:szCs w:val="22"/>
        </w:rPr>
        <w:t>2</w:t>
      </w:r>
      <w:r w:rsidRPr="002C66B5">
        <w:rPr>
          <w:sz w:val="22"/>
          <w:szCs w:val="22"/>
        </w:rPr>
        <w:t>7 k dispozici 20,1 mld. EUR (v</w:t>
      </w:r>
      <w:r w:rsidR="00012E8E">
        <w:rPr>
          <w:sz w:val="22"/>
          <w:szCs w:val="22"/>
        </w:rPr>
        <w:t> </w:t>
      </w:r>
      <w:r w:rsidRPr="002C66B5">
        <w:rPr>
          <w:sz w:val="22"/>
          <w:szCs w:val="22"/>
        </w:rPr>
        <w:t>běžných cenách), byť i tato částka může v rámci vyjednávání ještě doznat změn. Rozdělení prostředků se bude mj. řídit nejen tím, jak a kde si ČR představuje investovat, ale také musí respektovat mj. pravidla uvedená v EU legislativě (pro rozpočet a pro kohezi), např. pravidla tematické koncentrace (na politický cíl 1 a 2; na oblast klima</w:t>
      </w:r>
      <w:r w:rsidR="008C143C">
        <w:rPr>
          <w:sz w:val="22"/>
          <w:szCs w:val="22"/>
        </w:rPr>
        <w:t>tu</w:t>
      </w:r>
      <w:r w:rsidRPr="002C66B5">
        <w:rPr>
          <w:sz w:val="22"/>
          <w:szCs w:val="22"/>
        </w:rPr>
        <w:t>, na sociální začleňování, či na oblast městského rozvoje).</w:t>
      </w:r>
    </w:p>
    <w:p w:rsidR="002C66B5" w:rsidRPr="002C66B5" w:rsidRDefault="002C66B5" w:rsidP="002C66B5">
      <w:pPr>
        <w:spacing w:before="0" w:after="120" w:line="240" w:lineRule="auto"/>
        <w:rPr>
          <w:sz w:val="22"/>
          <w:szCs w:val="22"/>
        </w:rPr>
      </w:pPr>
      <w:r w:rsidRPr="002C66B5">
        <w:rPr>
          <w:sz w:val="22"/>
          <w:szCs w:val="22"/>
        </w:rPr>
        <w:t>Součástí prací na NKR byla tvorba tematických karet specifických cílů a jejich následné hodnocení v rámci prioritizace, jejímž smyslem bylo zhodnotit důležitost, připravenost a další atributy relevantní pro rozhodování o budoucí podpoře z EU fondů a také navrhnout opatření a doporučení pro Dohodu o partnerství a operační programy se zdůrazněním slabých a</w:t>
      </w:r>
      <w:r w:rsidR="00012E8E">
        <w:rPr>
          <w:sz w:val="22"/>
          <w:szCs w:val="22"/>
        </w:rPr>
        <w:t> </w:t>
      </w:r>
      <w:r w:rsidRPr="002C66B5">
        <w:rPr>
          <w:sz w:val="22"/>
          <w:szCs w:val="22"/>
        </w:rPr>
        <w:t>rizikových oblastí, které je třeba řešit a eliminovat, a také s návrhy na vhodné zaměření podpory v některých oblastech. Výsledky tohoto procesu jsou shrnuty v samostatné kapitole. NKR, tematické karty i metodika pro prioritizaci byly opakovaně konzultovány resorty, které věcně odpovídají za jednotlivá témata, sociálními a regionálními partnery i nezávislými odborníky.</w:t>
      </w:r>
    </w:p>
    <w:p w:rsidR="002C66B5" w:rsidRPr="002C66B5" w:rsidRDefault="002C66B5" w:rsidP="002C66B5">
      <w:pPr>
        <w:spacing w:before="0" w:after="120" w:line="240" w:lineRule="auto"/>
        <w:rPr>
          <w:sz w:val="22"/>
          <w:szCs w:val="22"/>
        </w:rPr>
      </w:pPr>
      <w:r w:rsidRPr="002C66B5">
        <w:rPr>
          <w:sz w:val="22"/>
          <w:szCs w:val="22"/>
        </w:rPr>
        <w:t xml:space="preserve">Účelem prioritizace nebylo jednotlivé specifické cíle a priority vyřazovat z budoucí podpory či stanovovat pořadí důležitosti mezi jednotlivými tematickými oblastmi. Cílem je doporučit pořadí priorit specifických cílů v rámci širších tematických oblastí, identifikovat silná, slabá místa a bariéry, u nichž je třeba problémové aspekty řešit tak, aby byla rizika implementace kohezní politiky v budoucím období odstraněna či maximálně eliminována. Výsledky prioritizace budou využity pro přípravu Dohody o partnerství a operačních programů. </w:t>
      </w:r>
    </w:p>
    <w:p w:rsidR="002C66B5" w:rsidRPr="002C66B5" w:rsidRDefault="002C66B5" w:rsidP="002C66B5">
      <w:pPr>
        <w:spacing w:before="0" w:after="120" w:line="240" w:lineRule="auto"/>
        <w:rPr>
          <w:sz w:val="22"/>
          <w:szCs w:val="22"/>
        </w:rPr>
      </w:pPr>
      <w:r w:rsidRPr="002C66B5">
        <w:rPr>
          <w:sz w:val="22"/>
          <w:szCs w:val="22"/>
        </w:rPr>
        <w:t>Koncepce nezahrnuje Společnou zemědělskou politiku (SZP) zahrnující přímé platby financované z Evropského zemědělského záručního fondu a Program rozvoje venkova financovaný z Evropského zemědělského fondu pro rozvoj venkova.</w:t>
      </w:r>
    </w:p>
    <w:p w:rsidR="002C66B5" w:rsidRDefault="002C66B5" w:rsidP="002C66B5">
      <w:pPr>
        <w:spacing w:before="0" w:after="120" w:line="240" w:lineRule="auto"/>
        <w:rPr>
          <w:sz w:val="22"/>
          <w:szCs w:val="22"/>
        </w:rPr>
      </w:pPr>
      <w:r w:rsidRPr="002C66B5">
        <w:rPr>
          <w:sz w:val="22"/>
          <w:szCs w:val="22"/>
        </w:rPr>
        <w:t xml:space="preserve">Koncepce zároveň řeší témata, u nichž je potenciál financování z </w:t>
      </w:r>
      <w:r w:rsidR="008C143C">
        <w:rPr>
          <w:sz w:val="22"/>
          <w:szCs w:val="22"/>
        </w:rPr>
        <w:t>fondů EU</w:t>
      </w:r>
      <w:r w:rsidRPr="002C66B5">
        <w:rPr>
          <w:sz w:val="22"/>
          <w:szCs w:val="22"/>
        </w:rPr>
        <w:t>. Z tohoto důvodu nejsou některé oblasti v NKR řešeny vůbec (např. jaderná energie, letecká doprava, reforma důchodů a systému sociálního zabezpečení, skládkování komunálního odpadu či také oblasti ze společné zemědělské politiky), nebo jen dílčím způsobem (např. vodní doprava, zpracování odpadu - energetické využití aj). V obecné rovině to ovšem neznamená, že se o</w:t>
      </w:r>
      <w:r w:rsidR="00012E8E">
        <w:rPr>
          <w:sz w:val="22"/>
          <w:szCs w:val="22"/>
        </w:rPr>
        <w:t> </w:t>
      </w:r>
      <w:r w:rsidRPr="002C66B5">
        <w:rPr>
          <w:sz w:val="22"/>
          <w:szCs w:val="22"/>
        </w:rPr>
        <w:t xml:space="preserve">podpoře takovýchto důležitých oblastí neuvažuje z jiných zdrojů (z národních prostředků, přímo řízených programů aj.). </w:t>
      </w:r>
      <w:r w:rsidR="00E122AF">
        <w:rPr>
          <w:sz w:val="22"/>
          <w:szCs w:val="22"/>
        </w:rPr>
        <w:t>Níže uvedené schéma znázorňuje NKR v kontextu širších vztahů a vaz</w:t>
      </w:r>
      <w:r w:rsidR="00C83105">
        <w:rPr>
          <w:sz w:val="22"/>
          <w:szCs w:val="22"/>
        </w:rPr>
        <w:t>eb jak na strategické dokumenty či</w:t>
      </w:r>
      <w:r w:rsidR="00E122AF">
        <w:rPr>
          <w:sz w:val="22"/>
          <w:szCs w:val="22"/>
        </w:rPr>
        <w:t xml:space="preserve"> víceletý finanční rámec EU, tak na Dohodu o partnerství a operační programy.</w:t>
      </w:r>
    </w:p>
    <w:p w:rsidR="00D00C2E" w:rsidRPr="00590FD1" w:rsidRDefault="00B65759" w:rsidP="002C66B5">
      <w:pPr>
        <w:spacing w:before="0" w:after="120" w:line="240" w:lineRule="auto"/>
        <w:rPr>
          <w:i/>
          <w:sz w:val="22"/>
          <w:szCs w:val="22"/>
        </w:rPr>
      </w:pPr>
      <w:r>
        <w:rPr>
          <w:i/>
          <w:sz w:val="22"/>
          <w:szCs w:val="22"/>
        </w:rPr>
        <w:t xml:space="preserve">Schéma: </w:t>
      </w:r>
      <w:r w:rsidR="00EA449A" w:rsidRPr="00590FD1">
        <w:rPr>
          <w:i/>
          <w:sz w:val="22"/>
          <w:szCs w:val="22"/>
        </w:rPr>
        <w:t>Postavení NKR v kontextu přípravy programového období 2021-2027</w:t>
      </w:r>
    </w:p>
    <w:p w:rsidR="00DC288D" w:rsidRDefault="00DC288D" w:rsidP="002C66B5">
      <w:pPr>
        <w:spacing w:before="0" w:after="120" w:line="240" w:lineRule="auto"/>
        <w:rPr>
          <w:sz w:val="22"/>
          <w:szCs w:val="22"/>
        </w:rPr>
      </w:pPr>
      <w:r>
        <w:rPr>
          <w:noProof/>
          <w:sz w:val="22"/>
          <w:szCs w:val="22"/>
          <w:lang w:eastAsia="cs-CZ"/>
        </w:rPr>
        <w:drawing>
          <wp:inline distT="0" distB="0" distL="0" distR="0" wp14:anchorId="10F73A3C" wp14:editId="6803EAFA">
            <wp:extent cx="5756392" cy="3162300"/>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9806" cy="3169669"/>
                    </a:xfrm>
                    <a:prstGeom prst="rect">
                      <a:avLst/>
                    </a:prstGeom>
                    <a:noFill/>
                  </pic:spPr>
                </pic:pic>
              </a:graphicData>
            </a:graphic>
          </wp:inline>
        </w:drawing>
      </w:r>
    </w:p>
    <w:p w:rsidR="00D00C2E" w:rsidRPr="002C66B5" w:rsidRDefault="00D00C2E" w:rsidP="002C66B5">
      <w:pPr>
        <w:spacing w:before="0" w:after="120" w:line="240" w:lineRule="auto"/>
        <w:rPr>
          <w:sz w:val="22"/>
          <w:szCs w:val="22"/>
        </w:rPr>
      </w:pPr>
    </w:p>
    <w:p w:rsidR="00847786" w:rsidRDefault="00847786" w:rsidP="002E5ED4">
      <w:pPr>
        <w:pStyle w:val="Nadpis2"/>
        <w:numPr>
          <w:ilvl w:val="0"/>
          <w:numId w:val="0"/>
        </w:numPr>
        <w:jc w:val="left"/>
      </w:pPr>
      <w:bookmarkStart w:id="7" w:name="_Toc13828188"/>
      <w:r>
        <w:t xml:space="preserve">Shrnutí změn oproti verzi NKR projednané v lednu </w:t>
      </w:r>
      <w:r w:rsidR="00E205EC">
        <w:t>2019</w:t>
      </w:r>
      <w:bookmarkEnd w:id="7"/>
    </w:p>
    <w:p w:rsidR="002C66B5" w:rsidRPr="002C66B5" w:rsidRDefault="002C66B5" w:rsidP="002C66B5">
      <w:pPr>
        <w:rPr>
          <w:sz w:val="22"/>
          <w:szCs w:val="22"/>
        </w:rPr>
      </w:pPr>
      <w:r w:rsidRPr="002C66B5">
        <w:rPr>
          <w:sz w:val="22"/>
          <w:szCs w:val="22"/>
        </w:rPr>
        <w:t>Analytická část NKR doznala pouze dílčí úpravy. Tam, kde to bylo možné, došlo k aktualizaci jejího textu. V návaznosti na připomínkové řízení a další podněty byly u všech sektorových oblastí upraveny názvy podoblastí, případně byly přidány nové podoblasti vč. rozšíření o</w:t>
      </w:r>
      <w:r w:rsidR="00012E8E">
        <w:rPr>
          <w:sz w:val="22"/>
          <w:szCs w:val="22"/>
        </w:rPr>
        <w:t> </w:t>
      </w:r>
      <w:r w:rsidRPr="002C66B5">
        <w:rPr>
          <w:sz w:val="22"/>
          <w:szCs w:val="22"/>
        </w:rPr>
        <w:t xml:space="preserve">téma cestovního ruchu. Zároveň byla upravena i SWOT analýza za tematické oblasti NKR o uvedené rozšíření. V návaznosti na probíhající vyjednávání a ve vazbě na specifická doporučení Rady pro ČR byl částečně aktualizován text věnovaný </w:t>
      </w:r>
      <w:r w:rsidR="008040F6">
        <w:rPr>
          <w:sz w:val="22"/>
          <w:szCs w:val="22"/>
        </w:rPr>
        <w:t>e</w:t>
      </w:r>
      <w:r w:rsidRPr="002C66B5">
        <w:rPr>
          <w:sz w:val="22"/>
          <w:szCs w:val="22"/>
        </w:rPr>
        <w:t xml:space="preserve">vropské rovině, vazba specifických cílů NKR na cíle politiky dle obecného nařízení je uvedena v příloze NKR. </w:t>
      </w:r>
    </w:p>
    <w:p w:rsidR="002C66B5" w:rsidRPr="002C66B5" w:rsidRDefault="002C66B5" w:rsidP="002C66B5">
      <w:pPr>
        <w:rPr>
          <w:sz w:val="22"/>
          <w:szCs w:val="22"/>
        </w:rPr>
      </w:pPr>
      <w:r w:rsidRPr="002C66B5">
        <w:rPr>
          <w:sz w:val="22"/>
          <w:szCs w:val="22"/>
        </w:rPr>
        <w:t xml:space="preserve">Největší změny se týkají </w:t>
      </w:r>
      <w:r w:rsidR="008040F6">
        <w:rPr>
          <w:sz w:val="22"/>
          <w:szCs w:val="22"/>
        </w:rPr>
        <w:t>n</w:t>
      </w:r>
      <w:r w:rsidRPr="002C66B5">
        <w:rPr>
          <w:sz w:val="22"/>
          <w:szCs w:val="22"/>
        </w:rPr>
        <w:t>ávrhové části NKR. Do Návrhové části byla nově zařazena kapitola Vztah specifických cílů NKR k průřezovým oblastem Společnost 4.0, Změna klimatu a Územní dimenze. V rámci ní je posouzena významnost jednotlivých tematických oblastí/specifických cílů k těmto průřezovým oblastem. Přehled specifických cílů NKR ve</w:t>
      </w:r>
      <w:r w:rsidR="00012E8E">
        <w:rPr>
          <w:sz w:val="22"/>
          <w:szCs w:val="22"/>
        </w:rPr>
        <w:t> </w:t>
      </w:r>
      <w:r w:rsidRPr="002C66B5">
        <w:rPr>
          <w:sz w:val="22"/>
          <w:szCs w:val="22"/>
        </w:rPr>
        <w:t xml:space="preserve">vazbě na průřezové oblasti je přílohou NKR. </w:t>
      </w:r>
    </w:p>
    <w:p w:rsidR="002C66B5" w:rsidRPr="002C66B5" w:rsidRDefault="002C66B5" w:rsidP="002C66B5">
      <w:pPr>
        <w:rPr>
          <w:sz w:val="22"/>
          <w:szCs w:val="22"/>
        </w:rPr>
      </w:pPr>
      <w:r w:rsidRPr="002C66B5">
        <w:rPr>
          <w:sz w:val="22"/>
          <w:szCs w:val="22"/>
        </w:rPr>
        <w:t>Další novou kapitolou je kapitola Vztah specifických cílů NKR ke specifickým doporučením Ra</w:t>
      </w:r>
      <w:r w:rsidR="00161C54">
        <w:rPr>
          <w:sz w:val="22"/>
          <w:szCs w:val="22"/>
        </w:rPr>
        <w:t>dy. Evropská komise zveřejnila</w:t>
      </w:r>
      <w:r w:rsidRPr="002C66B5">
        <w:rPr>
          <w:sz w:val="22"/>
          <w:szCs w:val="22"/>
        </w:rPr>
        <w:t> </w:t>
      </w:r>
      <w:r w:rsidR="005B3CF9">
        <w:rPr>
          <w:sz w:val="22"/>
          <w:szCs w:val="22"/>
        </w:rPr>
        <w:t>Přilohu</w:t>
      </w:r>
      <w:r w:rsidRPr="002C66B5">
        <w:rPr>
          <w:sz w:val="22"/>
          <w:szCs w:val="22"/>
        </w:rPr>
        <w:t xml:space="preserve"> D Country reportu 2019 pro ČR (CR) </w:t>
      </w:r>
      <w:r w:rsidR="008040F6">
        <w:rPr>
          <w:sz w:val="22"/>
          <w:szCs w:val="22"/>
        </w:rPr>
        <w:t>43</w:t>
      </w:r>
      <w:r w:rsidRPr="002C66B5">
        <w:rPr>
          <w:sz w:val="22"/>
          <w:szCs w:val="22"/>
        </w:rPr>
        <w:t xml:space="preserve"> investičních pokynů týkající</w:t>
      </w:r>
      <w:r w:rsidR="008040F6">
        <w:rPr>
          <w:sz w:val="22"/>
          <w:szCs w:val="22"/>
        </w:rPr>
        <w:t>ch</w:t>
      </w:r>
      <w:r w:rsidRPr="002C66B5">
        <w:rPr>
          <w:sz w:val="22"/>
          <w:szCs w:val="22"/>
        </w:rPr>
        <w:t xml:space="preserve"> se  oblasti politiky soudržnosti. Detailní přehled vazeb mezi doporučeními vyplývajícími z </w:t>
      </w:r>
      <w:r w:rsidR="005B3CF9">
        <w:rPr>
          <w:sz w:val="22"/>
          <w:szCs w:val="22"/>
        </w:rPr>
        <w:t>Přilohy</w:t>
      </w:r>
      <w:r w:rsidRPr="002C66B5">
        <w:rPr>
          <w:sz w:val="22"/>
          <w:szCs w:val="22"/>
        </w:rPr>
        <w:t xml:space="preserve"> D Country reportu a specifickými cíli a tematickými oblastmi NKR je uveden v příloze  NKR. </w:t>
      </w:r>
    </w:p>
    <w:p w:rsidR="002C66B5" w:rsidRPr="002C66B5" w:rsidRDefault="002C66B5" w:rsidP="002C66B5">
      <w:pPr>
        <w:rPr>
          <w:sz w:val="22"/>
          <w:szCs w:val="22"/>
        </w:rPr>
      </w:pPr>
      <w:r w:rsidRPr="002C66B5">
        <w:rPr>
          <w:sz w:val="22"/>
          <w:szCs w:val="22"/>
        </w:rPr>
        <w:t xml:space="preserve">V rámci </w:t>
      </w:r>
      <w:r w:rsidR="00892A60">
        <w:rPr>
          <w:sz w:val="22"/>
          <w:szCs w:val="22"/>
        </w:rPr>
        <w:t>n</w:t>
      </w:r>
      <w:r w:rsidRPr="002C66B5">
        <w:rPr>
          <w:sz w:val="22"/>
          <w:szCs w:val="22"/>
        </w:rPr>
        <w:t>ávrhové části NKR byla podstatně rozšířena kapitola týkající se prioritizace a</w:t>
      </w:r>
      <w:r w:rsidR="00012E8E">
        <w:rPr>
          <w:sz w:val="22"/>
          <w:szCs w:val="22"/>
        </w:rPr>
        <w:t> </w:t>
      </w:r>
      <w:r w:rsidRPr="002C66B5">
        <w:rPr>
          <w:sz w:val="22"/>
          <w:szCs w:val="22"/>
        </w:rPr>
        <w:t xml:space="preserve">výsledků provedeného hodnocení. Podkladem pro hodnocení byly karty jednotlivých tematických podoblastí zpracované v rámci </w:t>
      </w:r>
      <w:r w:rsidR="00012E8E">
        <w:rPr>
          <w:sz w:val="22"/>
          <w:szCs w:val="22"/>
        </w:rPr>
        <w:t>„A</w:t>
      </w:r>
      <w:r w:rsidRPr="002C66B5">
        <w:rPr>
          <w:sz w:val="22"/>
          <w:szCs w:val="22"/>
        </w:rPr>
        <w:t>nalytické části NKR</w:t>
      </w:r>
      <w:r w:rsidR="00012E8E">
        <w:rPr>
          <w:sz w:val="22"/>
          <w:szCs w:val="22"/>
        </w:rPr>
        <w:t>“</w:t>
      </w:r>
      <w:r w:rsidRPr="002C66B5">
        <w:rPr>
          <w:sz w:val="22"/>
          <w:szCs w:val="22"/>
        </w:rPr>
        <w:t xml:space="preserve"> a následně doplněné do formy karet specifických cílů uvedených v příloze k NKR. </w:t>
      </w:r>
    </w:p>
    <w:p w:rsidR="002C66B5" w:rsidRPr="002C66B5" w:rsidRDefault="002C66B5" w:rsidP="002C66B5">
      <w:pPr>
        <w:rPr>
          <w:sz w:val="22"/>
          <w:szCs w:val="22"/>
        </w:rPr>
      </w:pPr>
      <w:r w:rsidRPr="002C66B5">
        <w:rPr>
          <w:sz w:val="22"/>
          <w:szCs w:val="22"/>
        </w:rPr>
        <w:t>Zatímco v 1. fázi prioritizace (srpen-září 2018) došlo k vyhodnocení připravenosti jednotlivých tematických oblastí a jejich podoblastí na financování z </w:t>
      </w:r>
      <w:r w:rsidR="008C143C">
        <w:rPr>
          <w:sz w:val="22"/>
          <w:szCs w:val="22"/>
        </w:rPr>
        <w:t>fondů EU</w:t>
      </w:r>
      <w:r w:rsidRPr="002C66B5">
        <w:rPr>
          <w:sz w:val="22"/>
          <w:szCs w:val="22"/>
        </w:rPr>
        <w:t xml:space="preserve"> po roce 2020, v rámci 2.</w:t>
      </w:r>
      <w:r w:rsidR="00012E8E">
        <w:rPr>
          <w:sz w:val="22"/>
          <w:szCs w:val="22"/>
        </w:rPr>
        <w:t> </w:t>
      </w:r>
      <w:r w:rsidRPr="002C66B5">
        <w:rPr>
          <w:sz w:val="22"/>
          <w:szCs w:val="22"/>
        </w:rPr>
        <w:t>fáze prioritizace (března-duben 2019), byla témata transformována na specifické cíle a</w:t>
      </w:r>
      <w:r w:rsidR="00012E8E">
        <w:rPr>
          <w:sz w:val="22"/>
          <w:szCs w:val="22"/>
        </w:rPr>
        <w:t> </w:t>
      </w:r>
      <w:r w:rsidRPr="002C66B5">
        <w:rPr>
          <w:sz w:val="22"/>
          <w:szCs w:val="22"/>
        </w:rPr>
        <w:t xml:space="preserve">opětovně přehodnocena na základě </w:t>
      </w:r>
      <w:r w:rsidR="008040F6" w:rsidRPr="002C66B5">
        <w:rPr>
          <w:sz w:val="22"/>
          <w:szCs w:val="22"/>
        </w:rPr>
        <w:t xml:space="preserve">informací nově doplněných </w:t>
      </w:r>
      <w:r w:rsidRPr="002C66B5">
        <w:rPr>
          <w:sz w:val="22"/>
          <w:szCs w:val="22"/>
        </w:rPr>
        <w:t>do karet jednotlivých specifických cílů. Zároveň byla upravena některá kritéria. Pro větší objektivitu procesu se druhé fáze zúčastnilo více hodnotitelů a po individuálním hodnocení následovala skupinová setkání hodnotitelů, kde došlo ke korekcím extrémních odchylek hodnocení. Celkové hodnocení jednotlivých oblastí a specifických cílů zaznamenalo ve srovnání s 1. fází prioritizace jednoznačně pozitivní posun. Celkově došlo také ke konsolidaci oblastí a</w:t>
      </w:r>
      <w:r w:rsidR="00012E8E">
        <w:rPr>
          <w:sz w:val="22"/>
          <w:szCs w:val="22"/>
        </w:rPr>
        <w:t> </w:t>
      </w:r>
      <w:r w:rsidRPr="002C66B5">
        <w:rPr>
          <w:sz w:val="22"/>
          <w:szCs w:val="22"/>
        </w:rPr>
        <w:t xml:space="preserve">specifických cílů z hlediska hodnocení podle jednotlivých kritérií. </w:t>
      </w:r>
    </w:p>
    <w:p w:rsidR="002C66B5" w:rsidRPr="002C66B5" w:rsidRDefault="002C66B5" w:rsidP="002C66B5">
      <w:pPr>
        <w:rPr>
          <w:sz w:val="22"/>
          <w:szCs w:val="22"/>
        </w:rPr>
      </w:pPr>
      <w:r w:rsidRPr="002C66B5">
        <w:rPr>
          <w:sz w:val="22"/>
          <w:szCs w:val="22"/>
        </w:rPr>
        <w:t xml:space="preserve">Do části </w:t>
      </w:r>
      <w:r w:rsidR="00012E8E">
        <w:rPr>
          <w:sz w:val="22"/>
          <w:szCs w:val="22"/>
        </w:rPr>
        <w:t>„</w:t>
      </w:r>
      <w:r w:rsidRPr="002C66B5">
        <w:rPr>
          <w:sz w:val="22"/>
          <w:szCs w:val="22"/>
        </w:rPr>
        <w:t>Návrh a principy implementace</w:t>
      </w:r>
      <w:r w:rsidR="00012E8E">
        <w:rPr>
          <w:sz w:val="22"/>
          <w:szCs w:val="22"/>
        </w:rPr>
        <w:t>“</w:t>
      </w:r>
      <w:r w:rsidRPr="002C66B5">
        <w:rPr>
          <w:sz w:val="22"/>
          <w:szCs w:val="22"/>
        </w:rPr>
        <w:t xml:space="preserve"> byla přesunuta a dále rozpracována kapitola Doplňkovost s programy EU, protože je velmi žádoucí, aby ČR včas aktivizovala své zapojení do unijních programů a zajistila tak efektivní využívání finančních zdrojů EU, poněvadž do unijních programů směřuje v každém dalším období výrazně více finančních prostředků, zatímco se celkový rozpočet na politiku soudržnosti snižuje. V rámci přípravy NKR byly v kartách SC a v diskusi s národními kontaktními místy jednotlivých unijních programů identifikovány k jednotlivým specifickým cílům NKR potenciálně vhodné věcně související unijní programy. Souhrnná tabulka, obsahující přehled SC NKR a k nim doplňkových unijních programů, vč. detailnějšího upřesnění možnosti využití podle jednotlivých SC NKR, je přílohou NKR.  </w:t>
      </w:r>
    </w:p>
    <w:p w:rsidR="002C66B5" w:rsidRPr="002C66B5" w:rsidRDefault="002C66B5" w:rsidP="002C66B5">
      <w:pPr>
        <w:rPr>
          <w:sz w:val="22"/>
          <w:szCs w:val="22"/>
        </w:rPr>
      </w:pPr>
      <w:r w:rsidRPr="002C66B5">
        <w:rPr>
          <w:sz w:val="22"/>
          <w:szCs w:val="22"/>
        </w:rPr>
        <w:t xml:space="preserve">Nově je do NKR zařazena kapitola Využitelnost finančních nástrojů, které </w:t>
      </w:r>
      <w:r w:rsidR="00CB61BE" w:rsidRPr="00590FD1">
        <w:rPr>
          <w:sz w:val="22"/>
          <w:szCs w:val="22"/>
        </w:rPr>
        <w:t xml:space="preserve">by měly </w:t>
      </w:r>
      <w:r w:rsidRPr="002C66B5">
        <w:rPr>
          <w:sz w:val="22"/>
          <w:szCs w:val="22"/>
        </w:rPr>
        <w:t>v podobě návratné pomoci (zvýhodněný úvěr, poskytnutí záruky, kapitálové vstupy, případně další) nebo kombinace návratné pomoci a dotace pokrývat pouze oblasti, kde se jedná o</w:t>
      </w:r>
      <w:r w:rsidRPr="002C66B5" w:rsidDel="00012E8E">
        <w:rPr>
          <w:sz w:val="22"/>
          <w:szCs w:val="22"/>
        </w:rPr>
        <w:t xml:space="preserve"> </w:t>
      </w:r>
      <w:r w:rsidRPr="002C66B5">
        <w:rPr>
          <w:sz w:val="22"/>
          <w:szCs w:val="22"/>
        </w:rPr>
        <w:t>rentabilní investice vytvářející následné příjmy</w:t>
      </w:r>
      <w:r w:rsidR="008040F6">
        <w:rPr>
          <w:sz w:val="22"/>
          <w:szCs w:val="22"/>
        </w:rPr>
        <w:t xml:space="preserve"> nebo úspory</w:t>
      </w:r>
      <w:r w:rsidRPr="002C66B5">
        <w:rPr>
          <w:sz w:val="22"/>
          <w:szCs w:val="22"/>
        </w:rPr>
        <w:t>.</w:t>
      </w:r>
      <w:r w:rsidR="00AA1A2E">
        <w:rPr>
          <w:sz w:val="22"/>
          <w:szCs w:val="22"/>
        </w:rPr>
        <w:t xml:space="preserve"> </w:t>
      </w:r>
      <w:r w:rsidRPr="002C66B5">
        <w:rPr>
          <w:sz w:val="22"/>
          <w:szCs w:val="22"/>
        </w:rPr>
        <w:t>V</w:t>
      </w:r>
      <w:r w:rsidR="00AA1A2E">
        <w:rPr>
          <w:sz w:val="22"/>
          <w:szCs w:val="22"/>
        </w:rPr>
        <w:t xml:space="preserve"> </w:t>
      </w:r>
      <w:r w:rsidRPr="002C66B5">
        <w:rPr>
          <w:sz w:val="22"/>
          <w:szCs w:val="22"/>
        </w:rPr>
        <w:t>této kapitole jsou uvedeny tematické oblasti a jejich specifické cíle vhodné pro využití finančních nástrojů.</w:t>
      </w:r>
    </w:p>
    <w:p w:rsidR="002C66B5" w:rsidRPr="002C66B5" w:rsidRDefault="002C66B5" w:rsidP="002C66B5">
      <w:pPr>
        <w:rPr>
          <w:sz w:val="22"/>
          <w:szCs w:val="22"/>
        </w:rPr>
      </w:pPr>
      <w:r w:rsidRPr="002C66B5">
        <w:rPr>
          <w:sz w:val="22"/>
          <w:szCs w:val="22"/>
        </w:rPr>
        <w:t xml:space="preserve">V návaznosti na počet a základní strukturu operačních programů schválených usnesením </w:t>
      </w:r>
      <w:r w:rsidR="00721A95">
        <w:rPr>
          <w:sz w:val="22"/>
          <w:szCs w:val="22"/>
        </w:rPr>
        <w:t>V</w:t>
      </w:r>
      <w:r w:rsidRPr="002C66B5">
        <w:rPr>
          <w:sz w:val="22"/>
          <w:szCs w:val="22"/>
        </w:rPr>
        <w:t xml:space="preserve">lády </w:t>
      </w:r>
      <w:r w:rsidR="00012E8E">
        <w:rPr>
          <w:sz w:val="22"/>
          <w:szCs w:val="22"/>
        </w:rPr>
        <w:t xml:space="preserve">ČR ze dne 4. 2. 2019 </w:t>
      </w:r>
      <w:r w:rsidR="00721A95">
        <w:rPr>
          <w:sz w:val="22"/>
          <w:szCs w:val="22"/>
        </w:rPr>
        <w:t xml:space="preserve">č. 94 </w:t>
      </w:r>
      <w:r w:rsidRPr="002C66B5">
        <w:rPr>
          <w:sz w:val="22"/>
          <w:szCs w:val="22"/>
        </w:rPr>
        <w:t>bylo upraveno schéma jejich vazeb na specifické cíle NKR, vč. pořadí podle výstupů prior</w:t>
      </w:r>
      <w:r w:rsidR="00361600">
        <w:rPr>
          <w:sz w:val="22"/>
          <w:szCs w:val="22"/>
        </w:rPr>
        <w:t>i</w:t>
      </w:r>
      <w:r w:rsidRPr="002C66B5">
        <w:rPr>
          <w:sz w:val="22"/>
          <w:szCs w:val="22"/>
        </w:rPr>
        <w:t>tizace.</w:t>
      </w:r>
    </w:p>
    <w:p w:rsidR="002C66B5" w:rsidRPr="002C66B5" w:rsidRDefault="002C66B5" w:rsidP="002C66B5">
      <w:pPr>
        <w:rPr>
          <w:sz w:val="22"/>
          <w:szCs w:val="22"/>
        </w:rPr>
      </w:pPr>
      <w:r w:rsidRPr="002C66B5">
        <w:rPr>
          <w:sz w:val="22"/>
          <w:szCs w:val="22"/>
        </w:rPr>
        <w:t>V části Návrh a principy implementace byly dále popsány navazující kroky, kterým je třeba věnovat pozornost:</w:t>
      </w:r>
    </w:p>
    <w:p w:rsidR="002C66B5" w:rsidRPr="002C66B5" w:rsidRDefault="002C66B5" w:rsidP="002C66B5">
      <w:pPr>
        <w:pStyle w:val="Odstavecseseznamem"/>
        <w:numPr>
          <w:ilvl w:val="0"/>
          <w:numId w:val="28"/>
        </w:numPr>
        <w:rPr>
          <w:rFonts w:ascii="Arial" w:hAnsi="Arial"/>
          <w:sz w:val="22"/>
          <w:szCs w:val="22"/>
        </w:rPr>
      </w:pPr>
      <w:r w:rsidRPr="002C66B5">
        <w:rPr>
          <w:rFonts w:ascii="Arial" w:hAnsi="Arial"/>
          <w:sz w:val="22"/>
          <w:szCs w:val="22"/>
        </w:rPr>
        <w:t>uplatňování intervenční logiky pro nastavení vazby mezi cíli strategií a sledováním implementačního mechanismu (výstupy, výsledky, dopady) k dosažení cílů,</w:t>
      </w:r>
    </w:p>
    <w:p w:rsidR="002C66B5" w:rsidRPr="002C66B5" w:rsidRDefault="002C66B5" w:rsidP="002C66B5">
      <w:pPr>
        <w:pStyle w:val="Odstavecseseznamem"/>
        <w:numPr>
          <w:ilvl w:val="0"/>
          <w:numId w:val="28"/>
        </w:numPr>
        <w:rPr>
          <w:rFonts w:ascii="Arial" w:hAnsi="Arial"/>
          <w:sz w:val="22"/>
          <w:szCs w:val="22"/>
        </w:rPr>
      </w:pPr>
      <w:r w:rsidRPr="002C66B5">
        <w:rPr>
          <w:rFonts w:ascii="Arial" w:hAnsi="Arial"/>
          <w:sz w:val="22"/>
          <w:szCs w:val="22"/>
        </w:rPr>
        <w:t xml:space="preserve">příprava Dohody o partnerství jako základního zastřešujícího dokumentu stanovujícího celkovou strategii a opatření pro účinné a efektivní využívání </w:t>
      </w:r>
      <w:r w:rsidR="008C143C">
        <w:rPr>
          <w:rFonts w:ascii="Arial" w:hAnsi="Arial"/>
          <w:sz w:val="22"/>
          <w:szCs w:val="22"/>
        </w:rPr>
        <w:t>fondů EU</w:t>
      </w:r>
      <w:r w:rsidRPr="002C66B5">
        <w:rPr>
          <w:rFonts w:ascii="Arial" w:hAnsi="Arial"/>
          <w:sz w:val="22"/>
          <w:szCs w:val="22"/>
        </w:rPr>
        <w:t xml:space="preserve"> na úrovni členského státu,</w:t>
      </w:r>
    </w:p>
    <w:p w:rsidR="002C66B5" w:rsidRPr="002C66B5" w:rsidRDefault="002C66B5" w:rsidP="002C66B5">
      <w:pPr>
        <w:pStyle w:val="Odstavecseseznamem"/>
        <w:numPr>
          <w:ilvl w:val="0"/>
          <w:numId w:val="28"/>
        </w:numPr>
        <w:rPr>
          <w:rFonts w:ascii="Arial" w:hAnsi="Arial"/>
          <w:sz w:val="22"/>
          <w:szCs w:val="22"/>
        </w:rPr>
      </w:pPr>
      <w:r w:rsidRPr="002C66B5">
        <w:rPr>
          <w:rFonts w:ascii="Arial" w:hAnsi="Arial"/>
          <w:sz w:val="22"/>
          <w:szCs w:val="22"/>
        </w:rPr>
        <w:t>územně-specifický přístup a nástroje pro jeho uplatnění, zejména Strategie regionálního rozvoje ČR 2021+,</w:t>
      </w:r>
    </w:p>
    <w:p w:rsidR="002C66B5" w:rsidRPr="002C66B5" w:rsidRDefault="002C66B5" w:rsidP="002C66B5">
      <w:pPr>
        <w:pStyle w:val="Odstavecseseznamem"/>
        <w:numPr>
          <w:ilvl w:val="0"/>
          <w:numId w:val="28"/>
        </w:numPr>
        <w:rPr>
          <w:rFonts w:ascii="Arial" w:hAnsi="Arial"/>
          <w:sz w:val="22"/>
          <w:szCs w:val="22"/>
        </w:rPr>
      </w:pPr>
      <w:r w:rsidRPr="002C66B5">
        <w:rPr>
          <w:rFonts w:ascii="Arial" w:hAnsi="Arial"/>
          <w:sz w:val="22"/>
          <w:szCs w:val="22"/>
        </w:rPr>
        <w:t>realizace Jednotného národního rámce pravidel a postupů v rámci Evropského fondu pro regionální rozvoj, Evropského sociálního fondu</w:t>
      </w:r>
      <w:r w:rsidR="00012E8E">
        <w:rPr>
          <w:rFonts w:ascii="Arial" w:hAnsi="Arial"/>
          <w:sz w:val="22"/>
          <w:szCs w:val="22"/>
        </w:rPr>
        <w:t xml:space="preserve"> plus</w:t>
      </w:r>
      <w:r w:rsidRPr="002C66B5">
        <w:rPr>
          <w:rFonts w:ascii="Arial" w:hAnsi="Arial"/>
          <w:sz w:val="22"/>
          <w:szCs w:val="22"/>
        </w:rPr>
        <w:t>, Fondu soudržnosti a</w:t>
      </w:r>
      <w:r w:rsidR="00012E8E">
        <w:rPr>
          <w:rFonts w:ascii="Arial" w:hAnsi="Arial"/>
          <w:sz w:val="22"/>
          <w:szCs w:val="22"/>
        </w:rPr>
        <w:t> </w:t>
      </w:r>
      <w:r w:rsidRPr="002C66B5">
        <w:rPr>
          <w:rFonts w:ascii="Arial" w:hAnsi="Arial"/>
          <w:sz w:val="22"/>
          <w:szCs w:val="22"/>
        </w:rPr>
        <w:t xml:space="preserve">Evropského námořního a rybářského fondu v programovém období 2021-2027 schváleného vládou ČR dne 29. 4. 2019, </w:t>
      </w:r>
    </w:p>
    <w:p w:rsidR="002C66B5" w:rsidRPr="002C66B5" w:rsidRDefault="002C66B5" w:rsidP="002C66B5">
      <w:pPr>
        <w:pStyle w:val="Odstavecseseznamem"/>
        <w:numPr>
          <w:ilvl w:val="0"/>
          <w:numId w:val="28"/>
        </w:numPr>
        <w:rPr>
          <w:rFonts w:ascii="Arial" w:hAnsi="Arial"/>
          <w:sz w:val="22"/>
          <w:szCs w:val="22"/>
        </w:rPr>
      </w:pPr>
      <w:r w:rsidRPr="002C66B5">
        <w:rPr>
          <w:rFonts w:ascii="Arial" w:hAnsi="Arial"/>
          <w:sz w:val="22"/>
          <w:szCs w:val="22"/>
        </w:rPr>
        <w:t xml:space="preserve">vymezení hraničních oblastí mezi operačními programy, mezi fondy v rámci politiky soudržnosti a jinými politikami (například </w:t>
      </w:r>
      <w:r w:rsidR="00331FC4">
        <w:rPr>
          <w:rFonts w:ascii="Arial" w:hAnsi="Arial"/>
          <w:sz w:val="22"/>
          <w:szCs w:val="22"/>
        </w:rPr>
        <w:t>S</w:t>
      </w:r>
      <w:r w:rsidRPr="002C66B5">
        <w:rPr>
          <w:rFonts w:ascii="Arial" w:hAnsi="Arial"/>
          <w:sz w:val="22"/>
          <w:szCs w:val="22"/>
        </w:rPr>
        <w:t xml:space="preserve">polečná zemědělská politika, unijní programy, národní dotační programy) a mezi implementací národních a územních priorit, realizovaných prostřednictvím integrovaných nástrojů, </w:t>
      </w:r>
    </w:p>
    <w:p w:rsidR="002C66B5" w:rsidRPr="002C66B5" w:rsidRDefault="002C66B5" w:rsidP="002C66B5">
      <w:pPr>
        <w:pStyle w:val="Odstavecseseznamem"/>
        <w:numPr>
          <w:ilvl w:val="0"/>
          <w:numId w:val="28"/>
        </w:numPr>
        <w:rPr>
          <w:sz w:val="22"/>
          <w:szCs w:val="22"/>
        </w:rPr>
      </w:pPr>
      <w:r w:rsidRPr="002C66B5">
        <w:rPr>
          <w:rFonts w:ascii="Arial" w:hAnsi="Arial"/>
          <w:sz w:val="22"/>
          <w:szCs w:val="22"/>
        </w:rPr>
        <w:t>vazba kohezní politiky a společné zemědělské politiky.</w:t>
      </w:r>
      <w:r w:rsidRPr="002C66B5">
        <w:rPr>
          <w:sz w:val="22"/>
          <w:szCs w:val="22"/>
        </w:rPr>
        <w:t xml:space="preserve"> </w:t>
      </w:r>
    </w:p>
    <w:p w:rsidR="002C66B5" w:rsidRPr="002C66B5" w:rsidRDefault="002C66B5" w:rsidP="002C66B5">
      <w:pPr>
        <w:rPr>
          <w:sz w:val="22"/>
          <w:szCs w:val="22"/>
        </w:rPr>
      </w:pPr>
      <w:r w:rsidRPr="002C66B5">
        <w:rPr>
          <w:sz w:val="22"/>
          <w:szCs w:val="22"/>
        </w:rPr>
        <w:t>Na závěr NKR jsou uvedena Zásadní doporučení NKR směřující k využití výsledků prioritizace při přípravě operačních programů.</w:t>
      </w:r>
    </w:p>
    <w:p w:rsidR="00847786" w:rsidRPr="00A9356E" w:rsidRDefault="00847786" w:rsidP="00A9356E">
      <w:pPr>
        <w:rPr>
          <w:sz w:val="22"/>
          <w:szCs w:val="22"/>
        </w:rPr>
      </w:pPr>
    </w:p>
    <w:p w:rsidR="00D3119E" w:rsidRPr="008C6299" w:rsidRDefault="00D3119E">
      <w:pPr>
        <w:spacing w:before="0" w:line="240" w:lineRule="auto"/>
        <w:jc w:val="left"/>
        <w:rPr>
          <w:sz w:val="22"/>
          <w:szCs w:val="22"/>
        </w:rPr>
      </w:pPr>
      <w:r w:rsidRPr="008C6299">
        <w:rPr>
          <w:sz w:val="22"/>
          <w:szCs w:val="22"/>
        </w:rPr>
        <w:br w:type="page"/>
      </w:r>
    </w:p>
    <w:p w:rsidR="00053B1D" w:rsidRPr="00E93AF0" w:rsidRDefault="00A563F0" w:rsidP="00161C54">
      <w:pPr>
        <w:pStyle w:val="Nadpis1"/>
        <w:ind w:left="709" w:hanging="709"/>
      </w:pPr>
      <w:bookmarkStart w:id="8" w:name="_Toc7774192"/>
      <w:bookmarkStart w:id="9" w:name="_Toc13828189"/>
      <w:r w:rsidRPr="00E93AF0">
        <w:t>ANALYTICKÁ ČÁST</w:t>
      </w:r>
      <w:bookmarkEnd w:id="8"/>
      <w:bookmarkEnd w:id="9"/>
    </w:p>
    <w:p w:rsidR="00053B1D" w:rsidRDefault="00053B1D" w:rsidP="00254F4C">
      <w:pPr>
        <w:pStyle w:val="Nadpis2"/>
        <w:numPr>
          <w:ilvl w:val="1"/>
          <w:numId w:val="9"/>
        </w:numPr>
        <w:spacing w:line="240" w:lineRule="auto"/>
        <w:ind w:left="425" w:hanging="431"/>
        <w:jc w:val="left"/>
      </w:pPr>
      <w:bookmarkStart w:id="10" w:name="_Toc13828190"/>
      <w:bookmarkStart w:id="11" w:name="_Toc7774193"/>
      <w:r w:rsidRPr="00F427D2">
        <w:t xml:space="preserve">Makroekonomická analýza </w:t>
      </w:r>
      <w:r>
        <w:t>–</w:t>
      </w:r>
      <w:r w:rsidRPr="00F427D2">
        <w:t xml:space="preserve"> shrnutí</w:t>
      </w:r>
      <w:r w:rsidR="00D14331">
        <w:rPr>
          <w:rStyle w:val="Znakapoznpodarou"/>
        </w:rPr>
        <w:footnoteReference w:id="4"/>
      </w:r>
      <w:bookmarkEnd w:id="10"/>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12" w:name="_Toc7774194"/>
      <w:bookmarkStart w:id="13" w:name="_Toc13828191"/>
      <w:bookmarkEnd w:id="11"/>
      <w:r w:rsidRPr="00024144">
        <w:rPr>
          <w:sz w:val="22"/>
        </w:rPr>
        <w:t>Situace ČR v EU</w:t>
      </w:r>
      <w:bookmarkEnd w:id="12"/>
      <w:bookmarkEnd w:id="13"/>
    </w:p>
    <w:p w:rsidR="00053B1D" w:rsidRPr="00BD2246" w:rsidRDefault="00053B1D">
      <w:pPr>
        <w:rPr>
          <w:sz w:val="22"/>
          <w:szCs w:val="22"/>
        </w:rPr>
      </w:pPr>
      <w:r w:rsidRPr="001951AF">
        <w:rPr>
          <w:sz w:val="22"/>
          <w:szCs w:val="22"/>
        </w:rPr>
        <w:t xml:space="preserve">Z hlediska ekonomické vyspělosti se pozice české ekonomiky víceméně za posledních 20 let </w:t>
      </w:r>
      <w:r w:rsidR="004E7BE4">
        <w:rPr>
          <w:sz w:val="22"/>
          <w:szCs w:val="22"/>
        </w:rPr>
        <w:t>zlepšila</w:t>
      </w:r>
      <w:r w:rsidRPr="001951AF">
        <w:rPr>
          <w:sz w:val="22"/>
          <w:szCs w:val="22"/>
        </w:rPr>
        <w:t xml:space="preserve">. ČR </w:t>
      </w:r>
      <w:r w:rsidR="004E7BE4">
        <w:rPr>
          <w:sz w:val="22"/>
          <w:szCs w:val="22"/>
        </w:rPr>
        <w:t xml:space="preserve">sice </w:t>
      </w:r>
      <w:r w:rsidRPr="001951AF">
        <w:rPr>
          <w:sz w:val="22"/>
          <w:szCs w:val="22"/>
        </w:rPr>
        <w:t>stojí v </w:t>
      </w:r>
      <w:r w:rsidR="00943B0E" w:rsidRPr="001951AF">
        <w:rPr>
          <w:sz w:val="22"/>
          <w:szCs w:val="22"/>
        </w:rPr>
        <w:t xml:space="preserve">popředí </w:t>
      </w:r>
      <w:r w:rsidRPr="001951AF">
        <w:rPr>
          <w:sz w:val="22"/>
          <w:szCs w:val="22"/>
        </w:rPr>
        <w:t xml:space="preserve">pomyslného pelotonu bývalých postkomunistických států, přičemž </w:t>
      </w:r>
      <w:r w:rsidR="00943B0E" w:rsidRPr="6DE13AE7">
        <w:rPr>
          <w:sz w:val="22"/>
          <w:szCs w:val="22"/>
        </w:rPr>
        <w:t xml:space="preserve">některé </w:t>
      </w:r>
      <w:r w:rsidRPr="00875AE7">
        <w:rPr>
          <w:sz w:val="22"/>
          <w:szCs w:val="22"/>
        </w:rPr>
        <w:t>země ekonomického jádra EU jsou výkonnostně stále daleko vpředu.  ČR patří mezi otevřené ekonomiky, v rámci EU jsme středně velká ekonomika, významně citlivá na dění v globál</w:t>
      </w:r>
      <w:r w:rsidRPr="001A5B63">
        <w:rPr>
          <w:sz w:val="22"/>
          <w:szCs w:val="22"/>
        </w:rPr>
        <w:t xml:space="preserve">ní ekonomice. Patříme do skupiny zemí hospodářsky navázaných na Německo, které je naším největším obchodním partnerem. </w:t>
      </w:r>
    </w:p>
    <w:p w:rsidR="00053B1D" w:rsidRPr="00024144" w:rsidRDefault="00601740" w:rsidP="00053B1D">
      <w:pPr>
        <w:rPr>
          <w:sz w:val="22"/>
        </w:rPr>
      </w:pPr>
      <w:r>
        <w:rPr>
          <w:sz w:val="22"/>
        </w:rPr>
        <w:t>V období 2000–</w:t>
      </w:r>
      <w:r w:rsidR="00053B1D" w:rsidRPr="00024144">
        <w:rPr>
          <w:sz w:val="22"/>
        </w:rPr>
        <w:t>2007 docházelo k reálné konvergenci z hlediska produktivity, ale od roku 2007 Česko stagnuje, přičemž mnohé země střední a východní Evropy se významně přiblížily úrovní produktivity Česku a např. Slovensko dosahuje i vyšších hodnot (viz analýzy INKA, 2016). Zaostávání ČR v růstu produktivity za průměrem EU je jednou z důležitých příčin zpomalené konvergence HDP.</w:t>
      </w:r>
    </w:p>
    <w:p w:rsidR="008121E5" w:rsidRPr="008121E5" w:rsidRDefault="004E7BE4" w:rsidP="008121E5">
      <w:pPr>
        <w:rPr>
          <w:sz w:val="22"/>
        </w:rPr>
      </w:pPr>
      <w:r w:rsidRPr="008121E5">
        <w:rPr>
          <w:sz w:val="22"/>
        </w:rPr>
        <w:t xml:space="preserve">Konvergenční proces ČR ke státům západní Evropy se zpomalil a to v důsledku hospodářské krize, a to v letech 2010 až 2012, kdy naopak docházelo k divergenci. Od roku 2013 se již relativní úroveň české ekonomiky vůči průměru zemí EU28 opět začala zvyšovat, a to z 82 % v roce 2012 na 89,4 % v roce 2017, tedy o </w:t>
      </w:r>
      <w:r w:rsidR="000B77B2" w:rsidRPr="008121E5">
        <w:rPr>
          <w:sz w:val="22"/>
        </w:rPr>
        <w:t>7,4</w:t>
      </w:r>
      <w:r w:rsidRPr="008121E5">
        <w:rPr>
          <w:sz w:val="22"/>
        </w:rPr>
        <w:t xml:space="preserve"> p. b. (</w:t>
      </w:r>
      <w:r w:rsidR="0023322B" w:rsidRPr="008121E5">
        <w:rPr>
          <w:sz w:val="22"/>
        </w:rPr>
        <w:t xml:space="preserve">dle </w:t>
      </w:r>
      <w:r w:rsidRPr="008121E5">
        <w:rPr>
          <w:sz w:val="22"/>
        </w:rPr>
        <w:t>HDP přepočteno dle parity kupní síly na obyvatele (PKS) k průměru EU</w:t>
      </w:r>
      <w:r w:rsidR="0023322B" w:rsidRPr="008121E5">
        <w:rPr>
          <w:sz w:val="22"/>
        </w:rPr>
        <w:t>)</w:t>
      </w:r>
      <w:r w:rsidRPr="008121E5">
        <w:rPr>
          <w:sz w:val="22"/>
        </w:rPr>
        <w:t xml:space="preserve">. </w:t>
      </w:r>
      <w:bookmarkStart w:id="14" w:name="_Toc7774195"/>
    </w:p>
    <w:p w:rsidR="00053B1D" w:rsidRPr="00024144" w:rsidRDefault="00053B1D" w:rsidP="008121E5">
      <w:pPr>
        <w:pStyle w:val="Nadpis3"/>
        <w:keepLines/>
        <w:numPr>
          <w:ilvl w:val="2"/>
          <w:numId w:val="9"/>
        </w:numPr>
        <w:tabs>
          <w:tab w:val="clear" w:pos="1985"/>
        </w:tabs>
        <w:spacing w:before="240" w:after="120" w:line="259" w:lineRule="auto"/>
        <w:ind w:left="425" w:hanging="425"/>
        <w:jc w:val="left"/>
        <w:rPr>
          <w:sz w:val="22"/>
        </w:rPr>
      </w:pPr>
      <w:bookmarkStart w:id="15" w:name="_Toc13828192"/>
      <w:r w:rsidRPr="00024144">
        <w:rPr>
          <w:sz w:val="22"/>
        </w:rPr>
        <w:t>Domácí kapitál a zahraniční investice</w:t>
      </w:r>
      <w:bookmarkEnd w:id="14"/>
      <w:bookmarkEnd w:id="15"/>
    </w:p>
    <w:p w:rsidR="00053B1D" w:rsidRPr="00024144" w:rsidRDefault="00053B1D" w:rsidP="00053B1D">
      <w:pPr>
        <w:rPr>
          <w:sz w:val="22"/>
        </w:rPr>
      </w:pPr>
      <w:r w:rsidRPr="00024144">
        <w:rPr>
          <w:sz w:val="22"/>
        </w:rPr>
        <w:t>Příliv přímých zahraničních investic (PZI) měl pozitivní finanční i nefinanční dopady na české podniky. Tento fenomén  má však i některé potenciálně negativními dopady, např. nedostatečnou tvorbu domácího kapitálu, která neumožňuje výraznější posun domácích firem v mezinárodních hodnotových řetězcích.</w:t>
      </w:r>
    </w:p>
    <w:p w:rsidR="00053B1D" w:rsidRPr="00024144" w:rsidRDefault="00053B1D" w:rsidP="00957AC3">
      <w:pPr>
        <w:rPr>
          <w:sz w:val="22"/>
        </w:rPr>
      </w:pPr>
      <w:r w:rsidRPr="00024144">
        <w:rPr>
          <w:sz w:val="22"/>
        </w:rPr>
        <w:t>ČR je oproti státům EU15 značně podkapitalizovaná, pokud jde o objem kapitálu na</w:t>
      </w:r>
      <w:r w:rsidR="00012E8E">
        <w:rPr>
          <w:sz w:val="22"/>
        </w:rPr>
        <w:t> </w:t>
      </w:r>
      <w:r w:rsidRPr="00024144">
        <w:rPr>
          <w:sz w:val="22"/>
        </w:rPr>
        <w:t xml:space="preserve">zaměstnance. </w:t>
      </w:r>
      <w:r w:rsidR="00957AC3" w:rsidRPr="00BD2246">
        <w:rPr>
          <w:sz w:val="22"/>
          <w:szCs w:val="22"/>
        </w:rPr>
        <w:t xml:space="preserve">Jedním z limitů růstu malých a středních podniků </w:t>
      </w:r>
      <w:r w:rsidR="00B818C7">
        <w:rPr>
          <w:sz w:val="22"/>
          <w:szCs w:val="22"/>
        </w:rPr>
        <w:t xml:space="preserve">(MSP) </w:t>
      </w:r>
      <w:r w:rsidR="00957AC3" w:rsidRPr="00BD2246">
        <w:rPr>
          <w:sz w:val="22"/>
          <w:szCs w:val="22"/>
        </w:rPr>
        <w:t xml:space="preserve">a jejich produktivity je i malé využívání alternativních nebankovních zdrojů financování prostřednictvím kapitálu – jakými jsou private equity a fondy rizikového kapitálu či veřejná nabídka na alternativních obchodních platformách pro </w:t>
      </w:r>
      <w:r w:rsidR="00B818C7">
        <w:rPr>
          <w:sz w:val="22"/>
          <w:szCs w:val="22"/>
        </w:rPr>
        <w:t>(</w:t>
      </w:r>
      <w:r w:rsidR="00957AC3" w:rsidRPr="00BD2246">
        <w:rPr>
          <w:sz w:val="22"/>
          <w:szCs w:val="22"/>
        </w:rPr>
        <w:t>MSP</w:t>
      </w:r>
      <w:r w:rsidR="00B818C7">
        <w:rPr>
          <w:sz w:val="22"/>
          <w:szCs w:val="22"/>
        </w:rPr>
        <w:t>)</w:t>
      </w:r>
      <w:r w:rsidR="00957AC3" w:rsidRPr="00BD2246">
        <w:rPr>
          <w:sz w:val="22"/>
          <w:szCs w:val="22"/>
        </w:rPr>
        <w:t>.</w:t>
      </w:r>
      <w:r w:rsidR="00B818C7">
        <w:rPr>
          <w:sz w:val="22"/>
          <w:szCs w:val="22"/>
        </w:rPr>
        <w:t xml:space="preserve"> </w:t>
      </w:r>
    </w:p>
    <w:p w:rsidR="00053B1D" w:rsidRPr="00024144" w:rsidRDefault="00053B1D" w:rsidP="00053B1D">
      <w:pPr>
        <w:rPr>
          <w:sz w:val="22"/>
        </w:rPr>
      </w:pPr>
      <w:r w:rsidRPr="00024144">
        <w:rPr>
          <w:sz w:val="22"/>
        </w:rPr>
        <w:t>V</w:t>
      </w:r>
      <w:r w:rsidR="00C8149E">
        <w:rPr>
          <w:sz w:val="22"/>
        </w:rPr>
        <w:t>e</w:t>
      </w:r>
      <w:r w:rsidR="009D6359">
        <w:rPr>
          <w:sz w:val="22"/>
        </w:rPr>
        <w:t xml:space="preserve"> struktuře</w:t>
      </w:r>
      <w:r w:rsidRPr="00024144">
        <w:rPr>
          <w:sz w:val="22"/>
        </w:rPr>
        <w:t xml:space="preserve"> české ekonomi</w:t>
      </w:r>
      <w:r w:rsidR="009D6359">
        <w:rPr>
          <w:sz w:val="22"/>
        </w:rPr>
        <w:t>ky</w:t>
      </w:r>
      <w:r w:rsidRPr="00024144">
        <w:rPr>
          <w:sz w:val="22"/>
        </w:rPr>
        <w:t xml:space="preserve"> dlouhodobě převládají firmy, které jsou v pozici dodavatelů nižších řádu, což může dlouhodobě znamenat hrozbu pro konkurenceschopnost ekonomiky. Typická je pozice i větších firem obvykle na nižších stupních hodnotových řetězců, s čímž je spojená stále významná závislost na cenové konkurenceschopnosti. Významnou hrozbou je především neustále se stupňující tlak odběratelů na cenu dodávaných komponentů a reálná hrozba nahrazení fi</w:t>
      </w:r>
      <w:r w:rsidR="0013149A">
        <w:rPr>
          <w:sz w:val="22"/>
        </w:rPr>
        <w:t>rem z ČR</w:t>
      </w:r>
      <w:r w:rsidRPr="00024144">
        <w:rPr>
          <w:sz w:val="22"/>
        </w:rPr>
        <w:t xml:space="preserve"> levnějšími producenty z jiných zemí.</w:t>
      </w:r>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16" w:name="_Toc7774196"/>
      <w:bookmarkStart w:id="17" w:name="_Toc13828193"/>
      <w:r w:rsidRPr="00024144">
        <w:rPr>
          <w:sz w:val="22"/>
        </w:rPr>
        <w:t>Omezení ekonomického růstu</w:t>
      </w:r>
      <w:bookmarkEnd w:id="16"/>
      <w:bookmarkEnd w:id="17"/>
    </w:p>
    <w:p w:rsidR="004649FA" w:rsidRPr="00590FD1" w:rsidRDefault="004649FA" w:rsidP="004649FA">
      <w:pPr>
        <w:rPr>
          <w:bCs/>
          <w:sz w:val="22"/>
          <w:szCs w:val="22"/>
        </w:rPr>
      </w:pPr>
      <w:r w:rsidRPr="00590FD1">
        <w:rPr>
          <w:bCs/>
          <w:sz w:val="22"/>
          <w:szCs w:val="22"/>
        </w:rPr>
        <w:t>Očekávaný hospodářský vývoj má i svá rizika. Za nejvýznamnější z nich považujeme nejistotu spojenou s procesem a dopady vystoupení Velké Británie z EU. Česká ekonomika by mohla být ovlivněna zejména prostřednictvím zahraničního obchodu</w:t>
      </w:r>
      <w:r w:rsidR="00AB3108">
        <w:rPr>
          <w:bCs/>
          <w:sz w:val="22"/>
          <w:szCs w:val="22"/>
        </w:rPr>
        <w:t>.</w:t>
      </w:r>
      <w:r w:rsidRPr="00590FD1">
        <w:rPr>
          <w:bCs/>
          <w:sz w:val="22"/>
          <w:szCs w:val="22"/>
        </w:rPr>
        <w:t xml:space="preserve"> Negativně by globální ekonomický růst mohla ovlivnit případná změna směřování hospodářské politiky USA, zejména v oblasti otevřenosti zahraničního obchodu. </w:t>
      </w:r>
    </w:p>
    <w:p w:rsidR="00053B1D" w:rsidRDefault="00053B1D">
      <w:pPr>
        <w:rPr>
          <w:sz w:val="22"/>
          <w:szCs w:val="22"/>
        </w:rPr>
      </w:pPr>
      <w:r w:rsidRPr="001A5B63">
        <w:rPr>
          <w:sz w:val="22"/>
          <w:szCs w:val="22"/>
        </w:rPr>
        <w:t xml:space="preserve">Na trhu práce se ekonomická konjunktura odráží ve velmi vysokém využití pracovní síly, přičemž nedostatek zaměstnanců se stává bariérou pro další růst produkce. </w:t>
      </w:r>
    </w:p>
    <w:p w:rsidR="004649FA" w:rsidRPr="00760B73" w:rsidRDefault="00760B73" w:rsidP="00760B73">
      <w:pPr>
        <w:rPr>
          <w:sz w:val="22"/>
        </w:rPr>
      </w:pPr>
      <w:r w:rsidRPr="00590FD1">
        <w:rPr>
          <w:sz w:val="22"/>
        </w:rPr>
        <w:t>Významný vliv na ekonomiku do budoucna bude mít čím dál více nepříznivý demografický vývoj, který bude mít i negativní dopady na budoucí směřování trhu práce i udržitelnost sociálního systému, především důchodového zabezpečení generace důchodového věku. Důvodem tohoto negativního předpokladu je mimo jiné i nedostatečná podpora ekonomicky aktivních více početných rodin ze strany státu.</w:t>
      </w:r>
    </w:p>
    <w:p w:rsidR="00053B1D" w:rsidRPr="00024144" w:rsidRDefault="2D57A07C" w:rsidP="00254F4C">
      <w:pPr>
        <w:pStyle w:val="Nadpis3"/>
        <w:keepLines/>
        <w:numPr>
          <w:ilvl w:val="2"/>
          <w:numId w:val="9"/>
        </w:numPr>
        <w:tabs>
          <w:tab w:val="clear" w:pos="1985"/>
        </w:tabs>
        <w:spacing w:before="240" w:after="120" w:line="259" w:lineRule="auto"/>
        <w:ind w:left="425" w:hanging="425"/>
        <w:jc w:val="left"/>
        <w:rPr>
          <w:sz w:val="22"/>
          <w:szCs w:val="22"/>
        </w:rPr>
      </w:pPr>
      <w:bookmarkStart w:id="18" w:name="_Toc7774197"/>
      <w:bookmarkStart w:id="19" w:name="_Toc13828194"/>
      <w:r w:rsidRPr="2D57A07C">
        <w:rPr>
          <w:sz w:val="22"/>
          <w:szCs w:val="22"/>
        </w:rPr>
        <w:t>Vládní výdaje a veřejná správa</w:t>
      </w:r>
      <w:bookmarkEnd w:id="18"/>
      <w:bookmarkEnd w:id="19"/>
    </w:p>
    <w:p w:rsidR="2D57A07C" w:rsidRDefault="2D57A07C" w:rsidP="2D57A07C">
      <w:r w:rsidRPr="2D57A07C">
        <w:rPr>
          <w:sz w:val="22"/>
          <w:szCs w:val="22"/>
        </w:rPr>
        <w:t>Veřejná správa tvoří institucionální rámec definující pravidla, ve kterých mohou soukromé subjekty operovat, a tím může výrazně pozitivně či negativně ovlivnit potenciální produktivitu dané ekonomiky. Kvalita i výkonnost institucí zůstává v ČR problémem. Nízkou výkonnost veřejné správy deklarovala v roce 2016 v rámci Hospodářského přehledu pro ČR také OECD, která ji charakterizovala jako 5. nejméně výkonnou</w:t>
      </w:r>
      <w:r w:rsidR="00AE3994">
        <w:rPr>
          <w:sz w:val="22"/>
          <w:szCs w:val="22"/>
        </w:rPr>
        <w:t xml:space="preserve"> v rámci zemí OECD</w:t>
      </w:r>
      <w:r w:rsidRPr="2D57A07C">
        <w:rPr>
          <w:sz w:val="22"/>
          <w:szCs w:val="22"/>
        </w:rPr>
        <w:t>, a to při</w:t>
      </w:r>
      <w:r w:rsidR="00012E8E">
        <w:rPr>
          <w:sz w:val="22"/>
          <w:szCs w:val="22"/>
        </w:rPr>
        <w:t> </w:t>
      </w:r>
      <w:r w:rsidRPr="2D57A07C">
        <w:rPr>
          <w:sz w:val="22"/>
          <w:szCs w:val="22"/>
        </w:rPr>
        <w:t>zohlednění faktorů jako je byrokracie, kvalita soudnictví, korupce či neefektivita ve</w:t>
      </w:r>
      <w:r w:rsidR="00012E8E">
        <w:rPr>
          <w:sz w:val="22"/>
          <w:szCs w:val="22"/>
        </w:rPr>
        <w:t> </w:t>
      </w:r>
      <w:r w:rsidRPr="2D57A07C">
        <w:rPr>
          <w:sz w:val="22"/>
          <w:szCs w:val="22"/>
        </w:rPr>
        <w:t>fungování státní správy. Z</w:t>
      </w:r>
      <w:r w:rsidR="00361600">
        <w:rPr>
          <w:sz w:val="22"/>
          <w:szCs w:val="22"/>
        </w:rPr>
        <w:t>e</w:t>
      </w:r>
      <w:r w:rsidRPr="2D57A07C">
        <w:rPr>
          <w:sz w:val="22"/>
          <w:szCs w:val="22"/>
        </w:rPr>
        <w:t>  států EU</w:t>
      </w:r>
      <w:r w:rsidR="00361600">
        <w:rPr>
          <w:sz w:val="22"/>
          <w:szCs w:val="22"/>
        </w:rPr>
        <w:t xml:space="preserve"> s obdobnými problémy</w:t>
      </w:r>
      <w:r w:rsidRPr="2D57A07C">
        <w:rPr>
          <w:sz w:val="22"/>
          <w:szCs w:val="22"/>
        </w:rPr>
        <w:t xml:space="preserve"> jsou na tom hůře např. Slovensko, Řecko či Itálie. OECD však veřejnou správu vyhodnotila také jako relativně levnou (z</w:t>
      </w:r>
      <w:r w:rsidR="00012E8E">
        <w:rPr>
          <w:sz w:val="22"/>
          <w:szCs w:val="22"/>
        </w:rPr>
        <w:t> </w:t>
      </w:r>
      <w:r w:rsidRPr="2D57A07C">
        <w:rPr>
          <w:sz w:val="22"/>
          <w:szCs w:val="22"/>
        </w:rPr>
        <w:t xml:space="preserve">hlediska výdajů na obecné veřejné služby, pořádek a bezpečnost) – v přepočtu dle parity kupní síly výdaje na obyvatele dosahují pouze necelých tří čtvrtin průměru OECD. Mezi </w:t>
      </w:r>
      <w:r w:rsidR="00AD2694">
        <w:rPr>
          <w:sz w:val="22"/>
          <w:szCs w:val="22"/>
        </w:rPr>
        <w:t>36</w:t>
      </w:r>
      <w:r w:rsidRPr="2D57A07C">
        <w:rPr>
          <w:sz w:val="22"/>
          <w:szCs w:val="22"/>
        </w:rPr>
        <w:t xml:space="preserve">státy OECD je česká veřejná správa 7. nejlevnější. </w:t>
      </w:r>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20" w:name="_Toc7774198"/>
      <w:bookmarkStart w:id="21" w:name="_Toc13828195"/>
      <w:r w:rsidRPr="00024144">
        <w:rPr>
          <w:sz w:val="22"/>
        </w:rPr>
        <w:t>Kvalita života v ČR</w:t>
      </w:r>
      <w:bookmarkEnd w:id="20"/>
      <w:bookmarkEnd w:id="21"/>
    </w:p>
    <w:p w:rsidR="00053B1D" w:rsidRPr="00024144" w:rsidRDefault="00053B1D" w:rsidP="00053B1D">
      <w:pPr>
        <w:rPr>
          <w:sz w:val="22"/>
        </w:rPr>
      </w:pPr>
      <w:r w:rsidRPr="00024144">
        <w:rPr>
          <w:sz w:val="22"/>
        </w:rPr>
        <w:t xml:space="preserve">V implementaci </w:t>
      </w:r>
      <w:r w:rsidR="008C143C">
        <w:rPr>
          <w:sz w:val="22"/>
        </w:rPr>
        <w:t>fondů EU</w:t>
      </w:r>
      <w:r w:rsidRPr="00024144">
        <w:rPr>
          <w:sz w:val="22"/>
        </w:rPr>
        <w:t xml:space="preserve"> v období 2014–2020 zesílilo zaměření na výsledky, přičemž Evropská komise (EK) výsledky definuje jako zamýšlené změny v konkrétních rozměrech kvality života. Podle Better Life Index je kvalita života v ČR vyšší než v průměru OECD v</w:t>
      </w:r>
      <w:r w:rsidR="00012E8E">
        <w:rPr>
          <w:sz w:val="22"/>
        </w:rPr>
        <w:t> </w:t>
      </w:r>
      <w:r w:rsidRPr="00024144">
        <w:rPr>
          <w:sz w:val="22"/>
        </w:rPr>
        <w:t>oblastech vzdělávání, osobní bezpečnosti či vyváženosti pracovního a osobního života. Na druhé straně ČR zaostává v oblastech zdraví, bydlení, občanské angažovanosti, ale zejména v oblasti příjmů.</w:t>
      </w:r>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22" w:name="_Toc7774199"/>
      <w:bookmarkStart w:id="23" w:name="_Toc13828196"/>
      <w:r w:rsidRPr="00024144">
        <w:rPr>
          <w:sz w:val="22"/>
        </w:rPr>
        <w:t>Celkové shrnutí a výhled</w:t>
      </w:r>
      <w:bookmarkEnd w:id="22"/>
      <w:bookmarkEnd w:id="23"/>
    </w:p>
    <w:p w:rsidR="00053B1D" w:rsidRPr="00BD2246" w:rsidRDefault="00053B1D">
      <w:pPr>
        <w:rPr>
          <w:sz w:val="22"/>
          <w:szCs w:val="22"/>
        </w:rPr>
      </w:pPr>
      <w:r w:rsidRPr="001951AF">
        <w:rPr>
          <w:sz w:val="22"/>
          <w:szCs w:val="22"/>
        </w:rPr>
        <w:t>Vývoj české ekonomiky po finanční krizi poukázal na strukturální problémy zabraňující rychlejší konvergenci k</w:t>
      </w:r>
      <w:r w:rsidR="00D60AE0" w:rsidRPr="001951AF">
        <w:rPr>
          <w:sz w:val="22"/>
          <w:szCs w:val="22"/>
        </w:rPr>
        <w:t xml:space="preserve"> vyspělejším </w:t>
      </w:r>
      <w:r w:rsidRPr="001951AF">
        <w:rPr>
          <w:sz w:val="22"/>
          <w:szCs w:val="22"/>
        </w:rPr>
        <w:t xml:space="preserve">státům </w:t>
      </w:r>
      <w:r w:rsidR="00D60AE0" w:rsidRPr="001951AF">
        <w:rPr>
          <w:sz w:val="22"/>
          <w:szCs w:val="22"/>
        </w:rPr>
        <w:t>původní EU15</w:t>
      </w:r>
      <w:r w:rsidRPr="001951AF">
        <w:rPr>
          <w:sz w:val="22"/>
          <w:szCs w:val="22"/>
        </w:rPr>
        <w:t>. Zejména se jedná o vysokou závislost na zahraničních investorech, kteří využívají ČR jako svou základnu pro výrobu relativně jednoduchých komponent</w:t>
      </w:r>
      <w:r w:rsidR="004E1FAE">
        <w:rPr>
          <w:sz w:val="22"/>
          <w:szCs w:val="22"/>
        </w:rPr>
        <w:t>, což byl důsledek předchozího zacílení politiky podpory zahraničních investic</w:t>
      </w:r>
      <w:r w:rsidRPr="001951AF">
        <w:rPr>
          <w:sz w:val="22"/>
          <w:szCs w:val="22"/>
        </w:rPr>
        <w:t>. Tato výroba je přitom často vysoce náročná na pracovní sílu, což vytváří přetlak na trhu práce a zostřuje</w:t>
      </w:r>
      <w:r w:rsidRPr="6DE13AE7">
        <w:rPr>
          <w:sz w:val="22"/>
          <w:szCs w:val="22"/>
        </w:rPr>
        <w:t xml:space="preserve"> konkurenci pro firmy v českém vlastnictví i</w:t>
      </w:r>
      <w:r w:rsidR="00012E8E">
        <w:rPr>
          <w:sz w:val="22"/>
          <w:szCs w:val="22"/>
        </w:rPr>
        <w:t> </w:t>
      </w:r>
      <w:r w:rsidRPr="6DE13AE7">
        <w:rPr>
          <w:sz w:val="22"/>
          <w:szCs w:val="22"/>
        </w:rPr>
        <w:t>na trhu práce. Od roku 2002 klesal objem PZI, a</w:t>
      </w:r>
      <w:r w:rsidR="005B3CF9">
        <w:rPr>
          <w:sz w:val="22"/>
          <w:szCs w:val="22"/>
        </w:rPr>
        <w:t>le</w:t>
      </w:r>
      <w:r w:rsidRPr="6DE13AE7">
        <w:rPr>
          <w:sz w:val="22"/>
          <w:szCs w:val="22"/>
        </w:rPr>
        <w:t xml:space="preserve"> naopak trvale rostl odliv výnosů z těchto investic, což je jeden z důvodů nedostatečné tvorby kapitálu. </w:t>
      </w:r>
      <w:r w:rsidRPr="001951AF">
        <w:rPr>
          <w:sz w:val="22"/>
          <w:szCs w:val="22"/>
        </w:rPr>
        <w:t>Neefektivní výkon veřejné správy přináší dodatečné administrativní náklady a dostatečně nestimuluje soukromý sektor.</w:t>
      </w:r>
    </w:p>
    <w:p w:rsidR="00053B1D" w:rsidRPr="00BD2246" w:rsidRDefault="00053B1D">
      <w:pPr>
        <w:rPr>
          <w:sz w:val="22"/>
          <w:szCs w:val="22"/>
        </w:rPr>
      </w:pPr>
      <w:r w:rsidRPr="001951AF">
        <w:rPr>
          <w:sz w:val="22"/>
          <w:szCs w:val="22"/>
        </w:rPr>
        <w:t>To jsou základní strukturální problémy, které</w:t>
      </w:r>
      <w:r w:rsidR="005F18D3">
        <w:rPr>
          <w:sz w:val="22"/>
          <w:szCs w:val="22"/>
        </w:rPr>
        <w:t xml:space="preserve"> spolu s nedostačenými investicemi do vzdělávání, inovací a výzkumu,</w:t>
      </w:r>
      <w:r w:rsidRPr="001951AF">
        <w:rPr>
          <w:sz w:val="22"/>
          <w:szCs w:val="22"/>
        </w:rPr>
        <w:t xml:space="preserve"> zabraňují rychlejšímu přesunu k vyspělé znalostní ekonomice a tím i ke konvergenci k</w:t>
      </w:r>
      <w:r w:rsidR="00D60AE0" w:rsidRPr="001951AF">
        <w:rPr>
          <w:sz w:val="22"/>
          <w:szCs w:val="22"/>
        </w:rPr>
        <w:t xml:space="preserve"> ekonomicky vyspělejším </w:t>
      </w:r>
      <w:r w:rsidRPr="001951AF">
        <w:rPr>
          <w:sz w:val="22"/>
          <w:szCs w:val="22"/>
        </w:rPr>
        <w:t>členským státům EU. Na</w:t>
      </w:r>
      <w:r w:rsidR="00012E8E">
        <w:rPr>
          <w:sz w:val="22"/>
          <w:szCs w:val="22"/>
        </w:rPr>
        <w:t> </w:t>
      </w:r>
      <w:r w:rsidRPr="001951AF">
        <w:rPr>
          <w:sz w:val="22"/>
          <w:szCs w:val="22"/>
        </w:rPr>
        <w:t>druhou stranu česká ekonomika v posledních dvou letech vykazuje výrazné zlepšení ve</w:t>
      </w:r>
      <w:r w:rsidR="00012E8E">
        <w:rPr>
          <w:sz w:val="22"/>
          <w:szCs w:val="22"/>
        </w:rPr>
        <w:t> </w:t>
      </w:r>
      <w:r w:rsidRPr="001951AF">
        <w:rPr>
          <w:sz w:val="22"/>
          <w:szCs w:val="22"/>
        </w:rPr>
        <w:t>většině problémových oblastí a tento progres je predikován i pro nejbližší roky. Je proto nut</w:t>
      </w:r>
      <w:r w:rsidRPr="6DE13AE7">
        <w:rPr>
          <w:sz w:val="22"/>
          <w:szCs w:val="22"/>
        </w:rPr>
        <w:t>né z této nynější výhodné pozice domácí ekonomiky profitovat a využít toho pro výzvy, které s sebou přinese příští ekonomický pokles, zejména v oblasti veřejných rozpočtů, investic a zlepšení efektivnosti a kvality veřejné správy.</w:t>
      </w:r>
    </w:p>
    <w:p w:rsidR="00655BBA" w:rsidRDefault="00053B1D" w:rsidP="00254F4C">
      <w:pPr>
        <w:pStyle w:val="Nadpis2"/>
        <w:numPr>
          <w:ilvl w:val="1"/>
          <w:numId w:val="9"/>
        </w:numPr>
        <w:spacing w:line="240" w:lineRule="auto"/>
        <w:ind w:left="425" w:hanging="431"/>
        <w:jc w:val="left"/>
      </w:pPr>
      <w:bookmarkStart w:id="24" w:name="_Toc7774200"/>
      <w:bookmarkStart w:id="25" w:name="_Toc13828197"/>
      <w:r w:rsidRPr="00F427D2">
        <w:t>Sektorové oblasti – shrnutí</w:t>
      </w:r>
      <w:bookmarkEnd w:id="24"/>
      <w:bookmarkEnd w:id="25"/>
      <w:r w:rsidR="00655BBA">
        <w:t xml:space="preserve"> </w:t>
      </w:r>
    </w:p>
    <w:p w:rsidR="00655BBA" w:rsidRPr="00590FD1" w:rsidRDefault="00655BBA" w:rsidP="00A9356E">
      <w:pPr>
        <w:rPr>
          <w:sz w:val="22"/>
        </w:rPr>
      </w:pPr>
      <w:r w:rsidRPr="00590FD1">
        <w:rPr>
          <w:sz w:val="22"/>
        </w:rPr>
        <w:t>U všech sektorových oblastí došlo k úpravám názvů podoblastí, případně přidání zcela nových podoblastí, v návaznosti na připomínkovací proces (partneři, platformy, VPŘ, MPŘ) a také k rozšíření o téma cestovního ruchu.</w:t>
      </w:r>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26" w:name="_Toc7774201"/>
      <w:bookmarkStart w:id="27" w:name="_Toc13828198"/>
      <w:r w:rsidRPr="00024144">
        <w:rPr>
          <w:sz w:val="22"/>
        </w:rPr>
        <w:t>Trh práce a zaměstnanost</w:t>
      </w:r>
      <w:bookmarkEnd w:id="26"/>
      <w:bookmarkEnd w:id="27"/>
    </w:p>
    <w:p w:rsidR="00053B1D" w:rsidRPr="00024144" w:rsidRDefault="2D57A07C" w:rsidP="2D57A07C">
      <w:pPr>
        <w:rPr>
          <w:sz w:val="22"/>
          <w:szCs w:val="22"/>
        </w:rPr>
      </w:pPr>
      <w:r w:rsidRPr="2D57A07C">
        <w:rPr>
          <w:rFonts w:eastAsia="Arial"/>
          <w:sz w:val="22"/>
          <w:szCs w:val="22"/>
        </w:rPr>
        <w:t xml:space="preserve">Český trh práce obecně vykazuje dobrou výkonnost. Na straně poptávky po pracovní síle je poměrně závažným problémem nedostatek pracovníků, zejména v určitých oblastech výroby a služeb, který brzdí ekonomický růst. Roste význam rekvalifikací a obecně dalšího profesního vzdělávání. </w:t>
      </w:r>
    </w:p>
    <w:p w:rsidR="54923E25" w:rsidRDefault="54923E25" w:rsidP="54923E25">
      <w:r w:rsidRPr="54923E25">
        <w:rPr>
          <w:rFonts w:eastAsia="Arial"/>
          <w:sz w:val="22"/>
          <w:szCs w:val="22"/>
        </w:rPr>
        <w:t>Nadále přetrvává výrazné znevýhodnění žen v oblasti zaměstnanosti, mezd a, zejména u</w:t>
      </w:r>
      <w:r w:rsidR="00012E8E">
        <w:rPr>
          <w:rFonts w:eastAsia="Arial"/>
          <w:sz w:val="22"/>
          <w:szCs w:val="22"/>
        </w:rPr>
        <w:t> </w:t>
      </w:r>
      <w:r w:rsidRPr="54923E25">
        <w:rPr>
          <w:rFonts w:eastAsia="Arial"/>
          <w:sz w:val="22"/>
          <w:szCs w:val="22"/>
        </w:rPr>
        <w:t>starších žen, ohrožení chudobou. Málo jsou využívány flexibilní formy práce, které by mohly zvýšit zaměstnanost žen pečujících o děti nebo jiné osoby závislé na péči jiných či</w:t>
      </w:r>
      <w:r w:rsidR="00012E8E">
        <w:rPr>
          <w:rFonts w:eastAsia="Arial"/>
          <w:sz w:val="22"/>
          <w:szCs w:val="22"/>
        </w:rPr>
        <w:t> </w:t>
      </w:r>
      <w:r w:rsidRPr="54923E25">
        <w:rPr>
          <w:rFonts w:eastAsia="Arial"/>
          <w:sz w:val="22"/>
          <w:szCs w:val="22"/>
        </w:rPr>
        <w:t>některých skupin ohrožených na trhu práce. Ohrožené skupiny se často nedaří zaměstnávat v</w:t>
      </w:r>
      <w:r w:rsidR="005F18D3">
        <w:rPr>
          <w:rFonts w:eastAsia="Arial"/>
          <w:sz w:val="22"/>
          <w:szCs w:val="22"/>
        </w:rPr>
        <w:t> </w:t>
      </w:r>
      <w:r w:rsidRPr="54923E25">
        <w:rPr>
          <w:rFonts w:eastAsia="Arial"/>
          <w:sz w:val="22"/>
          <w:szCs w:val="22"/>
        </w:rPr>
        <w:t>udržitelných formách zaměstnání a dochází k projevům prekarizace práce.</w:t>
      </w:r>
    </w:p>
    <w:p w:rsidR="00053B1D" w:rsidRPr="00024144" w:rsidRDefault="2D57A07C" w:rsidP="2D57A07C">
      <w:pPr>
        <w:rPr>
          <w:sz w:val="22"/>
          <w:szCs w:val="22"/>
        </w:rPr>
      </w:pPr>
      <w:r w:rsidRPr="2D57A07C">
        <w:rPr>
          <w:sz w:val="22"/>
          <w:szCs w:val="22"/>
        </w:rPr>
        <w:t>Problémy trhu práce mají i územní dimenzi, kdy situace v regionech soudržnosti Moravskoslezsko a Severozápad je horší než v ostatních regionech, přetrvává zde strukturální nezaměstnanost a dochází k odlivu kvalifikovaných zaměstnanců. K špatné uplatnitelnosti a k</w:t>
      </w:r>
      <w:r w:rsidR="005F18D3">
        <w:rPr>
          <w:sz w:val="22"/>
          <w:szCs w:val="22"/>
        </w:rPr>
        <w:t> </w:t>
      </w:r>
      <w:r w:rsidRPr="2D57A07C">
        <w:rPr>
          <w:sz w:val="22"/>
          <w:szCs w:val="22"/>
        </w:rPr>
        <w:t xml:space="preserve">celkovému nesouladu nabídky a poptávky na trhu práce, musí být přistupováno s vědomím propojení trhu práce a systému vzdělávání a nutnosti spolupráce zainteresovaných institucí na různých úrovních. Pro přechod ze vzdělávání do světa práce je třeba posílit spolupráci škol a firem. </w:t>
      </w:r>
      <w:r w:rsidR="002148B4" w:rsidRPr="00590FD1">
        <w:rPr>
          <w:sz w:val="22"/>
          <w:szCs w:val="22"/>
        </w:rPr>
        <w:t>Také postupně měnící se demografická situace může výrazně negativně ovlivnit budoucí směřování trhu práce, pokud na ní nebude včas zareagováno</w:t>
      </w:r>
      <w:r w:rsidRPr="2D57A07C">
        <w:rPr>
          <w:sz w:val="22"/>
          <w:szCs w:val="22"/>
        </w:rPr>
        <w:t xml:space="preserve">. </w:t>
      </w:r>
    </w:p>
    <w:p w:rsidR="00053B1D" w:rsidRPr="00024144" w:rsidRDefault="00053B1D" w:rsidP="00053B1D">
      <w:pPr>
        <w:rPr>
          <w:sz w:val="22"/>
        </w:rPr>
      </w:pPr>
      <w:r w:rsidRPr="00024144">
        <w:rPr>
          <w:sz w:val="22"/>
        </w:rPr>
        <w:t>Dlouhodobě je nutné pracovat na přetváření české ekonomiky tak, aby docházelo k růstu produktivity práce a většímu prosazování výroby s vyšší přidanou hodnotou. Trh práce budou měnit nové trendy spojené prohlubující se digitalizací ekonomiky (Průmysl 4.0 a Práce 4.0), zánikem některých</w:t>
      </w:r>
      <w:r w:rsidR="00361600">
        <w:rPr>
          <w:sz w:val="22"/>
        </w:rPr>
        <w:t xml:space="preserve"> původních</w:t>
      </w:r>
      <w:r w:rsidRPr="00024144">
        <w:rPr>
          <w:sz w:val="22"/>
        </w:rPr>
        <w:t xml:space="preserve"> a vznikem nových profesí a forem práce. I nadále zůstává jednou z priorit modernizace služeb trhu práce a efektivnější cílení a využívání nástrojů a opatření aktivní politiky zaměstnanosti.</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024144" w:rsidRDefault="00053B1D" w:rsidP="00254F4C">
      <w:pPr>
        <w:pStyle w:val="Odstavecseseznamem"/>
        <w:numPr>
          <w:ilvl w:val="0"/>
          <w:numId w:val="14"/>
        </w:numPr>
        <w:spacing w:before="40" w:after="80"/>
        <w:jc w:val="left"/>
        <w:rPr>
          <w:rFonts w:ascii="Arial" w:hAnsi="Arial"/>
          <w:sz w:val="22"/>
        </w:rPr>
      </w:pPr>
      <w:r w:rsidRPr="00024144">
        <w:rPr>
          <w:rFonts w:ascii="Arial" w:hAnsi="Arial"/>
          <w:sz w:val="22"/>
        </w:rPr>
        <w:t xml:space="preserve">Zvýšení účasti znevýhodněných skupin na trhu práce </w:t>
      </w:r>
    </w:p>
    <w:p w:rsidR="00053B1D" w:rsidRPr="00024144" w:rsidRDefault="00053B1D" w:rsidP="00254F4C">
      <w:pPr>
        <w:pStyle w:val="Odstavecseseznamem"/>
        <w:numPr>
          <w:ilvl w:val="0"/>
          <w:numId w:val="14"/>
        </w:numPr>
        <w:spacing w:before="40" w:after="80"/>
        <w:jc w:val="left"/>
        <w:rPr>
          <w:rFonts w:ascii="Arial" w:hAnsi="Arial"/>
          <w:sz w:val="22"/>
        </w:rPr>
      </w:pPr>
      <w:r w:rsidRPr="00024144">
        <w:rPr>
          <w:rFonts w:ascii="Arial" w:hAnsi="Arial"/>
          <w:sz w:val="22"/>
        </w:rPr>
        <w:t>Modernizace institucí na trhu práce</w:t>
      </w:r>
    </w:p>
    <w:p w:rsidR="00053B1D" w:rsidRPr="00024144" w:rsidRDefault="00DC5C56" w:rsidP="00254F4C">
      <w:pPr>
        <w:pStyle w:val="Odstavecseseznamem"/>
        <w:numPr>
          <w:ilvl w:val="0"/>
          <w:numId w:val="14"/>
        </w:numPr>
        <w:spacing w:before="40" w:after="80"/>
        <w:jc w:val="left"/>
        <w:rPr>
          <w:rFonts w:ascii="Arial" w:hAnsi="Arial"/>
          <w:sz w:val="22"/>
        </w:rPr>
      </w:pPr>
      <w:r w:rsidRPr="00590FD1">
        <w:rPr>
          <w:rFonts w:ascii="Arial" w:hAnsi="Arial"/>
          <w:sz w:val="22"/>
        </w:rPr>
        <w:t>Podpora rovnosti žen a mužů</w:t>
      </w:r>
      <w:r w:rsidDel="00DC5C56">
        <w:rPr>
          <w:rFonts w:ascii="Arial" w:hAnsi="Arial"/>
          <w:sz w:val="22"/>
        </w:rPr>
        <w:t xml:space="preserve"> </w:t>
      </w:r>
      <w:r w:rsidR="00B4381F">
        <w:rPr>
          <w:rFonts w:ascii="Arial" w:hAnsi="Arial"/>
          <w:sz w:val="22"/>
        </w:rPr>
        <w:t>a s</w:t>
      </w:r>
      <w:r w:rsidR="00053B1D" w:rsidRPr="00024144">
        <w:rPr>
          <w:rFonts w:ascii="Arial" w:hAnsi="Arial"/>
          <w:sz w:val="22"/>
        </w:rPr>
        <w:t xml:space="preserve">laďování pracovního a osobního života </w:t>
      </w:r>
    </w:p>
    <w:p w:rsidR="00053B1D" w:rsidRPr="00024144" w:rsidRDefault="00B4381F" w:rsidP="00254F4C">
      <w:pPr>
        <w:pStyle w:val="Odstavecseseznamem"/>
        <w:numPr>
          <w:ilvl w:val="0"/>
          <w:numId w:val="14"/>
        </w:numPr>
        <w:spacing w:before="40" w:after="80"/>
        <w:jc w:val="left"/>
        <w:rPr>
          <w:rFonts w:ascii="Arial" w:hAnsi="Arial"/>
          <w:sz w:val="22"/>
        </w:rPr>
      </w:pPr>
      <w:r>
        <w:rPr>
          <w:rFonts w:ascii="Arial" w:hAnsi="Arial"/>
          <w:sz w:val="22"/>
        </w:rPr>
        <w:t>Fungující systém d</w:t>
      </w:r>
      <w:r w:rsidR="00053B1D" w:rsidRPr="00024144">
        <w:rPr>
          <w:rFonts w:ascii="Arial" w:hAnsi="Arial"/>
          <w:sz w:val="22"/>
        </w:rPr>
        <w:t>alší</w:t>
      </w:r>
      <w:r>
        <w:rPr>
          <w:rFonts w:ascii="Arial" w:hAnsi="Arial"/>
          <w:sz w:val="22"/>
        </w:rPr>
        <w:t>ho</w:t>
      </w:r>
      <w:r w:rsidR="00053B1D" w:rsidRPr="00024144">
        <w:rPr>
          <w:rFonts w:ascii="Arial" w:hAnsi="Arial"/>
          <w:sz w:val="22"/>
        </w:rPr>
        <w:t xml:space="preserve"> profesní</w:t>
      </w:r>
      <w:r>
        <w:rPr>
          <w:rFonts w:ascii="Arial" w:hAnsi="Arial"/>
          <w:sz w:val="22"/>
        </w:rPr>
        <w:t>ho</w:t>
      </w:r>
      <w:r w:rsidR="00053B1D" w:rsidRPr="00024144">
        <w:rPr>
          <w:rFonts w:ascii="Arial" w:hAnsi="Arial"/>
          <w:sz w:val="22"/>
        </w:rPr>
        <w:t xml:space="preserve"> vzdělávání</w:t>
      </w:r>
    </w:p>
    <w:p w:rsidR="00053B1D" w:rsidRPr="00024144" w:rsidRDefault="00E01B5F" w:rsidP="00254F4C">
      <w:pPr>
        <w:pStyle w:val="Odstavecseseznamem"/>
        <w:numPr>
          <w:ilvl w:val="0"/>
          <w:numId w:val="14"/>
        </w:numPr>
        <w:spacing w:before="40" w:after="80"/>
        <w:jc w:val="left"/>
        <w:rPr>
          <w:rFonts w:ascii="Arial" w:hAnsi="Arial"/>
          <w:sz w:val="22"/>
        </w:rPr>
      </w:pPr>
      <w:r>
        <w:rPr>
          <w:rFonts w:ascii="Arial" w:hAnsi="Arial"/>
          <w:sz w:val="22"/>
        </w:rPr>
        <w:t>Podpora využití pracovní mobility</w:t>
      </w:r>
    </w:p>
    <w:p w:rsidR="00053B1D" w:rsidRPr="003D45AD" w:rsidRDefault="00246662" w:rsidP="00254F4C">
      <w:pPr>
        <w:pStyle w:val="Nadpis3"/>
        <w:keepLines/>
        <w:numPr>
          <w:ilvl w:val="2"/>
          <w:numId w:val="9"/>
        </w:numPr>
        <w:tabs>
          <w:tab w:val="clear" w:pos="1985"/>
        </w:tabs>
        <w:spacing w:before="240" w:after="120" w:line="259" w:lineRule="auto"/>
        <w:ind w:left="425" w:hanging="425"/>
        <w:jc w:val="left"/>
        <w:rPr>
          <w:sz w:val="22"/>
        </w:rPr>
      </w:pPr>
      <w:r w:rsidRPr="003D45AD">
        <w:rPr>
          <w:sz w:val="22"/>
        </w:rPr>
        <w:t xml:space="preserve"> </w:t>
      </w:r>
      <w:bookmarkStart w:id="28" w:name="_Toc7774202"/>
      <w:bookmarkStart w:id="29" w:name="_Toc13828199"/>
      <w:r w:rsidR="00053B1D" w:rsidRPr="003D45AD">
        <w:rPr>
          <w:sz w:val="22"/>
        </w:rPr>
        <w:t>Vzdělávání</w:t>
      </w:r>
      <w:bookmarkEnd w:id="28"/>
      <w:bookmarkEnd w:id="29"/>
    </w:p>
    <w:p w:rsidR="00053B1D" w:rsidRPr="00BD2246" w:rsidRDefault="00053B1D">
      <w:pPr>
        <w:rPr>
          <w:sz w:val="22"/>
          <w:szCs w:val="22"/>
        </w:rPr>
      </w:pPr>
      <w:r w:rsidRPr="001951AF">
        <w:rPr>
          <w:sz w:val="22"/>
          <w:szCs w:val="22"/>
        </w:rPr>
        <w:t>Vzdělávací systém v ČR vykazuje v řadě oblastí relativně dobré hodnoty, které se více či</w:t>
      </w:r>
      <w:r w:rsidR="00012E8E">
        <w:rPr>
          <w:sz w:val="22"/>
          <w:szCs w:val="22"/>
        </w:rPr>
        <w:t> </w:t>
      </w:r>
      <w:r w:rsidRPr="001951AF">
        <w:rPr>
          <w:sz w:val="22"/>
          <w:szCs w:val="22"/>
        </w:rPr>
        <w:t>méně daří udržet. Zde lze poukázat na solidní výsledky v rámci mezinárodních šetření v</w:t>
      </w:r>
      <w:r w:rsidR="00012E8E">
        <w:rPr>
          <w:sz w:val="22"/>
          <w:szCs w:val="22"/>
        </w:rPr>
        <w:t> </w:t>
      </w:r>
      <w:r w:rsidRPr="001951AF">
        <w:rPr>
          <w:sz w:val="22"/>
          <w:szCs w:val="22"/>
        </w:rPr>
        <w:t>oblasti měření výsledků vzdělávání a dále nízkou míru podílu předčasných odchodů ze</w:t>
      </w:r>
      <w:r w:rsidR="00012E8E">
        <w:rPr>
          <w:sz w:val="22"/>
          <w:szCs w:val="22"/>
        </w:rPr>
        <w:t> </w:t>
      </w:r>
      <w:r w:rsidRPr="001951AF">
        <w:rPr>
          <w:sz w:val="22"/>
          <w:szCs w:val="22"/>
        </w:rPr>
        <w:t>vzdělávání</w:t>
      </w:r>
      <w:r w:rsidR="00D90A74">
        <w:rPr>
          <w:sz w:val="22"/>
          <w:szCs w:val="22"/>
        </w:rPr>
        <w:t xml:space="preserve"> (týká se základních a středních škol)</w:t>
      </w:r>
      <w:r w:rsidRPr="001951AF">
        <w:rPr>
          <w:sz w:val="22"/>
          <w:szCs w:val="22"/>
        </w:rPr>
        <w:t>. To spolu s udržením otevřeného přístupu k terciárnímu vzdělávání vede k</w:t>
      </w:r>
      <w:r w:rsidR="00012E8E">
        <w:rPr>
          <w:sz w:val="22"/>
          <w:szCs w:val="22"/>
        </w:rPr>
        <w:t> </w:t>
      </w:r>
      <w:r w:rsidRPr="001951AF">
        <w:rPr>
          <w:sz w:val="22"/>
          <w:szCs w:val="22"/>
        </w:rPr>
        <w:t xml:space="preserve">nárůstu podílu vysokoškolsky vzdělané populace. </w:t>
      </w:r>
      <w:r w:rsidR="00BF7DF1" w:rsidRPr="6DE13AE7">
        <w:rPr>
          <w:sz w:val="22"/>
          <w:szCs w:val="22"/>
        </w:rPr>
        <w:t>Výsledky vzdělávání jsou však do značné míry ovlivněny významnými regionálními disparitami poukazující</w:t>
      </w:r>
      <w:r w:rsidR="005F18D3">
        <w:rPr>
          <w:sz w:val="22"/>
          <w:szCs w:val="22"/>
        </w:rPr>
        <w:t>mi</w:t>
      </w:r>
      <w:r w:rsidR="00BF7DF1" w:rsidRPr="6DE13AE7">
        <w:rPr>
          <w:sz w:val="22"/>
          <w:szCs w:val="22"/>
        </w:rPr>
        <w:t xml:space="preserve"> na strukturální problémy některých regionů. Nárůst regionálních disparit v rámci vzdělávacího systému tak představuje výzvu pro tvůrce vzdělávacích politik</w:t>
      </w:r>
      <w:r w:rsidR="00815F81">
        <w:rPr>
          <w:sz w:val="22"/>
          <w:szCs w:val="22"/>
        </w:rPr>
        <w:t>, stejně jako přetrvávající genderové nerovnosti ve vzdělávání</w:t>
      </w:r>
      <w:r w:rsidR="00BF7DF1" w:rsidRPr="6DE13AE7">
        <w:rPr>
          <w:sz w:val="22"/>
          <w:szCs w:val="22"/>
        </w:rPr>
        <w:t>.</w:t>
      </w:r>
    </w:p>
    <w:p w:rsidR="00053B1D" w:rsidRPr="00024144" w:rsidRDefault="54923E25" w:rsidP="54923E25">
      <w:pPr>
        <w:rPr>
          <w:sz w:val="22"/>
          <w:szCs w:val="22"/>
        </w:rPr>
      </w:pPr>
      <w:r w:rsidRPr="54923E25">
        <w:rPr>
          <w:sz w:val="22"/>
          <w:szCs w:val="22"/>
        </w:rPr>
        <w:t xml:space="preserve">Z hlediska dlouhodobých trendů je zásadní podporovat procesy vzdělávání a výuky nezbytné pro </w:t>
      </w:r>
      <w:r w:rsidR="00295359">
        <w:rPr>
          <w:sz w:val="22"/>
          <w:szCs w:val="22"/>
        </w:rPr>
        <w:t>Společnost</w:t>
      </w:r>
      <w:r w:rsidR="00295359" w:rsidRPr="54923E25">
        <w:rPr>
          <w:sz w:val="22"/>
          <w:szCs w:val="22"/>
        </w:rPr>
        <w:t xml:space="preserve"> </w:t>
      </w:r>
      <w:r w:rsidRPr="54923E25">
        <w:rPr>
          <w:sz w:val="22"/>
          <w:szCs w:val="22"/>
        </w:rPr>
        <w:t xml:space="preserve">4.0. Stejně důležité je aktualizovat metody a formy výuky díky exponenciálnímu rozvoji technologií, umělé inteligence a virtualizace světa. Vzdělávací systém v ČR musí rozvíjet kognitivní schopnosti i praktické dovednosti, ale také poskytovat robustní základ všeobecného vzdělání a rozvíjet dovednosti s těmito znalostmi pracovat (klíčové kompetence). </w:t>
      </w:r>
    </w:p>
    <w:p w:rsidR="00053B1D" w:rsidRPr="00024144" w:rsidRDefault="54923E25" w:rsidP="54923E25">
      <w:pPr>
        <w:rPr>
          <w:sz w:val="22"/>
          <w:szCs w:val="22"/>
        </w:rPr>
      </w:pPr>
      <w:r w:rsidRPr="54923E25">
        <w:rPr>
          <w:sz w:val="22"/>
          <w:szCs w:val="22"/>
        </w:rPr>
        <w:t xml:space="preserve">Vzhledem k </w:t>
      </w:r>
      <w:r w:rsidR="0028233B">
        <w:rPr>
          <w:sz w:val="22"/>
          <w:szCs w:val="22"/>
        </w:rPr>
        <w:t>nedostatečné</w:t>
      </w:r>
      <w:r w:rsidR="0028233B" w:rsidRPr="54923E25">
        <w:rPr>
          <w:sz w:val="22"/>
          <w:szCs w:val="22"/>
        </w:rPr>
        <w:t xml:space="preserve"> </w:t>
      </w:r>
      <w:r w:rsidRPr="54923E25">
        <w:rPr>
          <w:sz w:val="22"/>
          <w:szCs w:val="22"/>
        </w:rPr>
        <w:t xml:space="preserve">atraktivitě učitelského povolání </w:t>
      </w:r>
      <w:r w:rsidR="00295359">
        <w:rPr>
          <w:sz w:val="22"/>
          <w:szCs w:val="22"/>
        </w:rPr>
        <w:t>(v některých předmětech přitom hrozí i nedostatek uč</w:t>
      </w:r>
      <w:r w:rsidR="0013149A">
        <w:rPr>
          <w:sz w:val="22"/>
          <w:szCs w:val="22"/>
        </w:rPr>
        <w:t>itelů, např. na prvním stupni základních škol</w:t>
      </w:r>
      <w:r w:rsidR="00295359">
        <w:rPr>
          <w:sz w:val="22"/>
          <w:szCs w:val="22"/>
        </w:rPr>
        <w:t xml:space="preserve"> nebo v přírodovědných předmětech)</w:t>
      </w:r>
      <w:r w:rsidRPr="54923E25">
        <w:rPr>
          <w:sz w:val="22"/>
          <w:szCs w:val="22"/>
        </w:rPr>
        <w:t xml:space="preserve"> je zapotřebí proaktivnější přístup státu a krajských samospráv k nastavení </w:t>
      </w:r>
      <w:r w:rsidR="00295359">
        <w:rPr>
          <w:sz w:val="22"/>
          <w:szCs w:val="22"/>
        </w:rPr>
        <w:t>vzdělanostní a oborové struktury</w:t>
      </w:r>
      <w:r w:rsidR="009329EA">
        <w:rPr>
          <w:sz w:val="22"/>
          <w:szCs w:val="22"/>
        </w:rPr>
        <w:t xml:space="preserve"> a ke zlepšování platových a pracovních podmínek</w:t>
      </w:r>
      <w:r w:rsidRPr="54923E25">
        <w:rPr>
          <w:sz w:val="22"/>
          <w:szCs w:val="22"/>
        </w:rPr>
        <w:t xml:space="preserve">. Je zapotřebí podporovat odborné vzdělávání a spolupráci škol a zaměstnavatelů, systematizovat </w:t>
      </w:r>
      <w:r w:rsidR="00477E51">
        <w:rPr>
          <w:sz w:val="22"/>
          <w:szCs w:val="22"/>
        </w:rPr>
        <w:t>včasnou</w:t>
      </w:r>
      <w:r w:rsidR="00477E51" w:rsidRPr="54923E25">
        <w:rPr>
          <w:sz w:val="22"/>
          <w:szCs w:val="22"/>
        </w:rPr>
        <w:t xml:space="preserve"> </w:t>
      </w:r>
      <w:r w:rsidRPr="54923E25">
        <w:rPr>
          <w:sz w:val="22"/>
          <w:szCs w:val="22"/>
        </w:rPr>
        <w:t xml:space="preserve">péči </w:t>
      </w:r>
      <w:r w:rsidR="001426C7">
        <w:rPr>
          <w:sz w:val="22"/>
          <w:szCs w:val="22"/>
        </w:rPr>
        <w:t>v oblasti</w:t>
      </w:r>
      <w:r w:rsidRPr="54923E25">
        <w:rPr>
          <w:sz w:val="22"/>
          <w:szCs w:val="22"/>
        </w:rPr>
        <w:t xml:space="preserve"> vzdělávání ve věku 0-6 let tak, aby umožňovaly vyrovnávání vzdělávacích šancí. Neméně důležité je zjednodušit regulační procesy a snížit administrativní zátěž ředitelů a učitelů škol. Náležitá péče by měla být věnována také talentovaným jedincům a podpořit v rámci systému osobnostní rozvoj tímto směrem. </w:t>
      </w:r>
    </w:p>
    <w:p w:rsidR="00053B1D" w:rsidRPr="00024144" w:rsidRDefault="54923E25" w:rsidP="54923E25">
      <w:pPr>
        <w:rPr>
          <w:sz w:val="22"/>
          <w:szCs w:val="22"/>
        </w:rPr>
      </w:pPr>
      <w:r w:rsidRPr="54923E25">
        <w:rPr>
          <w:sz w:val="22"/>
          <w:szCs w:val="22"/>
        </w:rPr>
        <w:t xml:space="preserve">Je potřeba klást důraz na doplnění studijních programů o prvek přenositelných, multioborových a interdisciplinárních kompetencí, včetně jazykových a ICT kompetencí. </w:t>
      </w:r>
      <w:r w:rsidR="00295359" w:rsidRPr="00295359">
        <w:rPr>
          <w:sz w:val="22"/>
          <w:szCs w:val="22"/>
        </w:rPr>
        <w:t>Pro uplatnitelnost na trhu práce je s ohledem na orientaci ČR na průmysl a export důležitá znalost více cizích jazyků, zejména pak jazyků příhraničních států.</w:t>
      </w:r>
      <w:r w:rsidR="00295359">
        <w:rPr>
          <w:sz w:val="22"/>
          <w:szCs w:val="22"/>
        </w:rPr>
        <w:t xml:space="preserve"> </w:t>
      </w:r>
      <w:r w:rsidRPr="54923E25">
        <w:rPr>
          <w:rFonts w:eastAsia="Arial"/>
          <w:color w:val="000000" w:themeColor="text1"/>
          <w:sz w:val="22"/>
          <w:szCs w:val="22"/>
        </w:rPr>
        <w:t>Takto nastavený model je nutné vnímat také jako model přispívající k rozvoji vzdělávání pro udržitelný rozvoj v široké škále vzájemně propojených environmentálních, ekonomických a sociálních otázek.</w:t>
      </w:r>
      <w:r w:rsidRPr="54923E25">
        <w:rPr>
          <w:sz w:val="22"/>
          <w:szCs w:val="22"/>
        </w:rPr>
        <w:t xml:space="preserve"> Nadále je potřeba pokračovat v podporování kvalitní praxe studentů, zapojování odborníků z praxe a</w:t>
      </w:r>
      <w:r w:rsidR="00012E8E">
        <w:rPr>
          <w:sz w:val="22"/>
          <w:szCs w:val="22"/>
        </w:rPr>
        <w:t> </w:t>
      </w:r>
      <w:r w:rsidRPr="54923E25">
        <w:rPr>
          <w:sz w:val="22"/>
          <w:szCs w:val="22"/>
        </w:rPr>
        <w:t xml:space="preserve">podpory spolupráce vysokých škol s podnikatelskou sférou v oblasti výzkumu a vývoje. </w:t>
      </w:r>
    </w:p>
    <w:p w:rsidR="00053B1D" w:rsidRPr="00024144" w:rsidRDefault="54923E25" w:rsidP="54923E25">
      <w:pPr>
        <w:rPr>
          <w:sz w:val="22"/>
          <w:szCs w:val="22"/>
        </w:rPr>
      </w:pPr>
      <w:r w:rsidRPr="54923E25">
        <w:rPr>
          <w:sz w:val="22"/>
          <w:szCs w:val="22"/>
        </w:rPr>
        <w:t xml:space="preserve">Důležitá je podpora celoživotního vzdělávání (občanského i profesního) u celé populace, včetně zapojení věkových skupin 55+ a 65+ do vzdělávání. Vize moderního vzdělávání vychází z principu celoživotního učení a směřuje k vybudování otevřeného prostředí, které umožňuje každému jedinci bez rozdílu a bez překážek vzdělávat se po celý život. </w:t>
      </w:r>
    </w:p>
    <w:p w:rsidR="00053B1D" w:rsidRPr="00024144" w:rsidRDefault="00053B1D" w:rsidP="00053B1D">
      <w:pPr>
        <w:rPr>
          <w:sz w:val="22"/>
          <w:u w:val="single"/>
        </w:rPr>
      </w:pPr>
      <w:r w:rsidRPr="00024144">
        <w:rPr>
          <w:sz w:val="22"/>
          <w:u w:val="single"/>
        </w:rPr>
        <w:t xml:space="preserve">K dalšímu detailnímu řešení byly na základě analýzy NKR vybrány tyto tematické </w:t>
      </w:r>
      <w:r w:rsidR="002A459B" w:rsidRPr="002A459B">
        <w:rPr>
          <w:sz w:val="22"/>
          <w:u w:val="single"/>
        </w:rPr>
        <w:t>podoblasti</w:t>
      </w:r>
      <w:r w:rsidRPr="00024144">
        <w:rPr>
          <w:sz w:val="22"/>
          <w:u w:val="single"/>
        </w:rPr>
        <w:t>:</w:t>
      </w:r>
    </w:p>
    <w:p w:rsidR="00053B1D" w:rsidRPr="00024144" w:rsidRDefault="003F0D9D" w:rsidP="00254F4C">
      <w:pPr>
        <w:pStyle w:val="Odstavecseseznamem"/>
        <w:numPr>
          <w:ilvl w:val="0"/>
          <w:numId w:val="14"/>
        </w:numPr>
        <w:spacing w:before="40" w:after="80"/>
        <w:rPr>
          <w:rFonts w:ascii="Arial" w:hAnsi="Arial"/>
          <w:sz w:val="22"/>
        </w:rPr>
      </w:pPr>
      <w:r>
        <w:rPr>
          <w:rFonts w:ascii="Arial" w:hAnsi="Arial"/>
          <w:sz w:val="22"/>
        </w:rPr>
        <w:t>Zlepšení vzdělávacího systému s ohledem na moderní kompetence a potřeby trhu práce, mimo jiné s ohledem na digitalizaci průmyslu a společnosti</w:t>
      </w:r>
    </w:p>
    <w:p w:rsidR="00053B1D" w:rsidRPr="00024144" w:rsidRDefault="003F0D9D" w:rsidP="00254F4C">
      <w:pPr>
        <w:pStyle w:val="Odstavecseseznamem"/>
        <w:numPr>
          <w:ilvl w:val="0"/>
          <w:numId w:val="14"/>
        </w:numPr>
        <w:spacing w:before="40" w:after="80"/>
        <w:rPr>
          <w:rFonts w:ascii="Arial" w:hAnsi="Arial"/>
          <w:sz w:val="22"/>
        </w:rPr>
      </w:pPr>
      <w:r>
        <w:rPr>
          <w:rFonts w:ascii="Arial" w:hAnsi="Arial"/>
          <w:sz w:val="22"/>
        </w:rPr>
        <w:t>Zajištění rovného přístupu ke vzdělávání</w:t>
      </w:r>
    </w:p>
    <w:p w:rsidR="00053B1D" w:rsidRDefault="00053B1D" w:rsidP="00254F4C">
      <w:pPr>
        <w:pStyle w:val="Odstavecseseznamem"/>
        <w:numPr>
          <w:ilvl w:val="0"/>
          <w:numId w:val="14"/>
        </w:numPr>
        <w:spacing w:before="40" w:after="80"/>
        <w:rPr>
          <w:rFonts w:ascii="Arial" w:hAnsi="Arial"/>
          <w:sz w:val="22"/>
        </w:rPr>
      </w:pPr>
      <w:r w:rsidRPr="00024144">
        <w:rPr>
          <w:rFonts w:ascii="Arial" w:hAnsi="Arial"/>
          <w:sz w:val="22"/>
        </w:rPr>
        <w:t>Podpora pracovníků ve vzdělávání</w:t>
      </w:r>
    </w:p>
    <w:p w:rsidR="00053B1D" w:rsidRPr="00024144"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30" w:name="_Toc7774203"/>
      <w:bookmarkStart w:id="31" w:name="_Toc13828200"/>
      <w:r w:rsidRPr="003D45AD">
        <w:rPr>
          <w:sz w:val="22"/>
        </w:rPr>
        <w:t>Sociální začleňování, boj s chudobou a péče o zdraví</w:t>
      </w:r>
      <w:bookmarkEnd w:id="30"/>
      <w:bookmarkEnd w:id="31"/>
    </w:p>
    <w:p w:rsidR="00053B1D" w:rsidRPr="00024144" w:rsidRDefault="54923E25" w:rsidP="54923E25">
      <w:pPr>
        <w:rPr>
          <w:sz w:val="22"/>
          <w:szCs w:val="22"/>
        </w:rPr>
      </w:pPr>
      <w:r w:rsidRPr="54923E25">
        <w:rPr>
          <w:sz w:val="22"/>
          <w:szCs w:val="22"/>
        </w:rPr>
        <w:t>Ačkoliv v mezinárodním srovnání je situ</w:t>
      </w:r>
      <w:r w:rsidR="0013149A">
        <w:rPr>
          <w:sz w:val="22"/>
          <w:szCs w:val="22"/>
        </w:rPr>
        <w:t>ace v ČR</w:t>
      </w:r>
      <w:r w:rsidRPr="54923E25">
        <w:rPr>
          <w:sz w:val="22"/>
          <w:szCs w:val="22"/>
        </w:rPr>
        <w:t xml:space="preserve"> relativně příznivá, podrobnější data o</w:t>
      </w:r>
      <w:r w:rsidR="00012E8E">
        <w:rPr>
          <w:sz w:val="22"/>
          <w:szCs w:val="22"/>
        </w:rPr>
        <w:t> </w:t>
      </w:r>
      <w:r w:rsidRPr="54923E25">
        <w:rPr>
          <w:sz w:val="22"/>
          <w:szCs w:val="22"/>
        </w:rPr>
        <w:t>nerovnostech, jejich regionálním rozložení a rizicích pro společenskou soudržnost činí ze</w:t>
      </w:r>
      <w:r w:rsidR="00012E8E">
        <w:rPr>
          <w:sz w:val="22"/>
          <w:szCs w:val="22"/>
        </w:rPr>
        <w:t> </w:t>
      </w:r>
      <w:r w:rsidRPr="54923E25">
        <w:rPr>
          <w:sz w:val="22"/>
          <w:szCs w:val="22"/>
        </w:rPr>
        <w:t xml:space="preserve">sociálního začleňování jednu z priorit pro další období. Oblast sociálního začleňování se potýká s resortní a systémovou neprovázaností, problematická je administrativní náročnost, nejasné a mnohdy nejisté kompetence a chybějící celistvý pohled a přístup. </w:t>
      </w:r>
    </w:p>
    <w:p w:rsidR="54923E25" w:rsidRDefault="54923E25" w:rsidP="54923E25">
      <w:r w:rsidRPr="54923E25">
        <w:rPr>
          <w:rFonts w:eastAsia="Arial"/>
          <w:sz w:val="22"/>
          <w:szCs w:val="22"/>
        </w:rPr>
        <w:t xml:space="preserve">V zájmu budoucího vývoje je zapotřebí v této oblasti zjednodušit a zpřehlednit celý systém. Je potřeba více spolupracovat s </w:t>
      </w:r>
      <w:r w:rsidR="001F449D">
        <w:rPr>
          <w:rFonts w:eastAsia="Arial"/>
          <w:sz w:val="22"/>
          <w:szCs w:val="22"/>
        </w:rPr>
        <w:t>nestátním</w:t>
      </w:r>
      <w:r w:rsidRPr="54923E25">
        <w:rPr>
          <w:rFonts w:eastAsia="Arial"/>
          <w:sz w:val="22"/>
          <w:szCs w:val="22"/>
        </w:rPr>
        <w:t xml:space="preserve"> sektorem, občanskou společností, komunitními a lokálními skupinami i s jednotlivci. Politiky sociálního začleňování je potřeba provázat s politikami integrace menšin, zejména integrace Romů, a s bojem proti diskriminaci. V rámci politiky sociálního začleňování bude nezbytné dokázat zajistit pružnost systému, aby v</w:t>
      </w:r>
      <w:r w:rsidR="00012E8E">
        <w:rPr>
          <w:rFonts w:eastAsia="Arial"/>
          <w:sz w:val="22"/>
          <w:szCs w:val="22"/>
        </w:rPr>
        <w:t> </w:t>
      </w:r>
      <w:r w:rsidRPr="54923E25">
        <w:rPr>
          <w:rFonts w:eastAsia="Arial"/>
          <w:sz w:val="22"/>
          <w:szCs w:val="22"/>
        </w:rPr>
        <w:t>krátkém časovém horizontu reagoval na případné změny a jejich dopad, jak na</w:t>
      </w:r>
      <w:r w:rsidR="00012E8E">
        <w:rPr>
          <w:rFonts w:eastAsia="Arial"/>
          <w:sz w:val="22"/>
          <w:szCs w:val="22"/>
        </w:rPr>
        <w:t> </w:t>
      </w:r>
      <w:r w:rsidRPr="54923E25">
        <w:rPr>
          <w:rFonts w:eastAsia="Arial"/>
          <w:sz w:val="22"/>
          <w:szCs w:val="22"/>
        </w:rPr>
        <w:t>celospolečenské, tak místní úrovni. Rovněž bude nutné zastřešit toto téma meziresortní koordinací sociálních, zdravotních, vzdělanostních, bezpečnostních a dalších potřeb.</w:t>
      </w:r>
    </w:p>
    <w:p w:rsidR="00053B1D" w:rsidRDefault="2D57A07C" w:rsidP="2D57A07C">
      <w:pPr>
        <w:rPr>
          <w:sz w:val="22"/>
          <w:szCs w:val="22"/>
        </w:rPr>
      </w:pPr>
      <w:r w:rsidRPr="2D57A07C">
        <w:rPr>
          <w:sz w:val="22"/>
          <w:szCs w:val="22"/>
        </w:rPr>
        <w:t xml:space="preserve">Je potřeba nastavit systém financování služeb na pomezí zdravotní a sociální problematiky. </w:t>
      </w:r>
      <w:r w:rsidR="00A16288" w:rsidRPr="00590FD1">
        <w:rPr>
          <w:rFonts w:eastAsia="Arial"/>
          <w:sz w:val="22"/>
          <w:szCs w:val="22"/>
        </w:rPr>
        <w:t>Nedostatečné propojení zdravotní a sociální problematiky a jejího financování je zásadním problémem českého systému zdravotnictví a sociálních služeb.</w:t>
      </w:r>
      <w:r w:rsidRPr="2D57A07C">
        <w:rPr>
          <w:sz w:val="22"/>
          <w:szCs w:val="22"/>
        </w:rPr>
        <w:t xml:space="preserve"> </w:t>
      </w:r>
      <w:r w:rsidR="003F1C2C">
        <w:rPr>
          <w:sz w:val="22"/>
          <w:szCs w:val="22"/>
        </w:rPr>
        <w:t>J</w:t>
      </w:r>
      <w:r w:rsidR="003F1C2C" w:rsidRPr="003F1C2C">
        <w:rPr>
          <w:sz w:val="22"/>
          <w:szCs w:val="22"/>
        </w:rPr>
        <w:t xml:space="preserve">e potřebné celkově nastavit nový efektivní systém financování služeb, a to nejen na pomezí zdravotní a sociální problematiky. </w:t>
      </w:r>
      <w:r w:rsidR="003F1C2C">
        <w:rPr>
          <w:sz w:val="22"/>
          <w:szCs w:val="22"/>
        </w:rPr>
        <w:t>J</w:t>
      </w:r>
      <w:r w:rsidR="003F1C2C" w:rsidRPr="003F1C2C">
        <w:rPr>
          <w:sz w:val="22"/>
          <w:szCs w:val="22"/>
        </w:rPr>
        <w:t>e nutné vyjasnit roli státu, krajů a obcí a jejich podílu na financování služeb tak, aby bylo zřejmé, kdo má jaké finanční závazky vůči cílovým skupinám těchto služeb</w:t>
      </w:r>
      <w:r w:rsidR="003F1C2C">
        <w:rPr>
          <w:sz w:val="22"/>
          <w:szCs w:val="22"/>
        </w:rPr>
        <w:t xml:space="preserve">. </w:t>
      </w:r>
      <w:r w:rsidRPr="2D57A07C">
        <w:rPr>
          <w:rFonts w:eastAsia="Arial"/>
          <w:sz w:val="22"/>
          <w:szCs w:val="22"/>
        </w:rPr>
        <w:t xml:space="preserve">Společným tématem oblasti zdravotních i sociálních služeb je i neukončený proces deinstitucionalizace a transformace těchto služeb směrem do komunity (do vlastního sociálního prostředí klientů/pacientů). Z pohledu zdravotnické oblasti se aktuálně jedná především o deinstitucionalizaci psychiatrické péče, která je hlavní součástí probíhající komplexní reformy psychiatrické péče, a která úzce souvisí se vznikem nových typů služeb v komunitě na multidisciplinární bázi se zastoupením zdravotních i sociálních složek. </w:t>
      </w:r>
      <w:r w:rsidR="00435F35" w:rsidRPr="00435F35">
        <w:rPr>
          <w:rFonts w:eastAsia="Arial"/>
          <w:sz w:val="22"/>
          <w:szCs w:val="22"/>
        </w:rPr>
        <w:t>S</w:t>
      </w:r>
      <w:r w:rsidR="000B496E">
        <w:rPr>
          <w:rFonts w:eastAsia="Arial"/>
          <w:sz w:val="22"/>
          <w:szCs w:val="22"/>
        </w:rPr>
        <w:t> </w:t>
      </w:r>
      <w:r w:rsidR="00435F35" w:rsidRPr="00435F35">
        <w:rPr>
          <w:rFonts w:eastAsia="Arial"/>
          <w:sz w:val="22"/>
          <w:szCs w:val="22"/>
        </w:rPr>
        <w:t>potížemi institucionálního ukotvení na zdravotně-sociálním pomezí se dlouhodobě potýkají adiktologické služby, tj. služby pro osoby trpící závislostní poruchou.</w:t>
      </w:r>
      <w:r w:rsidR="00435F35">
        <w:rPr>
          <w:rFonts w:eastAsia="Arial"/>
          <w:sz w:val="22"/>
          <w:szCs w:val="22"/>
        </w:rPr>
        <w:t xml:space="preserve"> </w:t>
      </w:r>
      <w:r w:rsidRPr="2D57A07C">
        <w:rPr>
          <w:rFonts w:eastAsia="Arial"/>
          <w:sz w:val="22"/>
          <w:szCs w:val="22"/>
        </w:rPr>
        <w:t>Dále je rovněž nutné řešit personální kapacitu v rámci zdravotních i sociálních služeb, a to i s ohledem na</w:t>
      </w:r>
      <w:r w:rsidR="00012E8E">
        <w:rPr>
          <w:rFonts w:eastAsia="Arial"/>
          <w:sz w:val="22"/>
          <w:szCs w:val="22"/>
        </w:rPr>
        <w:t> </w:t>
      </w:r>
      <w:r w:rsidRPr="2D57A07C">
        <w:rPr>
          <w:rFonts w:eastAsia="Arial"/>
          <w:sz w:val="22"/>
          <w:szCs w:val="22"/>
        </w:rPr>
        <w:t xml:space="preserve">demografické trendy. </w:t>
      </w:r>
      <w:r w:rsidRPr="2D57A07C">
        <w:rPr>
          <w:sz w:val="22"/>
          <w:szCs w:val="22"/>
        </w:rPr>
        <w:t xml:space="preserve">Podporu si zaslouží i jiné udržitelné formy financování v sociální oblasti, jako jsou finanční nástroje, větší podpora sociálního podnikání a aktivní zaměstnanost podporou malých a rodinných podniků. Základem, bez kterého se neobejde standardní kvalita života, je dosažení nápravy u dostupného bydlení. </w:t>
      </w:r>
    </w:p>
    <w:p w:rsidR="0076363A" w:rsidRPr="0076363A" w:rsidRDefault="0076363A" w:rsidP="2D57A07C">
      <w:pPr>
        <w:rPr>
          <w:sz w:val="22"/>
          <w:szCs w:val="22"/>
        </w:rPr>
      </w:pPr>
      <w:r w:rsidRPr="00BD2246">
        <w:rPr>
          <w:sz w:val="22"/>
          <w:szCs w:val="22"/>
        </w:rPr>
        <w:t>Vzhledem k vývoji v přístupu ke zdraví jako takovému je nutné se zaměřit především na prevenci (včetně např. vzniku center prevence) a zvyšování zdravotní gramotnosti a</w:t>
      </w:r>
      <w:r w:rsidR="00012E8E">
        <w:rPr>
          <w:sz w:val="22"/>
          <w:szCs w:val="22"/>
        </w:rPr>
        <w:t> </w:t>
      </w:r>
      <w:r w:rsidRPr="00BD2246">
        <w:rPr>
          <w:sz w:val="22"/>
          <w:szCs w:val="22"/>
        </w:rPr>
        <w:t>motivace občanů k vlastnímu zdraví. Chystá se rovněž reforma primární péče, s níž souvisí i</w:t>
      </w:r>
      <w:r w:rsidR="00012E8E">
        <w:rPr>
          <w:sz w:val="22"/>
          <w:szCs w:val="22"/>
        </w:rPr>
        <w:t> </w:t>
      </w:r>
      <w:r w:rsidRPr="00BD2246">
        <w:rPr>
          <w:sz w:val="22"/>
          <w:szCs w:val="22"/>
        </w:rPr>
        <w:t>modernizace urgentních příjmů a jejich návaznost na další segmenty akutní péče s</w:t>
      </w:r>
      <w:r w:rsidR="00012E8E">
        <w:rPr>
          <w:sz w:val="22"/>
          <w:szCs w:val="22"/>
        </w:rPr>
        <w:t> </w:t>
      </w:r>
      <w:r w:rsidRPr="00BD2246">
        <w:rPr>
          <w:sz w:val="22"/>
          <w:szCs w:val="22"/>
        </w:rPr>
        <w:t>ohledem na jejich regionální dostupnost.</w:t>
      </w:r>
    </w:p>
    <w:p w:rsidR="00544B47" w:rsidRPr="0076363A" w:rsidRDefault="00544B47" w:rsidP="2D57A07C">
      <w:pPr>
        <w:rPr>
          <w:sz w:val="22"/>
          <w:szCs w:val="22"/>
        </w:rPr>
      </w:pPr>
      <w:r w:rsidRPr="00544B47">
        <w:rPr>
          <w:sz w:val="22"/>
          <w:szCs w:val="22"/>
        </w:rPr>
        <w:t>V celé oblasti je důležitá její pozitivní provazba na rodinnou politiku. V rámci relevantních specifických cílů je jedním z témat také podpora všech typů rodin s dětmi, tak aby docházelo k ocenění péče a zabránění propadu životní úrovně v souvislosti se založením rodiny. Předpokládaným dopadem těchto opatření je pozitivní efekt na</w:t>
      </w:r>
      <w:r w:rsidR="00012E8E">
        <w:rPr>
          <w:sz w:val="22"/>
          <w:szCs w:val="22"/>
        </w:rPr>
        <w:t> </w:t>
      </w:r>
      <w:r w:rsidRPr="00544B47">
        <w:rPr>
          <w:sz w:val="22"/>
          <w:szCs w:val="22"/>
        </w:rPr>
        <w:t>demografický vývoj v České republice – tento cíl je ostatně přímo či nepřímo podporován i</w:t>
      </w:r>
      <w:r w:rsidR="00012E8E">
        <w:rPr>
          <w:sz w:val="22"/>
          <w:szCs w:val="22"/>
        </w:rPr>
        <w:t> </w:t>
      </w:r>
      <w:r w:rsidRPr="00544B47">
        <w:rPr>
          <w:sz w:val="22"/>
          <w:szCs w:val="22"/>
        </w:rPr>
        <w:t xml:space="preserve">dalšími oblastmi, zejm. Vzdělávání, Trh práce, </w:t>
      </w:r>
      <w:r w:rsidR="00361600">
        <w:rPr>
          <w:sz w:val="22"/>
          <w:szCs w:val="22"/>
        </w:rPr>
        <w:t>aj</w:t>
      </w:r>
      <w:r w:rsidRPr="00544B47">
        <w:rPr>
          <w:sz w:val="22"/>
          <w:szCs w:val="22"/>
        </w:rPr>
        <w:t>.</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024144" w:rsidRDefault="003F2142" w:rsidP="00254F4C">
      <w:pPr>
        <w:pStyle w:val="Odstavecseseznamem"/>
        <w:numPr>
          <w:ilvl w:val="0"/>
          <w:numId w:val="14"/>
        </w:numPr>
        <w:spacing w:before="40" w:after="80"/>
        <w:rPr>
          <w:rFonts w:ascii="Arial" w:hAnsi="Arial"/>
          <w:sz w:val="22"/>
          <w:szCs w:val="22"/>
        </w:rPr>
      </w:pPr>
      <w:r>
        <w:rPr>
          <w:rFonts w:ascii="Arial" w:hAnsi="Arial"/>
          <w:sz w:val="22"/>
          <w:szCs w:val="22"/>
        </w:rPr>
        <w:t>Sociální začleňování</w:t>
      </w:r>
    </w:p>
    <w:p w:rsidR="00053B1D"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Sociální bydlení</w:t>
      </w:r>
    </w:p>
    <w:p w:rsidR="00053B1D" w:rsidRPr="00024144" w:rsidRDefault="003F2142" w:rsidP="00254F4C">
      <w:pPr>
        <w:pStyle w:val="Odstavecseseznamem"/>
        <w:numPr>
          <w:ilvl w:val="0"/>
          <w:numId w:val="14"/>
        </w:numPr>
        <w:spacing w:before="40" w:after="80"/>
        <w:rPr>
          <w:rFonts w:ascii="Arial" w:hAnsi="Arial"/>
          <w:sz w:val="22"/>
        </w:rPr>
      </w:pPr>
      <w:r>
        <w:rPr>
          <w:rFonts w:ascii="Arial" w:hAnsi="Arial"/>
          <w:sz w:val="22"/>
        </w:rPr>
        <w:t>Klientsky orientované sociální služby</w:t>
      </w:r>
    </w:p>
    <w:p w:rsidR="00053B1D" w:rsidRPr="00024144" w:rsidRDefault="003F2142" w:rsidP="00254F4C">
      <w:pPr>
        <w:pStyle w:val="Odstavecseseznamem"/>
        <w:numPr>
          <w:ilvl w:val="0"/>
          <w:numId w:val="14"/>
        </w:numPr>
        <w:spacing w:before="40" w:after="80"/>
        <w:rPr>
          <w:rFonts w:ascii="Arial" w:hAnsi="Arial"/>
          <w:sz w:val="22"/>
        </w:rPr>
      </w:pPr>
      <w:r>
        <w:rPr>
          <w:rFonts w:ascii="Arial" w:hAnsi="Arial"/>
          <w:sz w:val="22"/>
        </w:rPr>
        <w:t>Kvalitní a dostupná zdravotní péče</w:t>
      </w:r>
    </w:p>
    <w:p w:rsidR="00053B1D" w:rsidRPr="003D45AD" w:rsidRDefault="2D57A07C" w:rsidP="00254F4C">
      <w:pPr>
        <w:pStyle w:val="Nadpis3"/>
        <w:keepLines/>
        <w:numPr>
          <w:ilvl w:val="2"/>
          <w:numId w:val="9"/>
        </w:numPr>
        <w:tabs>
          <w:tab w:val="clear" w:pos="1985"/>
        </w:tabs>
        <w:spacing w:before="240" w:after="120" w:line="259" w:lineRule="auto"/>
        <w:ind w:left="425" w:hanging="425"/>
        <w:jc w:val="left"/>
        <w:rPr>
          <w:sz w:val="22"/>
          <w:szCs w:val="22"/>
        </w:rPr>
      </w:pPr>
      <w:bookmarkStart w:id="32" w:name="_Toc7774204"/>
      <w:bookmarkStart w:id="33" w:name="_Toc13828201"/>
      <w:r w:rsidRPr="2D57A07C">
        <w:rPr>
          <w:sz w:val="22"/>
          <w:szCs w:val="22"/>
        </w:rPr>
        <w:t>Veřejná správa a bezpečnost</w:t>
      </w:r>
      <w:bookmarkEnd w:id="32"/>
      <w:bookmarkEnd w:id="33"/>
    </w:p>
    <w:p w:rsidR="2D57A07C" w:rsidRDefault="2D57A07C" w:rsidP="2D57A07C">
      <w:r w:rsidRPr="2D57A07C">
        <w:rPr>
          <w:sz w:val="22"/>
          <w:szCs w:val="22"/>
        </w:rPr>
        <w:t>Výkonnost veřejné správy – tj. zejména úroveň korupce a regulace, kvalita soudnictví i</w:t>
      </w:r>
      <w:r w:rsidR="000B496E">
        <w:rPr>
          <w:sz w:val="22"/>
          <w:szCs w:val="22"/>
        </w:rPr>
        <w:t> </w:t>
      </w:r>
      <w:r w:rsidRPr="2D57A07C">
        <w:rPr>
          <w:sz w:val="22"/>
          <w:szCs w:val="22"/>
        </w:rPr>
        <w:t>efektivita v</w:t>
      </w:r>
      <w:r w:rsidR="0013149A">
        <w:rPr>
          <w:sz w:val="22"/>
          <w:szCs w:val="22"/>
        </w:rPr>
        <w:t>lády, dosahují v ČR</w:t>
      </w:r>
      <w:r w:rsidRPr="2D57A07C">
        <w:rPr>
          <w:sz w:val="22"/>
          <w:szCs w:val="22"/>
        </w:rPr>
        <w:t xml:space="preserve"> ve srovnání s ostatními zeměmi relativně nízkých hodnot. Jelikož kvalita a efektivita veřejné správy významně determinuje kvalitu přípravy i samotnou realizaci všech politik, tj. výstupů vládnutí, zákonitě se projevuje také v kvalitě ostatních sektorových politik, definovaných v tomto materiálu. Za tímto účelem je třeba výkonnost veřejné správy dále zlepšovat prostřednictvím změn v nastavení i řízení systému veřejné správy i jednotlivých organizací. Rozhodování ve veřejné správě je třeba založit na relevantních údajích, což přispěje k uvážené tvorbě politik. Je třeba také </w:t>
      </w:r>
      <w:r w:rsidR="00361600">
        <w:rPr>
          <w:sz w:val="22"/>
          <w:szCs w:val="22"/>
        </w:rPr>
        <w:t xml:space="preserve">potlačit úzce resortní přístup </w:t>
      </w:r>
      <w:r w:rsidRPr="2D57A07C">
        <w:rPr>
          <w:sz w:val="22"/>
          <w:szCs w:val="22"/>
        </w:rPr>
        <w:t>a posílit tak koherenci politik. V neposlední řadě je důležité realizovat změny týkající se poskytovaných služeb, ať už z pohledu posílení kvality front-office či prostorové dostupnosti služeb</w:t>
      </w:r>
      <w:r w:rsidR="00361600">
        <w:rPr>
          <w:sz w:val="22"/>
          <w:szCs w:val="22"/>
        </w:rPr>
        <w:t>. S</w:t>
      </w:r>
      <w:r w:rsidRPr="2D57A07C">
        <w:rPr>
          <w:sz w:val="22"/>
          <w:szCs w:val="22"/>
        </w:rPr>
        <w:t xml:space="preserve">lužby občanům a firmám </w:t>
      </w:r>
      <w:r w:rsidR="00361600">
        <w:rPr>
          <w:sz w:val="22"/>
          <w:szCs w:val="22"/>
        </w:rPr>
        <w:t xml:space="preserve">musí být poskytovány </w:t>
      </w:r>
      <w:r w:rsidRPr="2D57A07C">
        <w:rPr>
          <w:sz w:val="22"/>
          <w:szCs w:val="22"/>
        </w:rPr>
        <w:t>s takovým obsahem a</w:t>
      </w:r>
      <w:r w:rsidR="000B496E">
        <w:rPr>
          <w:sz w:val="22"/>
          <w:szCs w:val="22"/>
        </w:rPr>
        <w:t> </w:t>
      </w:r>
      <w:r w:rsidRPr="2D57A07C">
        <w:rPr>
          <w:sz w:val="22"/>
          <w:szCs w:val="22"/>
        </w:rPr>
        <w:t xml:space="preserve">takovým způsobem, </w:t>
      </w:r>
      <w:r w:rsidR="00361600">
        <w:rPr>
          <w:sz w:val="22"/>
          <w:szCs w:val="22"/>
        </w:rPr>
        <w:t xml:space="preserve">aby to odpovídalo jejich </w:t>
      </w:r>
      <w:r w:rsidRPr="2D57A07C">
        <w:rPr>
          <w:sz w:val="22"/>
          <w:szCs w:val="22"/>
        </w:rPr>
        <w:t xml:space="preserve">potřebám. Veřejná správa musí veřejnosti poskytnout reálnou možnost zapojení do tvorby politik/služeb a zvyšovat kvalitu tohoto zapojování, neboť od promyšlené participace se odvíjí vyšší legitimita i vyšší efektivita prováděných </w:t>
      </w:r>
      <w:r w:rsidR="000B496E">
        <w:rPr>
          <w:sz w:val="22"/>
          <w:szCs w:val="22"/>
        </w:rPr>
        <w:t>opatření</w:t>
      </w:r>
      <w:r w:rsidRPr="2D57A07C">
        <w:rPr>
          <w:sz w:val="22"/>
          <w:szCs w:val="22"/>
        </w:rPr>
        <w:t>. Za účelem dalšího rozvoje veřejné správy bude v </w:t>
      </w:r>
      <w:r w:rsidR="00361600">
        <w:rPr>
          <w:sz w:val="22"/>
          <w:szCs w:val="22"/>
        </w:rPr>
        <w:t>příštích</w:t>
      </w:r>
      <w:r w:rsidR="00361600" w:rsidRPr="2D57A07C">
        <w:rPr>
          <w:sz w:val="22"/>
          <w:szCs w:val="22"/>
        </w:rPr>
        <w:t xml:space="preserve"> </w:t>
      </w:r>
      <w:r w:rsidRPr="2D57A07C">
        <w:rPr>
          <w:sz w:val="22"/>
          <w:szCs w:val="22"/>
        </w:rPr>
        <w:t xml:space="preserve">letech podporováno také využívání některých inovativních nástrojů, jako je např. pilotování, širší zohlednění odpovědného zadávání veřejných zakázek a zapojování veřejnosti, které by obecně měly podpořit větší příklon k inovacím ve veřejné správě i v jí ovlivněných sektorových politikách. </w:t>
      </w:r>
    </w:p>
    <w:p w:rsidR="00053B1D" w:rsidRPr="00024144" w:rsidRDefault="3BD56343" w:rsidP="3BD56343">
      <w:pPr>
        <w:rPr>
          <w:sz w:val="22"/>
          <w:szCs w:val="22"/>
        </w:rPr>
      </w:pPr>
      <w:r w:rsidRPr="3BD56343">
        <w:rPr>
          <w:sz w:val="22"/>
          <w:szCs w:val="22"/>
        </w:rPr>
        <w:t>K větší transparentnosti a zároveň efektivitě veřejné správy by pomohlo zefektivnění rozvoje a provozu digitálních agend veřejné správy a větší využívání služeb eGovernmentu</w:t>
      </w:r>
      <w:r w:rsidR="00460BFA">
        <w:rPr>
          <w:sz w:val="22"/>
          <w:szCs w:val="22"/>
        </w:rPr>
        <w:t>, jejich vzájemnou provázanost a plné nahrazení „papírové“ agendy</w:t>
      </w:r>
      <w:r w:rsidRPr="3BD56343">
        <w:rPr>
          <w:sz w:val="22"/>
          <w:szCs w:val="22"/>
        </w:rPr>
        <w:t>. EK (201</w:t>
      </w:r>
      <w:r w:rsidR="0008674D">
        <w:rPr>
          <w:sz w:val="22"/>
          <w:szCs w:val="22"/>
        </w:rPr>
        <w:t>8</w:t>
      </w:r>
      <w:r w:rsidRPr="3BD56343">
        <w:rPr>
          <w:sz w:val="22"/>
          <w:szCs w:val="22"/>
        </w:rPr>
        <w:t>) na základě souhrnného indexu DESI (Digital Economy and Society Index) řadí ČR</w:t>
      </w:r>
      <w:r w:rsidR="0008674D">
        <w:rPr>
          <w:sz w:val="22"/>
          <w:szCs w:val="22"/>
        </w:rPr>
        <w:t xml:space="preserve"> v roce 2019</w:t>
      </w:r>
      <w:r w:rsidRPr="3BD56343">
        <w:rPr>
          <w:sz w:val="22"/>
          <w:szCs w:val="22"/>
        </w:rPr>
        <w:t xml:space="preserve"> v části indexu popisující úroveň digitálních veřejných služeb ČR až na 2</w:t>
      </w:r>
      <w:r w:rsidR="0008674D">
        <w:rPr>
          <w:sz w:val="22"/>
          <w:szCs w:val="22"/>
        </w:rPr>
        <w:t>0</w:t>
      </w:r>
      <w:r w:rsidR="000B496E">
        <w:rPr>
          <w:sz w:val="22"/>
          <w:szCs w:val="22"/>
        </w:rPr>
        <w:t>.</w:t>
      </w:r>
      <w:r w:rsidRPr="3BD56343">
        <w:rPr>
          <w:sz w:val="22"/>
          <w:szCs w:val="22"/>
        </w:rPr>
        <w:t xml:space="preserve"> místo. V používání služeb eGovernmentu (podíl elektronicky vyplněných formulářů) je dokonce až na 2</w:t>
      </w:r>
      <w:r w:rsidR="0008674D">
        <w:rPr>
          <w:sz w:val="22"/>
          <w:szCs w:val="22"/>
        </w:rPr>
        <w:t>2</w:t>
      </w:r>
      <w:r w:rsidRPr="3BD56343">
        <w:rPr>
          <w:sz w:val="22"/>
          <w:szCs w:val="22"/>
        </w:rPr>
        <w:t>. místě. Elektronizace se dotýká i služby elektronického zdravotnictví</w:t>
      </w:r>
      <w:r w:rsidR="000B496E">
        <w:rPr>
          <w:sz w:val="22"/>
          <w:szCs w:val="22"/>
        </w:rPr>
        <w:t xml:space="preserve">, </w:t>
      </w:r>
      <w:r w:rsidR="000B496E" w:rsidRPr="3BD56343">
        <w:rPr>
          <w:sz w:val="22"/>
          <w:szCs w:val="22"/>
        </w:rPr>
        <w:t xml:space="preserve">stále více </w:t>
      </w:r>
      <w:r w:rsidRPr="3BD56343">
        <w:rPr>
          <w:sz w:val="22"/>
          <w:szCs w:val="22"/>
        </w:rPr>
        <w:t>se stáv</w:t>
      </w:r>
      <w:r w:rsidR="000B496E">
        <w:rPr>
          <w:sz w:val="22"/>
          <w:szCs w:val="22"/>
        </w:rPr>
        <w:t>á</w:t>
      </w:r>
      <w:r w:rsidRPr="3BD56343">
        <w:rPr>
          <w:sz w:val="22"/>
          <w:szCs w:val="22"/>
        </w:rPr>
        <w:t xml:space="preserve"> podmínkou pro udržitelnost zdravotního systému a podporuj</w:t>
      </w:r>
      <w:r w:rsidR="000B496E">
        <w:rPr>
          <w:sz w:val="22"/>
          <w:szCs w:val="22"/>
        </w:rPr>
        <w:t>e</w:t>
      </w:r>
      <w:r w:rsidRPr="3BD56343">
        <w:rPr>
          <w:sz w:val="22"/>
          <w:szCs w:val="22"/>
        </w:rPr>
        <w:t xml:space="preserve"> evropský trend zájmu občana o vlastní zdraví. Důležitým prvkem transparentnosti veřejné správy, který umožnuje občanskou kontrolu nad fungováním úřadů, je i otevřené publikování dat (tzv. open data). Prioritní oblastí digitalizace bude také agenda územního plánování.</w:t>
      </w:r>
      <w:r w:rsidR="00210DF4" w:rsidRPr="00210DF4">
        <w:t xml:space="preserve"> </w:t>
      </w:r>
      <w:r w:rsidR="00210DF4" w:rsidRPr="00210DF4">
        <w:rPr>
          <w:sz w:val="22"/>
          <w:szCs w:val="22"/>
        </w:rPr>
        <w:t>V daném kontextu bude veřejná správa rovněž koncentrovat svoji pozornost na environmentální hledisko, a to zejména při pořizování nové techniky a vybavení.</w:t>
      </w:r>
    </w:p>
    <w:p w:rsidR="2D57A07C" w:rsidRPr="00590FD1" w:rsidRDefault="2D57A07C" w:rsidP="2D57A07C">
      <w:pPr>
        <w:rPr>
          <w:rFonts w:eastAsia="Arial"/>
          <w:sz w:val="22"/>
          <w:szCs w:val="22"/>
        </w:rPr>
      </w:pPr>
      <w:r w:rsidRPr="2D57A07C">
        <w:rPr>
          <w:rFonts w:eastAsia="Arial"/>
          <w:sz w:val="22"/>
          <w:szCs w:val="22"/>
        </w:rPr>
        <w:t xml:space="preserve">Zásadní je </w:t>
      </w:r>
      <w:r w:rsidR="00361600">
        <w:rPr>
          <w:rFonts w:eastAsia="Arial"/>
          <w:sz w:val="22"/>
          <w:szCs w:val="22"/>
        </w:rPr>
        <w:t>i</w:t>
      </w:r>
      <w:r w:rsidR="00361600" w:rsidRPr="2D57A07C">
        <w:rPr>
          <w:rFonts w:eastAsia="Arial"/>
          <w:sz w:val="22"/>
          <w:szCs w:val="22"/>
        </w:rPr>
        <w:t xml:space="preserve"> </w:t>
      </w:r>
      <w:r w:rsidRPr="2D57A07C">
        <w:rPr>
          <w:rFonts w:eastAsia="Arial"/>
          <w:sz w:val="22"/>
          <w:szCs w:val="22"/>
        </w:rPr>
        <w:t>zajištění dostatečných kapacit veřejné správy</w:t>
      </w:r>
      <w:r w:rsidR="0089589F">
        <w:rPr>
          <w:rFonts w:eastAsia="Arial"/>
          <w:sz w:val="22"/>
          <w:szCs w:val="22"/>
        </w:rPr>
        <w:t xml:space="preserve"> (včetně složek IZS)</w:t>
      </w:r>
      <w:r w:rsidRPr="2D57A07C">
        <w:rPr>
          <w:rFonts w:eastAsia="Arial"/>
          <w:sz w:val="22"/>
          <w:szCs w:val="22"/>
        </w:rPr>
        <w:t xml:space="preserve"> pro pružnou reakci na globální trendy, prevenci a řešení mimořádných událostí a krizových situací, včetně dopadů přírodních a antropogenních rizik. V ČR je problémem nedostatečná vybavenost</w:t>
      </w:r>
      <w:r w:rsidR="0089589F">
        <w:rPr>
          <w:rFonts w:eastAsia="Arial"/>
          <w:sz w:val="22"/>
          <w:szCs w:val="22"/>
        </w:rPr>
        <w:t xml:space="preserve"> nebo hmotné podmínky</w:t>
      </w:r>
      <w:r w:rsidRPr="2D57A07C">
        <w:rPr>
          <w:rFonts w:eastAsia="Arial"/>
          <w:sz w:val="22"/>
          <w:szCs w:val="22"/>
        </w:rPr>
        <w:t xml:space="preserve"> složek IZS a územních samospráv pro záchranné a likvidační práce stejně jako pro zajištění dlouhodobé evakuace obyvatelstva a nouzového přežití a zajištění ochrany obyvatelstva a</w:t>
      </w:r>
      <w:r w:rsidR="00012E8E">
        <w:rPr>
          <w:rFonts w:eastAsia="Arial"/>
          <w:sz w:val="22"/>
          <w:szCs w:val="22"/>
        </w:rPr>
        <w:t> </w:t>
      </w:r>
      <w:r w:rsidRPr="2D57A07C">
        <w:rPr>
          <w:rFonts w:eastAsia="Arial"/>
          <w:sz w:val="22"/>
          <w:szCs w:val="22"/>
        </w:rPr>
        <w:t xml:space="preserve">veřejného pořádku při řešení těchto událostí. </w:t>
      </w:r>
      <w:r w:rsidR="00361600">
        <w:rPr>
          <w:rFonts w:eastAsia="Arial"/>
          <w:sz w:val="22"/>
          <w:szCs w:val="22"/>
        </w:rPr>
        <w:t>V příštích letech musí být implementován</w:t>
      </w:r>
      <w:r w:rsidRPr="2D57A07C">
        <w:rPr>
          <w:rFonts w:eastAsia="Arial"/>
          <w:sz w:val="22"/>
          <w:szCs w:val="22"/>
        </w:rPr>
        <w:t xml:space="preserve"> moderní způsob varování, vyrozumění a předávání tísňových informací. Další výzvy v</w:t>
      </w:r>
      <w:r w:rsidR="00012E8E">
        <w:rPr>
          <w:rFonts w:eastAsia="Arial"/>
          <w:sz w:val="22"/>
          <w:szCs w:val="22"/>
        </w:rPr>
        <w:t> </w:t>
      </w:r>
      <w:r w:rsidRPr="2D57A07C">
        <w:rPr>
          <w:rFonts w:eastAsia="Arial"/>
          <w:sz w:val="22"/>
          <w:szCs w:val="22"/>
        </w:rPr>
        <w:t>podmínkách veřejné správy představují také migrace, terorismus a extremismus a</w:t>
      </w:r>
      <w:r w:rsidR="00012E8E">
        <w:rPr>
          <w:rFonts w:eastAsia="Arial"/>
          <w:sz w:val="22"/>
          <w:szCs w:val="22"/>
        </w:rPr>
        <w:t> </w:t>
      </w:r>
      <w:r w:rsidRPr="2D57A07C">
        <w:rPr>
          <w:rFonts w:eastAsia="Arial"/>
          <w:sz w:val="22"/>
          <w:szCs w:val="22"/>
        </w:rPr>
        <w:t>nedostatečná schopnost státu a veřejnosti pracovat s informacemi včetně nízké odolnosti vůči dezinformacím. Současně je nezbytné podporovat aktivity na úseku prevence kriminality.</w:t>
      </w:r>
    </w:p>
    <w:p w:rsidR="00053B1D" w:rsidRPr="00024144" w:rsidRDefault="00053B1D" w:rsidP="00053B1D">
      <w:pPr>
        <w:rPr>
          <w:b/>
          <w:sz w:val="22"/>
        </w:rPr>
      </w:pPr>
      <w:r w:rsidRPr="00024144">
        <w:rPr>
          <w:sz w:val="22"/>
        </w:rPr>
        <w:t xml:space="preserve">V dnešním světě čelí instituce a jejich informační systémy hrozbě kybernetických útoků. Nároky na zabezpečení systémů se stále zvyšují a je nutné soustředit se na bezpečnost těch informačních systémů, které spravují hodnotné informace. Vzroste i potřeba reagovat na rozvíjející se nové formy kybernetické kriminality, neboť moderní informační a komunikační technologie dnes využívá běžná veřejnost, která je stále více terčem útoků právě v kyberprostoru. </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024144" w:rsidRDefault="001E1C9B" w:rsidP="00254F4C">
      <w:pPr>
        <w:pStyle w:val="Odstavecseseznamem"/>
        <w:numPr>
          <w:ilvl w:val="0"/>
          <w:numId w:val="14"/>
        </w:numPr>
        <w:spacing w:before="40" w:after="80"/>
        <w:jc w:val="left"/>
        <w:rPr>
          <w:rFonts w:ascii="Arial" w:hAnsi="Arial"/>
          <w:sz w:val="22"/>
        </w:rPr>
      </w:pPr>
      <w:r>
        <w:rPr>
          <w:rFonts w:ascii="Arial" w:hAnsi="Arial"/>
          <w:sz w:val="22"/>
        </w:rPr>
        <w:t>Zefektivnění veřejné správy pro poskytování kvalitních služeb</w:t>
      </w:r>
    </w:p>
    <w:p w:rsidR="00053B1D" w:rsidRPr="00024144" w:rsidRDefault="00053B1D" w:rsidP="00254F4C">
      <w:pPr>
        <w:pStyle w:val="Odstavecseseznamem"/>
        <w:numPr>
          <w:ilvl w:val="0"/>
          <w:numId w:val="14"/>
        </w:numPr>
        <w:spacing w:before="40" w:after="80"/>
        <w:jc w:val="left"/>
        <w:rPr>
          <w:rFonts w:ascii="Arial" w:hAnsi="Arial"/>
          <w:sz w:val="22"/>
        </w:rPr>
      </w:pPr>
      <w:r w:rsidRPr="00024144">
        <w:rPr>
          <w:rFonts w:ascii="Arial" w:hAnsi="Arial"/>
          <w:sz w:val="22"/>
        </w:rPr>
        <w:t>Ochrana obyvatelstva</w:t>
      </w:r>
    </w:p>
    <w:p w:rsidR="00053B1D" w:rsidRPr="00024144" w:rsidRDefault="00053B1D" w:rsidP="00254F4C">
      <w:pPr>
        <w:pStyle w:val="Odstavecseseznamem"/>
        <w:numPr>
          <w:ilvl w:val="0"/>
          <w:numId w:val="14"/>
        </w:numPr>
        <w:spacing w:before="40" w:after="80"/>
        <w:jc w:val="left"/>
        <w:rPr>
          <w:rFonts w:ascii="Arial" w:hAnsi="Arial"/>
          <w:sz w:val="22"/>
        </w:rPr>
      </w:pPr>
      <w:r w:rsidRPr="00024144">
        <w:rPr>
          <w:rFonts w:ascii="Arial" w:hAnsi="Arial"/>
          <w:sz w:val="22"/>
        </w:rPr>
        <w:t xml:space="preserve">Elektronizace výkonu veřejné správy a </w:t>
      </w:r>
      <w:r w:rsidR="00BC16C0">
        <w:rPr>
          <w:rFonts w:ascii="Arial" w:hAnsi="Arial"/>
          <w:sz w:val="22"/>
        </w:rPr>
        <w:t xml:space="preserve">zavedení </w:t>
      </w:r>
      <w:r w:rsidRPr="00024144">
        <w:rPr>
          <w:rFonts w:ascii="Arial" w:hAnsi="Arial"/>
          <w:sz w:val="22"/>
        </w:rPr>
        <w:t>související infrastruktur</w:t>
      </w:r>
      <w:r w:rsidR="00BC16C0">
        <w:rPr>
          <w:rFonts w:ascii="Arial" w:hAnsi="Arial"/>
          <w:sz w:val="22"/>
        </w:rPr>
        <w:t>y</w:t>
      </w:r>
    </w:p>
    <w:p w:rsidR="00053B1D" w:rsidRDefault="00EB51E5" w:rsidP="00254F4C">
      <w:pPr>
        <w:pStyle w:val="Odstavecseseznamem"/>
        <w:numPr>
          <w:ilvl w:val="0"/>
          <w:numId w:val="14"/>
        </w:numPr>
        <w:spacing w:before="40" w:after="80"/>
        <w:jc w:val="left"/>
        <w:rPr>
          <w:rFonts w:ascii="Arial" w:hAnsi="Arial"/>
          <w:sz w:val="22"/>
        </w:rPr>
      </w:pPr>
      <w:r>
        <w:rPr>
          <w:rFonts w:ascii="Arial" w:hAnsi="Arial"/>
          <w:sz w:val="22"/>
        </w:rPr>
        <w:t>Účinné zabezpečení informačních a komunikačních systémů veřejné správy včetně složek IZS a adekvátní reakce na rostoucí kybernetické hrozby</w:t>
      </w:r>
    </w:p>
    <w:p w:rsidR="00EB51E5" w:rsidRPr="00024144" w:rsidRDefault="00EB51E5" w:rsidP="00254F4C">
      <w:pPr>
        <w:pStyle w:val="Odstavecseseznamem"/>
        <w:numPr>
          <w:ilvl w:val="0"/>
          <w:numId w:val="14"/>
        </w:numPr>
        <w:spacing w:before="40" w:after="80"/>
        <w:jc w:val="left"/>
        <w:rPr>
          <w:rFonts w:ascii="Arial" w:hAnsi="Arial"/>
          <w:sz w:val="22"/>
        </w:rPr>
      </w:pPr>
      <w:r>
        <w:rPr>
          <w:rFonts w:ascii="Arial" w:hAnsi="Arial"/>
          <w:sz w:val="22"/>
        </w:rPr>
        <w:t>Digitalizace územního plánování (elektronizace a digitalizace agend stavebního práva)</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34" w:name="_Toc7774205"/>
      <w:bookmarkStart w:id="35" w:name="_Toc13828202"/>
      <w:r w:rsidRPr="003D45AD">
        <w:rPr>
          <w:sz w:val="22"/>
        </w:rPr>
        <w:t>Výzkumný a inovační systém</w:t>
      </w:r>
      <w:bookmarkEnd w:id="34"/>
      <w:bookmarkEnd w:id="35"/>
    </w:p>
    <w:p w:rsidR="00053B1D" w:rsidRPr="00024144" w:rsidRDefault="00053B1D" w:rsidP="00977260">
      <w:pPr>
        <w:spacing w:before="160"/>
        <w:rPr>
          <w:sz w:val="22"/>
        </w:rPr>
      </w:pPr>
      <w:r w:rsidRPr="00024144">
        <w:rPr>
          <w:sz w:val="22"/>
        </w:rPr>
        <w:t xml:space="preserve">Výzkumný systém se v posledních letech dynamicky rozvíjí. Celkové výdaje na </w:t>
      </w:r>
      <w:r w:rsidR="0013149A">
        <w:rPr>
          <w:sz w:val="22"/>
        </w:rPr>
        <w:t>výzkum a</w:t>
      </w:r>
      <w:r w:rsidR="00012E8E">
        <w:rPr>
          <w:sz w:val="22"/>
        </w:rPr>
        <w:t> </w:t>
      </w:r>
      <w:r w:rsidR="0013149A">
        <w:rPr>
          <w:sz w:val="22"/>
        </w:rPr>
        <w:t>vývoj (</w:t>
      </w:r>
      <w:r w:rsidRPr="00024144">
        <w:rPr>
          <w:sz w:val="22"/>
        </w:rPr>
        <w:t>VaV</w:t>
      </w:r>
      <w:r w:rsidR="0013149A">
        <w:rPr>
          <w:sz w:val="22"/>
        </w:rPr>
        <w:t>)</w:t>
      </w:r>
      <w:r w:rsidRPr="00024144">
        <w:rPr>
          <w:sz w:val="22"/>
        </w:rPr>
        <w:t xml:space="preserve"> v ČR dlouhodobě rostou</w:t>
      </w:r>
      <w:r w:rsidR="00147043">
        <w:rPr>
          <w:sz w:val="22"/>
        </w:rPr>
        <w:t>,</w:t>
      </w:r>
      <w:r w:rsidRPr="00024144">
        <w:rPr>
          <w:sz w:val="22"/>
        </w:rPr>
        <w:t xml:space="preserve"> a</w:t>
      </w:r>
      <w:r w:rsidR="00147043">
        <w:rPr>
          <w:sz w:val="22"/>
        </w:rPr>
        <w:t>le</w:t>
      </w:r>
      <w:r w:rsidRPr="00024144">
        <w:rPr>
          <w:sz w:val="22"/>
        </w:rPr>
        <w:t xml:space="preserve"> v přepočtu na HDP </w:t>
      </w:r>
      <w:r w:rsidR="00147043">
        <w:rPr>
          <w:sz w:val="22"/>
        </w:rPr>
        <w:t>nepřekračují</w:t>
      </w:r>
      <w:r w:rsidRPr="00024144">
        <w:rPr>
          <w:sz w:val="22"/>
        </w:rPr>
        <w:t xml:space="preserve"> průměr EU. K rozvoji výzkumného systému v uplynulém období výraznou měrou přisp</w:t>
      </w:r>
      <w:r w:rsidR="0013149A">
        <w:rPr>
          <w:sz w:val="22"/>
        </w:rPr>
        <w:t>ěly i finanční prostředky z </w:t>
      </w:r>
      <w:r w:rsidR="008C143C">
        <w:rPr>
          <w:sz w:val="22"/>
        </w:rPr>
        <w:t>fondů EU</w:t>
      </w:r>
      <w:r w:rsidRPr="00024144">
        <w:rPr>
          <w:sz w:val="22"/>
        </w:rPr>
        <w:t>, s jejichž využitím došlo k rozvoji výzkumné a inovační infrastruktury a kapacit ve</w:t>
      </w:r>
      <w:r w:rsidR="00012E8E">
        <w:rPr>
          <w:sz w:val="22"/>
        </w:rPr>
        <w:t> </w:t>
      </w:r>
      <w:r w:rsidRPr="00024144">
        <w:rPr>
          <w:sz w:val="22"/>
        </w:rPr>
        <w:t>veřejném i soukromém sektoru. Nárůst výdajů na VaV byl doprovázen</w:t>
      </w:r>
      <w:r w:rsidR="00F06693">
        <w:rPr>
          <w:sz w:val="22"/>
        </w:rPr>
        <w:t xml:space="preserve"> částečným</w:t>
      </w:r>
      <w:r w:rsidRPr="00024144">
        <w:rPr>
          <w:sz w:val="22"/>
        </w:rPr>
        <w:t xml:space="preserve"> nárůstem počtu zaměstnanců ve VaV i výzkumných pracovníků ve veřejném i podnikovém sektoru. Přes tento pozitivní rozvoj výzkumného a inovačního systému ČR jako celku existují v ČR značné regionální rozdíly v dynamice výzkumných a inovačních aktivit a souvisejícím socioekonomickém rozvoji regionů. </w:t>
      </w:r>
    </w:p>
    <w:p w:rsidR="00053B1D" w:rsidRPr="00024144" w:rsidRDefault="00053B1D" w:rsidP="00977260">
      <w:pPr>
        <w:rPr>
          <w:sz w:val="22"/>
        </w:rPr>
      </w:pPr>
      <w:r w:rsidRPr="00024144">
        <w:rPr>
          <w:sz w:val="22"/>
        </w:rPr>
        <w:t xml:space="preserve">I přes výrazný rozvoj v uplynulém období a zlepšení produktivity i kvality výzkumu zůstává domácí výzkumný systém poněkud uzavřený mezinárodní spolupráci. ČR v mezinárodním srovnání vykazuje relativně nízký počet publikací vzniklých ve spolupráci se zahraničními pracovišti. Výzkumné týmy z ČR se také dosud zapojují méně do mezinárodních výzkumných programů. </w:t>
      </w:r>
      <w:r w:rsidR="000C7B4E" w:rsidRPr="00590FD1">
        <w:rPr>
          <w:sz w:val="22"/>
        </w:rPr>
        <w:t>V ČR dosud není dostatek výzkumných pracovišť/týmů, kde by vznikaly špičkové výsledky ve světovém měřítku.</w:t>
      </w:r>
      <w:r w:rsidR="000C7B4E" w:rsidRPr="00DF3A72">
        <w:t xml:space="preserve">  </w:t>
      </w:r>
      <w:r w:rsidRPr="00024144">
        <w:rPr>
          <w:sz w:val="22"/>
        </w:rPr>
        <w:t>Do budoucna je proto zapotřebí věnovat pozornost posílení internacionalizace systému VaV. Příležitostí je využití nově vybudovaných center VaV a investice do tzv. velkých výzkumných infrastruktur. Předpokladem je pak posílení mobility a zlepšení kvality lidských zdrojů pro VaV, vč. zajištění dostatečného počtu absolventů s kvalitním vzděláním v přírodovědných a</w:t>
      </w:r>
      <w:r w:rsidR="00012E8E">
        <w:rPr>
          <w:sz w:val="22"/>
        </w:rPr>
        <w:t> </w:t>
      </w:r>
      <w:r w:rsidRPr="00024144">
        <w:rPr>
          <w:sz w:val="22"/>
        </w:rPr>
        <w:t>technických oborech i na zkvalitnění těchto programů v oblastech sociálních a humanitních věd.</w:t>
      </w:r>
      <w:r w:rsidR="00361600">
        <w:rPr>
          <w:sz w:val="22"/>
        </w:rPr>
        <w:t xml:space="preserve"> Další podmínkou je snížení administrativní zátěže související s realizací projektů VaV.</w:t>
      </w:r>
    </w:p>
    <w:p w:rsidR="00053B1D" w:rsidRPr="00024144" w:rsidRDefault="00053B1D" w:rsidP="00977260">
      <w:pPr>
        <w:rPr>
          <w:sz w:val="22"/>
        </w:rPr>
      </w:pPr>
      <w:r w:rsidRPr="00024144">
        <w:rPr>
          <w:sz w:val="22"/>
        </w:rPr>
        <w:t>Celkové výdaje podnikatelského sektoru na VaV neustále rostou a zvyšuje se i jejich podíl v celkových domácích výdajích na VaV. Podobně narůstá i počet výzkumných pracovníků v podnikatelském sektoru. Podíl veřejných zdrojů ve výdajích podnikatelského sektoru na VaV postupně klesá a vývoj naznačuje zvyšování významu výzkumných aktivit v podnicích.</w:t>
      </w:r>
    </w:p>
    <w:p w:rsidR="00053B1D" w:rsidRPr="00024144" w:rsidRDefault="00053B1D" w:rsidP="00977260">
      <w:pPr>
        <w:rPr>
          <w:sz w:val="22"/>
        </w:rPr>
      </w:pPr>
      <w:r w:rsidRPr="00024144">
        <w:rPr>
          <w:sz w:val="22"/>
        </w:rPr>
        <w:t>Podnikový výzkum je v ČR „tažen“ především podniky se zahraniční účastí. Domácí podniky často působí jako subdodavatelé zahraničních firem a jejich VaV aktivity jsou ve srovnání se zahraničními firmami omezené. Do budoucna je proto zapotřebí dosáhnout toho, aby domácí podniky v daleko větší míře rozvíjely své VaV aktivity a svou konkurenceschopnost zakládaly nikoliv na levné pracovní síle, ale na uplatňování nových poznatků a produkci s vyšší přidanou ho</w:t>
      </w:r>
      <w:r w:rsidR="0013149A">
        <w:rPr>
          <w:sz w:val="22"/>
        </w:rPr>
        <w:t xml:space="preserve">dnotou, </w:t>
      </w:r>
      <w:r w:rsidRPr="00024144">
        <w:rPr>
          <w:sz w:val="22"/>
        </w:rPr>
        <w:t>zejména v oblasti perspektivních technologií, jako jsou např. nanotechnologie, informační a komunikační technologie</w:t>
      </w:r>
      <w:r w:rsidR="0013149A">
        <w:rPr>
          <w:sz w:val="22"/>
        </w:rPr>
        <w:t xml:space="preserve"> (IKT)</w:t>
      </w:r>
      <w:r w:rsidRPr="00024144">
        <w:rPr>
          <w:sz w:val="22"/>
        </w:rPr>
        <w:t xml:space="preserve">, biotechnologie apod. Výzvou do budoucna je schopnost podniků nové řešení nejen doma objevit a vyvinout, ale také použít a prodat tak, aby co největší část přidané hodnoty zůstala v domácí ekonomice. Zároveň je zapotřebí využít přítomnosti nadnárodních společností a podniků se zahraniční účastí a podporovat spolupráci domácích podniků s těmito společnostmi a jejich začlenění do globálních inovačních sítí. </w:t>
      </w:r>
    </w:p>
    <w:p w:rsidR="00053B1D" w:rsidRPr="00024144" w:rsidRDefault="00053B1D" w:rsidP="00977260">
      <w:pPr>
        <w:rPr>
          <w:sz w:val="22"/>
        </w:rPr>
      </w:pPr>
      <w:r w:rsidRPr="00024144">
        <w:rPr>
          <w:sz w:val="22"/>
        </w:rPr>
        <w:t xml:space="preserve">S ohledem na existující riziko postupného rozevírání nůžek mezi dynamicky se rozvíjejícími znalostně intenzivními regiony a ekonomicky slabšími regiony a regiony se strukturálními potížemi je potřebné nadále usilovat o rozvoj regionálních inovačních systémů, a to zejména v regionech, které z hlediska výzkumných a inovačních aktivit zaostávají. </w:t>
      </w:r>
      <w:r w:rsidR="00C44142">
        <w:rPr>
          <w:sz w:val="22"/>
        </w:rPr>
        <w:t>R</w:t>
      </w:r>
      <w:r w:rsidRPr="00024144">
        <w:rPr>
          <w:sz w:val="22"/>
        </w:rPr>
        <w:t xml:space="preserve">egionální inovační systémy nemohou fungovat výhradně na krajské úrovni, </w:t>
      </w:r>
      <w:r w:rsidR="00C44142">
        <w:rPr>
          <w:sz w:val="22"/>
        </w:rPr>
        <w:t>ale</w:t>
      </w:r>
      <w:r w:rsidR="00C44142" w:rsidRPr="00024144">
        <w:rPr>
          <w:sz w:val="22"/>
        </w:rPr>
        <w:t xml:space="preserve"> </w:t>
      </w:r>
      <w:r w:rsidRPr="00024144">
        <w:rPr>
          <w:sz w:val="22"/>
        </w:rPr>
        <w:t>musí být i dostatečně „otevřené“ spolupráci na meziregionální a nadnárodní úrovni</w:t>
      </w:r>
      <w:r w:rsidR="00C44142">
        <w:rPr>
          <w:sz w:val="22"/>
        </w:rPr>
        <w:t>.</w:t>
      </w:r>
      <w:r w:rsidRPr="00024144">
        <w:rPr>
          <w:sz w:val="22"/>
        </w:rPr>
        <w:t xml:space="preserve"> </w:t>
      </w:r>
      <w:r w:rsidR="00C44142">
        <w:rPr>
          <w:sz w:val="22"/>
        </w:rPr>
        <w:t xml:space="preserve">Proto </w:t>
      </w:r>
      <w:r w:rsidRPr="00024144">
        <w:rPr>
          <w:sz w:val="22"/>
        </w:rPr>
        <w:t>je zapotřebí vytvářet i nástroje, které budou stimulovat spolupráci mezi aktéry (podniky, výzkumnými organizacemi, agenturami, regionální samosprávou apod.) z různých regionů ČR i</w:t>
      </w:r>
      <w:r w:rsidR="00012E8E">
        <w:rPr>
          <w:sz w:val="22"/>
        </w:rPr>
        <w:t> </w:t>
      </w:r>
      <w:r w:rsidRPr="00024144">
        <w:rPr>
          <w:sz w:val="22"/>
        </w:rPr>
        <w:t>ze</w:t>
      </w:r>
      <w:r w:rsidR="00012E8E">
        <w:rPr>
          <w:sz w:val="22"/>
        </w:rPr>
        <w:t> </w:t>
      </w:r>
      <w:r w:rsidRPr="00024144">
        <w:rPr>
          <w:sz w:val="22"/>
        </w:rPr>
        <w:t xml:space="preserve">zahraničí (zejména sousedních zemí). Zároveň by měl být podporován vznik/rozvoj partnerství (iniciativ, platforem, </w:t>
      </w:r>
      <w:r w:rsidR="00AB6936">
        <w:rPr>
          <w:sz w:val="22"/>
        </w:rPr>
        <w:t xml:space="preserve">klastrů, </w:t>
      </w:r>
      <w:r w:rsidRPr="00024144">
        <w:rPr>
          <w:sz w:val="22"/>
        </w:rPr>
        <w:t xml:space="preserve">uskupení apod.), v nichž budou působit výzkumné organizace, podniky a další instituce z více regionů (na národní i nadnárodní úrovni), kde bude řešena problematika, která je pro tyto regiony aktuální. </w:t>
      </w:r>
    </w:p>
    <w:p w:rsidR="00053B1D" w:rsidRPr="00024144" w:rsidRDefault="00053B1D" w:rsidP="00977260">
      <w:pPr>
        <w:rPr>
          <w:sz w:val="22"/>
        </w:rPr>
      </w:pPr>
      <w:r w:rsidRPr="00024144">
        <w:rPr>
          <w:sz w:val="22"/>
        </w:rPr>
        <w:t>Ve vazbě na rozvoj znalostní společnosti ČR a stále větší uplatňování moderních technologií i v běžném životě je zapotřebí zvýšit kvalitu vzdělávání na všech typech škol. V souvislosti s očekávaným rozvojem moderních technologií je nezbytné do budoucna zajistit vhodně kvalifikované odborníky v oblastech, jakými jsou zejména</w:t>
      </w:r>
      <w:r w:rsidR="0013149A">
        <w:rPr>
          <w:sz w:val="22"/>
        </w:rPr>
        <w:t xml:space="preserve"> IKT a</w:t>
      </w:r>
      <w:r w:rsidRPr="00024144">
        <w:rPr>
          <w:sz w:val="22"/>
        </w:rPr>
        <w:t xml:space="preserve"> digitální technologie, nanotechnogie a pokročilé materiály, mikroelektronika, biotechnologie apod. </w:t>
      </w:r>
    </w:p>
    <w:p w:rsidR="00053B1D" w:rsidRPr="00024144" w:rsidRDefault="72755F4C" w:rsidP="72755F4C">
      <w:pPr>
        <w:spacing w:after="120"/>
        <w:rPr>
          <w:sz w:val="22"/>
          <w:szCs w:val="22"/>
        </w:rPr>
      </w:pPr>
      <w:r w:rsidRPr="72755F4C">
        <w:rPr>
          <w:sz w:val="22"/>
          <w:szCs w:val="22"/>
        </w:rPr>
        <w:t xml:space="preserve">Výzkumný systém v ČR je dosud značně uzavřen spolupráci s aplikačním sektorem. Pro lepší využívání poznatků veřejného výzkumu v podnikových inovacích je proto do budoucna nezbytné zefektivnit šíření a sdílení znalostí z výzkumných organizací a zlepšení činnosti center transferu technologií vytvořených ve veřejných výzkumných organizacích a zvýšení jejich efektivity („mobilizace“ činnosti). Pro zkvalitnění aplikovaného VaV je třeba vhodným způsobem transformovat část výzkumných kapacit ČR na </w:t>
      </w:r>
      <w:r w:rsidR="00901825">
        <w:rPr>
          <w:sz w:val="22"/>
          <w:szCs w:val="22"/>
        </w:rPr>
        <w:t>excelentní</w:t>
      </w:r>
      <w:r w:rsidR="00901825" w:rsidRPr="72755F4C">
        <w:rPr>
          <w:sz w:val="22"/>
          <w:szCs w:val="22"/>
        </w:rPr>
        <w:t xml:space="preserve"> </w:t>
      </w:r>
      <w:r w:rsidRPr="72755F4C">
        <w:rPr>
          <w:sz w:val="22"/>
          <w:szCs w:val="22"/>
        </w:rPr>
        <w:t>pracoviště aplikovaného VaV. Základ tohoto systému by mohla tvořit některá výzkumn</w:t>
      </w:r>
      <w:r w:rsidR="0013149A">
        <w:rPr>
          <w:sz w:val="22"/>
          <w:szCs w:val="22"/>
        </w:rPr>
        <w:t xml:space="preserve">á centra vzniklá za podpory </w:t>
      </w:r>
      <w:r w:rsidR="008C143C">
        <w:rPr>
          <w:sz w:val="22"/>
          <w:szCs w:val="22"/>
        </w:rPr>
        <w:t>fondů EU</w:t>
      </w:r>
      <w:r w:rsidRPr="72755F4C">
        <w:rPr>
          <w:sz w:val="22"/>
          <w:szCs w:val="22"/>
        </w:rPr>
        <w:t xml:space="preserve"> a národních zdrojů. Zároveň je zapotřebí vytvořit vhodné podmínky pro jejich rozvoj a začlenit je do výzkumného a inovačního systému. </w:t>
      </w:r>
    </w:p>
    <w:p w:rsidR="00053B1D" w:rsidRPr="00024144" w:rsidRDefault="00053B1D" w:rsidP="00977260">
      <w:pPr>
        <w:rPr>
          <w:sz w:val="22"/>
          <w:u w:val="single"/>
        </w:rPr>
      </w:pPr>
      <w:r w:rsidRPr="00024144">
        <w:rPr>
          <w:sz w:val="22"/>
          <w:u w:val="single"/>
        </w:rPr>
        <w:t xml:space="preserve">K dalšímu detailnímu řešení byly na základě analýzy NKR vybrány tyto tematické </w:t>
      </w:r>
      <w:r w:rsidR="002A459B" w:rsidRPr="00024144">
        <w:rPr>
          <w:sz w:val="22"/>
          <w:u w:val="single"/>
        </w:rPr>
        <w:t>podoblasti</w:t>
      </w:r>
      <w:r w:rsidRPr="00024144">
        <w:rPr>
          <w:sz w:val="22"/>
          <w:u w:val="single"/>
        </w:rPr>
        <w:t>:</w:t>
      </w:r>
    </w:p>
    <w:p w:rsidR="00053B1D" w:rsidRPr="00024144" w:rsidRDefault="0003775F" w:rsidP="00254F4C">
      <w:pPr>
        <w:pStyle w:val="Odstavecseseznamem"/>
        <w:numPr>
          <w:ilvl w:val="0"/>
          <w:numId w:val="14"/>
        </w:numPr>
        <w:spacing w:before="40" w:after="80"/>
        <w:rPr>
          <w:rFonts w:ascii="Arial" w:hAnsi="Arial"/>
          <w:sz w:val="22"/>
        </w:rPr>
      </w:pPr>
      <w:r>
        <w:rPr>
          <w:rFonts w:ascii="Arial" w:hAnsi="Arial"/>
          <w:sz w:val="22"/>
        </w:rPr>
        <w:t>Rozvoj zázemí pro kvalitní a relevantní výzkum</w:t>
      </w:r>
    </w:p>
    <w:p w:rsidR="00053B1D" w:rsidRDefault="0003775F" w:rsidP="00254F4C">
      <w:pPr>
        <w:pStyle w:val="Odstavecseseznamem"/>
        <w:numPr>
          <w:ilvl w:val="0"/>
          <w:numId w:val="14"/>
        </w:numPr>
        <w:spacing w:before="40" w:after="80"/>
        <w:rPr>
          <w:rFonts w:ascii="Arial" w:hAnsi="Arial"/>
          <w:sz w:val="22"/>
        </w:rPr>
      </w:pPr>
      <w:r>
        <w:rPr>
          <w:rFonts w:ascii="Arial" w:hAnsi="Arial"/>
          <w:sz w:val="22"/>
        </w:rPr>
        <w:t>Podpora inovac</w:t>
      </w:r>
      <w:r w:rsidR="00BE4B04">
        <w:rPr>
          <w:rFonts w:ascii="Arial" w:hAnsi="Arial"/>
          <w:sz w:val="22"/>
        </w:rPr>
        <w:t>í</w:t>
      </w:r>
      <w:r>
        <w:rPr>
          <w:rFonts w:ascii="Arial" w:hAnsi="Arial"/>
          <w:sz w:val="22"/>
        </w:rPr>
        <w:t xml:space="preserve"> prostřednictvím aplikovaného výzkumu a experimentálního vývoje</w:t>
      </w:r>
    </w:p>
    <w:p w:rsidR="00A32152" w:rsidRPr="00024144" w:rsidRDefault="00A32152" w:rsidP="00A32152">
      <w:pPr>
        <w:pStyle w:val="Odstavecseseznamem"/>
        <w:numPr>
          <w:ilvl w:val="0"/>
          <w:numId w:val="14"/>
        </w:numPr>
        <w:spacing w:before="40" w:after="80"/>
        <w:rPr>
          <w:rFonts w:ascii="Arial" w:hAnsi="Arial"/>
          <w:sz w:val="22"/>
        </w:rPr>
      </w:pPr>
      <w:r w:rsidRPr="00A32152">
        <w:rPr>
          <w:rFonts w:ascii="Arial" w:hAnsi="Arial"/>
          <w:sz w:val="22"/>
        </w:rPr>
        <w:t>Zkvalitnění strategického řízení VaVaI</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36" w:name="_Toc7774206"/>
      <w:bookmarkStart w:id="37" w:name="_Toc13828203"/>
      <w:r w:rsidRPr="003D45AD">
        <w:rPr>
          <w:sz w:val="22"/>
        </w:rPr>
        <w:t>Podpora podnikání a průmyslu</w:t>
      </w:r>
      <w:bookmarkEnd w:id="36"/>
      <w:bookmarkEnd w:id="37"/>
    </w:p>
    <w:p w:rsidR="00053B1D" w:rsidRPr="00024144" w:rsidRDefault="00053B1D" w:rsidP="00053B1D">
      <w:pPr>
        <w:rPr>
          <w:sz w:val="22"/>
        </w:rPr>
      </w:pPr>
      <w:r w:rsidRPr="00024144">
        <w:rPr>
          <w:sz w:val="22"/>
        </w:rPr>
        <w:t>Řada českých podniků usiluje o přechod ke konkurenceschopnosti založené na znalostech a</w:t>
      </w:r>
      <w:r w:rsidR="00012E8E">
        <w:rPr>
          <w:sz w:val="22"/>
        </w:rPr>
        <w:t> </w:t>
      </w:r>
      <w:r w:rsidRPr="00024144">
        <w:rPr>
          <w:sz w:val="22"/>
        </w:rPr>
        <w:t>inovacích. Lidské a finanční vstupy do podnikového výzkumu výrazně rostly, nicméně aktivity vedoucí k inovacím a zvyšování konkurenceschopnosti stále nejsou rozšířeny mezi velké množství podniků. Pokud podniky inovují, tak tyto inovace obvykle nejsou vysokého řádu. Velká část přidané hodnoty českých podniků je stále (a v některých odvětvích z</w:t>
      </w:r>
      <w:r w:rsidR="00012E8E">
        <w:rPr>
          <w:sz w:val="22"/>
        </w:rPr>
        <w:t> </w:t>
      </w:r>
      <w:r w:rsidRPr="00024144">
        <w:rPr>
          <w:sz w:val="22"/>
        </w:rPr>
        <w:t xml:space="preserve">většiny) dovážena ze zahraničí. V této realitě mají podniky v ČR daleko nižší znalostní intenzitu než podniky v zahraničí a vyplácí výrazně nižší mzdy výzkumníkům. Velkou příležitostí je jednak posun podniků směrem ke znalostní ekonomice a dále jejich přetvoření na podniky typu Průmyslu 4.0 (poskytování služeb a výroby za pomoci kyber-fyzikálních systémů). </w:t>
      </w:r>
    </w:p>
    <w:p w:rsidR="00053B1D" w:rsidRPr="00024144" w:rsidRDefault="00053B1D" w:rsidP="00053B1D">
      <w:pPr>
        <w:rPr>
          <w:sz w:val="22"/>
        </w:rPr>
      </w:pPr>
      <w:r w:rsidRPr="00024144">
        <w:rPr>
          <w:sz w:val="22"/>
        </w:rPr>
        <w:t>Z hlediska podnikatelské kultury a aspirací českých podnikatelů a inovátorů bylo zjištěno, že mezi top 443 inovujícími podniky v ČR pouze 87 aspiruje</w:t>
      </w:r>
      <w:r w:rsidR="00C44142">
        <w:rPr>
          <w:sz w:val="22"/>
        </w:rPr>
        <w:t xml:space="preserve"> na to</w:t>
      </w:r>
      <w:r w:rsidRPr="00024144">
        <w:rPr>
          <w:sz w:val="22"/>
        </w:rPr>
        <w:t xml:space="preserve"> být lídrem ve svém odvětví (nebo nice). Většina je však pobočkou nebo dcerou nadnárodní společnosti. V ČR a na Slovensku je navíc „strach z podnikání“ nejvyšší v EU. Pokud má česká ekonomika dlouhodobě vytvářet dostatek zdrojů a být konkurenceschopná v zahraničí, je potřeba zaměřit se na hlavní cíl, </w:t>
      </w:r>
      <w:r w:rsidR="00C44142">
        <w:rPr>
          <w:sz w:val="22"/>
        </w:rPr>
        <w:t>kterým je</w:t>
      </w:r>
      <w:r w:rsidRPr="00024144">
        <w:rPr>
          <w:sz w:val="22"/>
        </w:rPr>
        <w:t xml:space="preserve"> zvyšování přidané hodnoty výrobků a služeb </w:t>
      </w:r>
      <w:r w:rsidR="00C44142">
        <w:rPr>
          <w:sz w:val="22"/>
        </w:rPr>
        <w:t>prostřednictvím</w:t>
      </w:r>
      <w:r w:rsidR="00C44142" w:rsidRPr="00024144">
        <w:rPr>
          <w:sz w:val="22"/>
        </w:rPr>
        <w:t xml:space="preserve"> </w:t>
      </w:r>
      <w:r w:rsidRPr="00024144">
        <w:rPr>
          <w:sz w:val="22"/>
        </w:rPr>
        <w:t>inovac</w:t>
      </w:r>
      <w:r w:rsidR="00C44142">
        <w:rPr>
          <w:sz w:val="22"/>
        </w:rPr>
        <w:t>í</w:t>
      </w:r>
      <w:r w:rsidRPr="00024144">
        <w:rPr>
          <w:sz w:val="22"/>
        </w:rPr>
        <w:t>, rozvoj</w:t>
      </w:r>
      <w:r w:rsidR="00C44142">
        <w:rPr>
          <w:sz w:val="22"/>
        </w:rPr>
        <w:t>e</w:t>
      </w:r>
      <w:r w:rsidRPr="00024144">
        <w:rPr>
          <w:sz w:val="22"/>
        </w:rPr>
        <w:t xml:space="preserve"> technologií, </w:t>
      </w:r>
      <w:r w:rsidR="00C44142">
        <w:rPr>
          <w:sz w:val="22"/>
        </w:rPr>
        <w:t>a zajištění odpovídajících zrojů pro oblasti</w:t>
      </w:r>
      <w:r w:rsidR="00C44142" w:rsidRPr="00024144">
        <w:rPr>
          <w:sz w:val="22"/>
        </w:rPr>
        <w:t xml:space="preserve"> </w:t>
      </w:r>
      <w:r w:rsidRPr="00024144">
        <w:rPr>
          <w:sz w:val="22"/>
        </w:rPr>
        <w:t>kulturního a přírodního dědictví a umění. Zde kulturní a kreativní průmysly mohou tradičním průmyslům výrazně pomoci v segmentu, ve kterém zaostávají nejvíce: ve vysoké kvalitě výrobků a služeb, v jejich prezentaci a v budování značek jako součástí hodnoty firmy.</w:t>
      </w:r>
    </w:p>
    <w:p w:rsidR="00053B1D" w:rsidRPr="00024144" w:rsidRDefault="00053B1D" w:rsidP="00053B1D">
      <w:pPr>
        <w:rPr>
          <w:sz w:val="22"/>
        </w:rPr>
      </w:pPr>
      <w:r w:rsidRPr="00024144">
        <w:rPr>
          <w:sz w:val="22"/>
        </w:rPr>
        <w:t xml:space="preserve">Podpora podnikání musí zahrnout všechny podnikatelské </w:t>
      </w:r>
      <w:r w:rsidR="00AB6936">
        <w:rPr>
          <w:sz w:val="22"/>
        </w:rPr>
        <w:t>segmenty</w:t>
      </w:r>
      <w:r w:rsidRPr="00024144">
        <w:rPr>
          <w:sz w:val="22"/>
        </w:rPr>
        <w:t xml:space="preserve">, zejména však </w:t>
      </w:r>
      <w:r w:rsidR="0013149A">
        <w:rPr>
          <w:sz w:val="22"/>
        </w:rPr>
        <w:t>MSP</w:t>
      </w:r>
      <w:r w:rsidRPr="00024144">
        <w:rPr>
          <w:sz w:val="22"/>
        </w:rPr>
        <w:t xml:space="preserve"> jako nejméně rozvinutý sektor s nejvyšším růstovým potenciálem. </w:t>
      </w:r>
      <w:r w:rsidRPr="00024144">
        <w:rPr>
          <w:rFonts w:eastAsia="Calibri"/>
          <w:sz w:val="22"/>
        </w:rPr>
        <w:t>Je třeba odstraňovat největší překážky rozvoje MSP, zejména usnadnit přístup ke kapitálu a snížit relativně vysoké administrativní bariéry a pomoci jim vstoupit na cestu k produkci finálních výrobků pomocí vzdělávání, výzkumu, vývoje a inovací, ať už technologických nebo designových.</w:t>
      </w:r>
    </w:p>
    <w:p w:rsidR="00053B1D" w:rsidRPr="00BD2246" w:rsidRDefault="00053B1D">
      <w:pPr>
        <w:rPr>
          <w:sz w:val="22"/>
          <w:szCs w:val="22"/>
        </w:rPr>
      </w:pPr>
      <w:r w:rsidRPr="001951AF">
        <w:rPr>
          <w:sz w:val="22"/>
          <w:szCs w:val="22"/>
        </w:rPr>
        <w:t xml:space="preserve">Růst české ekonomiky dosud spočíval především na vnějších zdrojích, na masivním přílivu přímých zahraničních investic a na zvyšování počtu pracovních sil často ze zahraničí. </w:t>
      </w:r>
      <w:r w:rsidRPr="6DE13AE7">
        <w:rPr>
          <w:rFonts w:eastAsia="Calibri"/>
          <w:sz w:val="22"/>
          <w:szCs w:val="22"/>
        </w:rPr>
        <w:t>Podpora velkého podnikání by se proto měla zaměřit na schopnost velkých firem dostat se a</w:t>
      </w:r>
      <w:r w:rsidR="00012E8E">
        <w:rPr>
          <w:rFonts w:eastAsia="Calibri"/>
          <w:sz w:val="22"/>
          <w:szCs w:val="22"/>
        </w:rPr>
        <w:t> </w:t>
      </w:r>
      <w:r w:rsidRPr="6DE13AE7">
        <w:rPr>
          <w:rFonts w:eastAsia="Calibri"/>
          <w:sz w:val="22"/>
          <w:szCs w:val="22"/>
        </w:rPr>
        <w:t>udržet se na špičce technického, organizačního a obchodního vývoje ve světě, což představuje velké investice do vlastní infrastruktury a do výzkumu, vývoje a inovací.</w:t>
      </w:r>
      <w:r w:rsidR="002A1284" w:rsidRPr="6DE13AE7">
        <w:rPr>
          <w:rFonts w:eastAsia="Calibri"/>
          <w:sz w:val="22"/>
          <w:szCs w:val="22"/>
        </w:rPr>
        <w:t xml:space="preserve"> </w:t>
      </w:r>
      <w:r w:rsidR="002A1284" w:rsidRPr="00BD2246">
        <w:rPr>
          <w:rFonts w:eastAsia="Calibri"/>
          <w:sz w:val="22"/>
          <w:szCs w:val="22"/>
        </w:rPr>
        <w:t>Zároveň hrají velké podniky důležitou roli v rámci posunu k nízkouhlíkovému hospodářství a ochraně životního prostředí a z tohoto titulu je důležitá podpora pro velké podniky i v těchto oblastech.</w:t>
      </w:r>
    </w:p>
    <w:p w:rsidR="00053B1D" w:rsidRPr="00024144" w:rsidRDefault="00053B1D" w:rsidP="00053B1D">
      <w:pPr>
        <w:rPr>
          <w:rFonts w:eastAsia="Calibri"/>
          <w:sz w:val="22"/>
        </w:rPr>
      </w:pPr>
      <w:r w:rsidRPr="00024144">
        <w:rPr>
          <w:sz w:val="22"/>
        </w:rPr>
        <w:t xml:space="preserve">Je nutné brát zřetel na budoucí postupné propojování a prorůstání sekundární – výrobní sféry s terciární sférou služeb. Dojde ke změně pořadí - sféra služeb se stane sférou primární a výroba se stane službou </w:t>
      </w:r>
      <w:r w:rsidR="00286E84">
        <w:rPr>
          <w:sz w:val="22"/>
        </w:rPr>
        <w:t>dle přímé volby zákazníka</w:t>
      </w:r>
      <w:r w:rsidRPr="00024144">
        <w:rPr>
          <w:sz w:val="22"/>
        </w:rPr>
        <w:t xml:space="preserve">. Česká společnost musí lépe podněcovat kreativitu a oceňovat i odměňovat úspěšné inovace. </w:t>
      </w:r>
    </w:p>
    <w:p w:rsidR="00053B1D" w:rsidRPr="00024144" w:rsidRDefault="00053B1D" w:rsidP="00053B1D">
      <w:pPr>
        <w:rPr>
          <w:sz w:val="22"/>
          <w:u w:val="single"/>
        </w:rPr>
      </w:pPr>
      <w:r w:rsidRPr="00024144">
        <w:rPr>
          <w:sz w:val="22"/>
          <w:u w:val="single"/>
        </w:rPr>
        <w:t xml:space="preserve">K dalšímu detailnímu řešení byly na základě analýzy NKR vybrány tyto tematické </w:t>
      </w:r>
      <w:r w:rsidR="002A459B" w:rsidRPr="00024144">
        <w:rPr>
          <w:sz w:val="22"/>
          <w:u w:val="single"/>
        </w:rPr>
        <w:t>podoblasti</w:t>
      </w:r>
      <w:r w:rsidRPr="00024144">
        <w:rPr>
          <w:sz w:val="22"/>
          <w:u w:val="single"/>
        </w:rPr>
        <w:t>:</w:t>
      </w:r>
    </w:p>
    <w:p w:rsidR="00053B1D" w:rsidRPr="00024144" w:rsidRDefault="0003775F" w:rsidP="00254F4C">
      <w:pPr>
        <w:pStyle w:val="Odstavecseseznamem"/>
        <w:numPr>
          <w:ilvl w:val="0"/>
          <w:numId w:val="14"/>
        </w:numPr>
        <w:spacing w:before="40" w:after="80"/>
        <w:rPr>
          <w:rFonts w:ascii="Arial" w:hAnsi="Arial"/>
          <w:sz w:val="22"/>
        </w:rPr>
      </w:pPr>
      <w:r>
        <w:rPr>
          <w:rFonts w:ascii="Arial" w:hAnsi="Arial"/>
          <w:sz w:val="22"/>
        </w:rPr>
        <w:t>Zlepšení</w:t>
      </w:r>
      <w:r w:rsidR="00053B1D" w:rsidRPr="00024144">
        <w:rPr>
          <w:rFonts w:ascii="Arial" w:hAnsi="Arial"/>
          <w:sz w:val="22"/>
        </w:rPr>
        <w:t xml:space="preserve"> inovační schopnosti MSP</w:t>
      </w:r>
    </w:p>
    <w:p w:rsidR="00053B1D" w:rsidRPr="00024144" w:rsidRDefault="0003775F" w:rsidP="00254F4C">
      <w:pPr>
        <w:pStyle w:val="Odstavecseseznamem"/>
        <w:numPr>
          <w:ilvl w:val="0"/>
          <w:numId w:val="14"/>
        </w:numPr>
        <w:spacing w:before="40" w:after="80"/>
        <w:rPr>
          <w:rFonts w:ascii="Arial" w:hAnsi="Arial"/>
          <w:sz w:val="22"/>
        </w:rPr>
      </w:pPr>
      <w:r>
        <w:rPr>
          <w:rFonts w:ascii="Arial" w:hAnsi="Arial"/>
          <w:sz w:val="22"/>
        </w:rPr>
        <w:t>Zvýšení</w:t>
      </w:r>
      <w:r w:rsidR="00053B1D" w:rsidRPr="00024144">
        <w:rPr>
          <w:rFonts w:ascii="Arial" w:hAnsi="Arial"/>
          <w:sz w:val="22"/>
        </w:rPr>
        <w:t xml:space="preserve"> přidané hodnoty výrobků a služeb </w:t>
      </w:r>
      <w:r>
        <w:rPr>
          <w:rFonts w:ascii="Arial" w:hAnsi="Arial"/>
          <w:sz w:val="22"/>
        </w:rPr>
        <w:t xml:space="preserve">podniků </w:t>
      </w:r>
      <w:r w:rsidR="00053B1D" w:rsidRPr="00024144">
        <w:rPr>
          <w:rFonts w:ascii="Arial" w:hAnsi="Arial"/>
          <w:sz w:val="22"/>
        </w:rPr>
        <w:t>v produkčním řetězci</w:t>
      </w:r>
    </w:p>
    <w:p w:rsidR="00053B1D" w:rsidRPr="00024144" w:rsidRDefault="0003775F" w:rsidP="00254F4C">
      <w:pPr>
        <w:pStyle w:val="Odstavecseseznamem"/>
        <w:numPr>
          <w:ilvl w:val="0"/>
          <w:numId w:val="14"/>
        </w:numPr>
        <w:spacing w:before="40" w:after="80"/>
        <w:rPr>
          <w:rFonts w:ascii="Arial" w:hAnsi="Arial"/>
          <w:sz w:val="22"/>
        </w:rPr>
      </w:pPr>
      <w:r>
        <w:rPr>
          <w:rFonts w:ascii="Arial" w:hAnsi="Arial"/>
          <w:sz w:val="22"/>
        </w:rPr>
        <w:t>Zavedení principů digitální ekonomiky a průmyslu 4.0 ve firmách</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38" w:name="_Toc7774207"/>
      <w:bookmarkStart w:id="39" w:name="_Toc13828204"/>
      <w:r w:rsidRPr="003D45AD">
        <w:rPr>
          <w:sz w:val="22"/>
        </w:rPr>
        <w:t>Doprava</w:t>
      </w:r>
      <w:bookmarkEnd w:id="38"/>
      <w:bookmarkEnd w:id="39"/>
    </w:p>
    <w:p w:rsidR="00053B1D" w:rsidRPr="00024144" w:rsidRDefault="00053B1D" w:rsidP="00053B1D">
      <w:pPr>
        <w:rPr>
          <w:sz w:val="22"/>
        </w:rPr>
      </w:pPr>
      <w:r w:rsidRPr="00024144">
        <w:rPr>
          <w:sz w:val="22"/>
        </w:rPr>
        <w:t>Dopravní systém má za cíl zlepšit kvalitu života obyvatel a zvýšit konkurenceschopnost české ekonomiky. ČR se nesmí stát vnitřní periferií Evropy. Je proto nezbytné zajistit kvalitní a efektivní dopravní napojení všech regionů ČR v rámci transevropských dopravních sítí na všechny sousední státy, aby doprava nebyla limitujícím faktorem dovozu a vývozu a</w:t>
      </w:r>
      <w:r w:rsidR="00012E8E">
        <w:rPr>
          <w:sz w:val="22"/>
        </w:rPr>
        <w:t> </w:t>
      </w:r>
      <w:r w:rsidRPr="00024144">
        <w:rPr>
          <w:sz w:val="22"/>
        </w:rPr>
        <w:t xml:space="preserve">nebránila tak ekonomickému rozvoji všech regionů ČR. </w:t>
      </w:r>
    </w:p>
    <w:p w:rsidR="00053B1D" w:rsidRPr="00024144" w:rsidRDefault="00053B1D" w:rsidP="00053B1D">
      <w:pPr>
        <w:rPr>
          <w:sz w:val="22"/>
        </w:rPr>
      </w:pPr>
      <w:r w:rsidRPr="00024144">
        <w:rPr>
          <w:sz w:val="22"/>
        </w:rPr>
        <w:t>Není vhodné významně zvyšovat objemy tranzitní silniční nákladní dopravy, a to s ohledem na vysoké externality spojené s jejím provozem. V oblasti železniční dopravy je naopak vhodné roli železniční infrastruktury z hlediska tranzitu posilovat modernizací nákladních železničních koridorů</w:t>
      </w:r>
      <w:r w:rsidR="00C707F2">
        <w:rPr>
          <w:sz w:val="22"/>
        </w:rPr>
        <w:t xml:space="preserve"> i</w:t>
      </w:r>
      <w:r w:rsidRPr="00024144">
        <w:rPr>
          <w:sz w:val="22"/>
        </w:rPr>
        <w:t xml:space="preserve"> výstavbou vysokorychlostních železnic.</w:t>
      </w:r>
      <w:r w:rsidR="00C707F2">
        <w:rPr>
          <w:sz w:val="22"/>
        </w:rPr>
        <w:t xml:space="preserve"> </w:t>
      </w:r>
      <w:r w:rsidR="00C707F2" w:rsidRPr="00C707F2">
        <w:rPr>
          <w:sz w:val="22"/>
        </w:rPr>
        <w:t xml:space="preserve">Při </w:t>
      </w:r>
      <w:r w:rsidR="00C707F2">
        <w:rPr>
          <w:sz w:val="22"/>
        </w:rPr>
        <w:t>stávající hustotě</w:t>
      </w:r>
      <w:r w:rsidR="00C707F2" w:rsidRPr="00C707F2">
        <w:rPr>
          <w:sz w:val="22"/>
        </w:rPr>
        <w:t xml:space="preserve"> existující silniční a železniční infrastruktury v ČR je záměr další fragmentace kulturní krajiny prostorově náročnou sítí vysokorychlostních tratí </w:t>
      </w:r>
      <w:r w:rsidR="00C707F2">
        <w:rPr>
          <w:sz w:val="22"/>
        </w:rPr>
        <w:t>nutno posuzovat z pohledu</w:t>
      </w:r>
      <w:r w:rsidR="00C707F2" w:rsidRPr="00C707F2">
        <w:rPr>
          <w:sz w:val="22"/>
        </w:rPr>
        <w:t xml:space="preserve"> princip</w:t>
      </w:r>
      <w:r w:rsidR="00C707F2">
        <w:rPr>
          <w:sz w:val="22"/>
        </w:rPr>
        <w:t>ů</w:t>
      </w:r>
      <w:r w:rsidR="00C707F2" w:rsidRPr="00C707F2">
        <w:rPr>
          <w:sz w:val="22"/>
        </w:rPr>
        <w:t xml:space="preserve"> dlouhodobě udržitelného rozvoje.</w:t>
      </w:r>
      <w:r w:rsidRPr="00024144">
        <w:rPr>
          <w:sz w:val="22"/>
        </w:rPr>
        <w:t xml:space="preserve"> </w:t>
      </w:r>
      <w:r w:rsidR="00B6403D">
        <w:rPr>
          <w:sz w:val="22"/>
        </w:rPr>
        <w:t>Bude také nutné zvážit vybrané investice do infrastruktury vodní dopravy</w:t>
      </w:r>
      <w:r w:rsidR="00C707F2">
        <w:rPr>
          <w:sz w:val="22"/>
        </w:rPr>
        <w:t>, kde je nutno posuzovat ekonomickou i ekologickou efektivitu</w:t>
      </w:r>
      <w:r w:rsidR="00B6403D">
        <w:rPr>
          <w:sz w:val="22"/>
        </w:rPr>
        <w:t>.</w:t>
      </w:r>
    </w:p>
    <w:p w:rsidR="00053B1D" w:rsidRPr="00024144" w:rsidRDefault="72755F4C" w:rsidP="72755F4C">
      <w:pPr>
        <w:rPr>
          <w:sz w:val="22"/>
          <w:szCs w:val="22"/>
        </w:rPr>
      </w:pPr>
      <w:r w:rsidRPr="72755F4C">
        <w:rPr>
          <w:sz w:val="22"/>
          <w:szCs w:val="22"/>
        </w:rPr>
        <w:t xml:space="preserve">Všechny kraje ČR vykazují </w:t>
      </w:r>
      <w:r w:rsidRPr="000E6CB3">
        <w:rPr>
          <w:sz w:val="22"/>
          <w:szCs w:val="22"/>
        </w:rPr>
        <w:t>velké nedostatky v kvalitě dopravní infrastruktury</w:t>
      </w:r>
      <w:r w:rsidRPr="72755F4C">
        <w:rPr>
          <w:sz w:val="22"/>
          <w:szCs w:val="22"/>
        </w:rPr>
        <w:t>, což limituje hospodářský potenciál regionů a v</w:t>
      </w:r>
      <w:r w:rsidR="00C707F2">
        <w:rPr>
          <w:sz w:val="22"/>
          <w:szCs w:val="22"/>
        </w:rPr>
        <w:t> </w:t>
      </w:r>
      <w:r w:rsidRPr="72755F4C">
        <w:rPr>
          <w:sz w:val="22"/>
          <w:szCs w:val="22"/>
        </w:rPr>
        <w:t>důsledku</w:t>
      </w:r>
      <w:r w:rsidR="00C707F2">
        <w:rPr>
          <w:sz w:val="22"/>
          <w:szCs w:val="22"/>
        </w:rPr>
        <w:t xml:space="preserve"> toho</w:t>
      </w:r>
      <w:r w:rsidRPr="72755F4C">
        <w:rPr>
          <w:sz w:val="22"/>
          <w:szCs w:val="22"/>
        </w:rPr>
        <w:t xml:space="preserve"> i schopnost snižovat regionální nerovnosti </w:t>
      </w:r>
      <w:r w:rsidRPr="72755F4C">
        <w:rPr>
          <w:rFonts w:eastAsia="Arial"/>
          <w:sz w:val="22"/>
          <w:szCs w:val="22"/>
        </w:rPr>
        <w:t>(včetně zachování dopravní obslužnosti venkovských regionů)</w:t>
      </w:r>
      <w:r w:rsidRPr="72755F4C">
        <w:rPr>
          <w:sz w:val="22"/>
          <w:szCs w:val="22"/>
        </w:rPr>
        <w:t xml:space="preserve">. Jde o slabinu také s ohledem na očekávaný </w:t>
      </w:r>
      <w:r w:rsidRPr="000E6CB3">
        <w:rPr>
          <w:sz w:val="22"/>
          <w:szCs w:val="22"/>
        </w:rPr>
        <w:t>nárůst požadavků obyvatel na mobilitu</w:t>
      </w:r>
      <w:r w:rsidRPr="72755F4C">
        <w:rPr>
          <w:sz w:val="22"/>
          <w:szCs w:val="22"/>
        </w:rPr>
        <w:t>. Je proto důležité snižovat rozdíly v</w:t>
      </w:r>
      <w:r w:rsidR="00012E8E">
        <w:rPr>
          <w:sz w:val="22"/>
          <w:szCs w:val="22"/>
        </w:rPr>
        <w:t> </w:t>
      </w:r>
      <w:r w:rsidRPr="72755F4C">
        <w:rPr>
          <w:sz w:val="22"/>
          <w:szCs w:val="22"/>
        </w:rPr>
        <w:t>kvalitě dopravní infrastruktury napříč regiony.</w:t>
      </w:r>
      <w:r w:rsidR="003666AD">
        <w:rPr>
          <w:sz w:val="22"/>
          <w:szCs w:val="22"/>
        </w:rPr>
        <w:t xml:space="preserve"> V systémech hromadné dopravy ve městech je nutné investovat do dopravních módů a prostředků, jejichž pohonné systémy mají vyšší míru účinnosti a zajistí tak posun k nízkouhlíkovému hospodářství.</w:t>
      </w:r>
    </w:p>
    <w:p w:rsidR="00053B1D" w:rsidRPr="00BD2246" w:rsidRDefault="00053B1D">
      <w:pPr>
        <w:rPr>
          <w:sz w:val="22"/>
          <w:szCs w:val="22"/>
        </w:rPr>
      </w:pPr>
      <w:r w:rsidRPr="001951AF">
        <w:rPr>
          <w:sz w:val="22"/>
          <w:szCs w:val="22"/>
        </w:rPr>
        <w:t xml:space="preserve">Přeprava musí brát ohled na potřeby obyvatelstva, které vyvolá stárnutí i měnící se životní styl. Místní správa by měla motivovat lidi ke </w:t>
      </w:r>
      <w:r w:rsidRPr="000E6CB3">
        <w:rPr>
          <w:sz w:val="22"/>
          <w:szCs w:val="22"/>
        </w:rPr>
        <w:t>změně dopravního chování směrem k</w:t>
      </w:r>
      <w:r w:rsidR="00012E8E">
        <w:rPr>
          <w:sz w:val="22"/>
          <w:szCs w:val="22"/>
        </w:rPr>
        <w:t> </w:t>
      </w:r>
      <w:r w:rsidRPr="000E6CB3">
        <w:rPr>
          <w:sz w:val="22"/>
          <w:szCs w:val="22"/>
        </w:rPr>
        <w:t>udržitelnějším formám mobility</w:t>
      </w:r>
      <w:r w:rsidRPr="001951AF">
        <w:rPr>
          <w:sz w:val="22"/>
          <w:szCs w:val="22"/>
        </w:rPr>
        <w:t xml:space="preserve">. Nutné jsou také investice do </w:t>
      </w:r>
      <w:r w:rsidRPr="000E6CB3">
        <w:rPr>
          <w:sz w:val="22"/>
          <w:szCs w:val="22"/>
        </w:rPr>
        <w:t>infrastruktury pro cyklistiku a</w:t>
      </w:r>
      <w:r w:rsidR="00012E8E">
        <w:rPr>
          <w:sz w:val="22"/>
          <w:szCs w:val="22"/>
        </w:rPr>
        <w:t> </w:t>
      </w:r>
      <w:r w:rsidRPr="000E6CB3">
        <w:rPr>
          <w:sz w:val="22"/>
          <w:szCs w:val="22"/>
        </w:rPr>
        <w:t>pěší</w:t>
      </w:r>
      <w:r w:rsidRPr="001951AF">
        <w:rPr>
          <w:sz w:val="22"/>
          <w:szCs w:val="22"/>
        </w:rPr>
        <w:t>, podpora sdílení dopravních prostředků či služeb a vytváření sítě účelových komunikací a kompa</w:t>
      </w:r>
      <w:r w:rsidRPr="6DE13AE7">
        <w:rPr>
          <w:sz w:val="22"/>
          <w:szCs w:val="22"/>
        </w:rPr>
        <w:t xml:space="preserve">ktních, pěšky dostupných sousedství. Páteří přepravy v regionech bude </w:t>
      </w:r>
      <w:r w:rsidRPr="000E6CB3">
        <w:rPr>
          <w:sz w:val="22"/>
          <w:szCs w:val="22"/>
        </w:rPr>
        <w:t>spolehlivá a čistá veřejná doprava</w:t>
      </w:r>
      <w:r w:rsidRPr="6DE13AE7">
        <w:rPr>
          <w:sz w:val="22"/>
          <w:szCs w:val="22"/>
        </w:rPr>
        <w:t>, vč. propojování veřejné dopravy s individuální.</w:t>
      </w:r>
      <w:r w:rsidR="009A5F90" w:rsidRPr="6DE13AE7">
        <w:rPr>
          <w:sz w:val="22"/>
          <w:szCs w:val="22"/>
        </w:rPr>
        <w:t xml:space="preserve"> Specifickým problémem je </w:t>
      </w:r>
      <w:r w:rsidR="009A5F90" w:rsidRPr="000E6CB3">
        <w:rPr>
          <w:sz w:val="22"/>
          <w:szCs w:val="22"/>
        </w:rPr>
        <w:t>doprava v</w:t>
      </w:r>
      <w:r w:rsidR="00AB6936">
        <w:rPr>
          <w:sz w:val="22"/>
          <w:szCs w:val="22"/>
        </w:rPr>
        <w:t> </w:t>
      </w:r>
      <w:r w:rsidR="009A5F90" w:rsidRPr="000E6CB3">
        <w:rPr>
          <w:sz w:val="22"/>
          <w:szCs w:val="22"/>
        </w:rPr>
        <w:t>klidu</w:t>
      </w:r>
      <w:r w:rsidR="00AB6936">
        <w:rPr>
          <w:sz w:val="22"/>
          <w:szCs w:val="22"/>
        </w:rPr>
        <w:t>,</w:t>
      </w:r>
      <w:r w:rsidR="009A5F90" w:rsidRPr="6DE13AE7">
        <w:rPr>
          <w:sz w:val="22"/>
          <w:szCs w:val="22"/>
        </w:rPr>
        <w:t xml:space="preserve"> a to zejména v hustě obydlených část</w:t>
      </w:r>
      <w:r w:rsidR="00AB6936">
        <w:rPr>
          <w:sz w:val="22"/>
          <w:szCs w:val="22"/>
        </w:rPr>
        <w:t>ech</w:t>
      </w:r>
      <w:r w:rsidR="009A5F90" w:rsidRPr="6DE13AE7">
        <w:rPr>
          <w:sz w:val="22"/>
          <w:szCs w:val="22"/>
        </w:rPr>
        <w:t xml:space="preserve"> měst, </w:t>
      </w:r>
      <w:r w:rsidR="009A5F90" w:rsidRPr="000E6CB3">
        <w:rPr>
          <w:sz w:val="22"/>
          <w:szCs w:val="22"/>
        </w:rPr>
        <w:t>zejména na sídlištích</w:t>
      </w:r>
      <w:r w:rsidR="009A5F90" w:rsidRPr="00875AE7">
        <w:rPr>
          <w:sz w:val="22"/>
          <w:szCs w:val="22"/>
        </w:rPr>
        <w:t>.</w:t>
      </w:r>
      <w:r w:rsidRPr="001A5B63">
        <w:rPr>
          <w:sz w:val="22"/>
          <w:szCs w:val="22"/>
        </w:rPr>
        <w:t xml:space="preserve"> Cílem by mělo být vytvoření dostatečně příznivého prostředí pro širší uplatnění vybraných alternativních paliv (při respektování principu technologické neutrality) a pohonů a dosažení podmínek srovnatelných v této oblasti s jinými vyspělými státy EU. Nezbytným předpokladem pro řádné fungování dopravního systému a jeho efektivní provoz bude </w:t>
      </w:r>
      <w:r w:rsidRPr="000E6CB3">
        <w:rPr>
          <w:sz w:val="22"/>
          <w:szCs w:val="22"/>
        </w:rPr>
        <w:t>dostatek a kvalita informací pro řízení dopravy</w:t>
      </w:r>
      <w:r w:rsidRPr="001A5B63">
        <w:rPr>
          <w:sz w:val="22"/>
          <w:szCs w:val="22"/>
        </w:rPr>
        <w:t xml:space="preserve"> nebo pro organizaci přemísťování osob nebo věcí.</w:t>
      </w:r>
      <w:r w:rsidR="00075BC9">
        <w:rPr>
          <w:sz w:val="22"/>
          <w:szCs w:val="22"/>
        </w:rPr>
        <w:t xml:space="preserve"> Co se týče emisí a energetické náročnosti, sektor Dopravy se na nich podílí zásadní měrou, tudíž bude mít v dlouhodobém horizontu zásadní vliv na udržitelný rozvoj ČR.</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Rozvoj a zkvalitnění dopravní infrastruktury</w:t>
      </w:r>
    </w:p>
    <w:p w:rsidR="00053B1D"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Rozvoj a zlepšení integrace dopravy</w:t>
      </w:r>
    </w:p>
    <w:p w:rsidR="00053B1D"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Zavedení moderních technologií pro organizaci dopravy a snížení dopravní zátěže</w:t>
      </w:r>
    </w:p>
    <w:p w:rsidR="00053B1D"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Efektivní využití m</w:t>
      </w:r>
      <w:r w:rsidR="00053B1D" w:rsidRPr="00024144">
        <w:rPr>
          <w:rFonts w:ascii="Arial" w:hAnsi="Arial"/>
          <w:sz w:val="22"/>
        </w:rPr>
        <w:t>ultimodální nákladní doprav</w:t>
      </w:r>
      <w:r>
        <w:rPr>
          <w:rFonts w:ascii="Arial" w:hAnsi="Arial"/>
          <w:sz w:val="22"/>
        </w:rPr>
        <w:t>y</w:t>
      </w:r>
    </w:p>
    <w:p w:rsidR="00053B1D"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 Zlepšení využití a dostupnosti alternativních paliv v dopravě</w:t>
      </w:r>
    </w:p>
    <w:p w:rsidR="00053B1D" w:rsidRDefault="00075BC9" w:rsidP="00254F4C">
      <w:pPr>
        <w:pStyle w:val="Odstavecseseznamem"/>
        <w:numPr>
          <w:ilvl w:val="0"/>
          <w:numId w:val="14"/>
        </w:numPr>
        <w:spacing w:before="40" w:after="80"/>
        <w:jc w:val="left"/>
        <w:rPr>
          <w:rFonts w:ascii="Arial" w:hAnsi="Arial"/>
          <w:sz w:val="22"/>
        </w:rPr>
      </w:pPr>
      <w:r>
        <w:rPr>
          <w:rFonts w:ascii="Arial" w:hAnsi="Arial"/>
          <w:sz w:val="22"/>
        </w:rPr>
        <w:t>Využívání vozidel s alternativním pohonem v dopravě</w:t>
      </w:r>
    </w:p>
    <w:p w:rsidR="00075BC9" w:rsidRPr="00024144" w:rsidRDefault="00075BC9" w:rsidP="00254F4C">
      <w:pPr>
        <w:pStyle w:val="Odstavecseseznamem"/>
        <w:numPr>
          <w:ilvl w:val="0"/>
          <w:numId w:val="14"/>
        </w:numPr>
        <w:spacing w:before="40" w:after="80"/>
        <w:jc w:val="left"/>
        <w:rPr>
          <w:rFonts w:ascii="Arial" w:hAnsi="Arial"/>
          <w:sz w:val="22"/>
        </w:rPr>
      </w:pPr>
      <w:r>
        <w:rPr>
          <w:rFonts w:ascii="Arial" w:hAnsi="Arial"/>
          <w:sz w:val="22"/>
        </w:rPr>
        <w:t>Rozvoj bezmotorové dopravy</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40" w:name="_Toc7774208"/>
      <w:bookmarkStart w:id="41" w:name="_Toc13828205"/>
      <w:r w:rsidRPr="003D45AD">
        <w:rPr>
          <w:sz w:val="22"/>
        </w:rPr>
        <w:t>Posun k nízkouhlíkovému hospodářství</w:t>
      </w:r>
      <w:bookmarkEnd w:id="40"/>
      <w:bookmarkEnd w:id="41"/>
    </w:p>
    <w:p w:rsidR="00053B1D" w:rsidRPr="00024144" w:rsidRDefault="00053B1D" w:rsidP="00053B1D">
      <w:pPr>
        <w:rPr>
          <w:sz w:val="22"/>
        </w:rPr>
      </w:pPr>
      <w:r w:rsidRPr="00024144">
        <w:rPr>
          <w:sz w:val="22"/>
        </w:rPr>
        <w:t xml:space="preserve">ČR v oblasti energetiky musí, mj., zohledňovat požadavky EU. ČR by měla usilovat o ekonomicky efektivní zvyšování účinnosti využívání energie a zároveň systematicky snižovat emise skleníkových plynů. Ekonomický růst by neměl být závislý na růstu energetické spotřeby, </w:t>
      </w:r>
      <w:r w:rsidR="00C707F2">
        <w:rPr>
          <w:sz w:val="22"/>
        </w:rPr>
        <w:t>podstatné tedy je</w:t>
      </w:r>
      <w:r w:rsidRPr="00024144">
        <w:rPr>
          <w:sz w:val="22"/>
        </w:rPr>
        <w:t xml:space="preserve"> udržet ekonomický růst při zachování přírodních zdrojů (tzv. decoupling). Je potřeba vhodně nastavit finanční mechanismy, aby docházelo </w:t>
      </w:r>
      <w:r w:rsidR="00AB6936">
        <w:rPr>
          <w:sz w:val="22"/>
        </w:rPr>
        <w:t xml:space="preserve">k </w:t>
      </w:r>
      <w:r w:rsidRPr="00024144">
        <w:rPr>
          <w:sz w:val="22"/>
        </w:rPr>
        <w:t xml:space="preserve">iniciaci soukromých investic do oblasti nízkouhlíkového hospodářství a zvyšování energetické účinnosti, včetně inovací v těchto oblastech a </w:t>
      </w:r>
      <w:r w:rsidR="00AB6936">
        <w:rPr>
          <w:sz w:val="22"/>
        </w:rPr>
        <w:t xml:space="preserve">aby </w:t>
      </w:r>
      <w:r w:rsidRPr="00024144">
        <w:rPr>
          <w:sz w:val="22"/>
        </w:rPr>
        <w:t xml:space="preserve">plnění závazků klimaticko-energetických plánů nebylo závislé pouze na financování ze strany státu. </w:t>
      </w:r>
    </w:p>
    <w:p w:rsidR="00053B1D" w:rsidRPr="00024144" w:rsidRDefault="00053B1D" w:rsidP="00053B1D">
      <w:pPr>
        <w:rPr>
          <w:sz w:val="22"/>
        </w:rPr>
      </w:pPr>
      <w:r w:rsidRPr="00024144">
        <w:rPr>
          <w:sz w:val="22"/>
        </w:rPr>
        <w:t xml:space="preserve">Nové technologické inovace a přístupy mohou přispět k dekarbonizaci ekonomiky a zároveň zmírnit dopady změny klimatu. Konkurenceschopnější se například stává decentralizovaná výroba energie, což mění ekonomická rozhodnutí některých domácností a firem. Přechod na nízkouhlíkové hospodářství bude vyžadovat nemalé investice směřující do snižování spotřeby energie v podnicích (jak ve výrobních procesech, tak v budovách), renovace státních, soukromých i veřejných budov, zavádění „chytrých“ prvků v budovách umožňujících efektivní řízení spotřeby, budování infrastruktury v budovách pro využívání alternativních paliv v dopravě, využívání </w:t>
      </w:r>
      <w:r w:rsidR="0013149A">
        <w:rPr>
          <w:sz w:val="22"/>
        </w:rPr>
        <w:t>obnovitelných zdrojů energie (</w:t>
      </w:r>
      <w:r w:rsidRPr="00024144">
        <w:rPr>
          <w:sz w:val="22"/>
        </w:rPr>
        <w:t>OZE</w:t>
      </w:r>
      <w:r w:rsidR="0013149A">
        <w:rPr>
          <w:sz w:val="22"/>
        </w:rPr>
        <w:t>)</w:t>
      </w:r>
      <w:r w:rsidRPr="00024144">
        <w:rPr>
          <w:sz w:val="22"/>
        </w:rPr>
        <w:t xml:space="preserve"> pro vlastní spotřebu a nastavení rovnováhy mezi konečnou spotřebou a dodávkou.</w:t>
      </w:r>
    </w:p>
    <w:p w:rsidR="00053B1D" w:rsidRPr="00024144" w:rsidRDefault="54923E25" w:rsidP="54923E25">
      <w:pPr>
        <w:rPr>
          <w:sz w:val="22"/>
          <w:szCs w:val="22"/>
        </w:rPr>
      </w:pPr>
      <w:r w:rsidRPr="54923E25">
        <w:rPr>
          <w:sz w:val="22"/>
          <w:szCs w:val="22"/>
        </w:rPr>
        <w:t>Pro zajištění energetické bezpečnosti a odolnosti ČR je klíčové disponovat robustní přenosovou soustavou s dostatkem regulačních výkonů a přiměřenou distribuční soustavou. ČR disponuje rozvinutými soustavami zásobování tepelnou energií, s přetrvávajícím významným podílem parních sítí, které je třeba nahradit sítěmi horkovodními. Další modernizace a rozvoj účinných soustav zásobování tepelnou energií a vysokoúčinné kombinované výroby elektřiny a tepla je rovněž příležitost</w:t>
      </w:r>
      <w:r w:rsidR="00C707F2">
        <w:rPr>
          <w:sz w:val="22"/>
          <w:szCs w:val="22"/>
        </w:rPr>
        <w:t>í</w:t>
      </w:r>
      <w:r w:rsidRPr="54923E25">
        <w:rPr>
          <w:sz w:val="22"/>
          <w:szCs w:val="22"/>
        </w:rPr>
        <w:t xml:space="preserve"> k efektivnějšímu využívání zdrojů, vyšší integraci OZE do energetického mixu a k přechodu na nízkouhlíkové hospodářství.</w:t>
      </w:r>
    </w:p>
    <w:p w:rsidR="00053B1D" w:rsidRPr="00024144" w:rsidRDefault="30F32D24" w:rsidP="30F32D24">
      <w:pPr>
        <w:rPr>
          <w:sz w:val="22"/>
          <w:szCs w:val="22"/>
        </w:rPr>
      </w:pPr>
      <w:r w:rsidRPr="30F32D24">
        <w:rPr>
          <w:sz w:val="22"/>
          <w:szCs w:val="22"/>
        </w:rPr>
        <w:t>V budoucnu by mělo docházet k využívání místně dostupných zdrojů energie, kdy se obce a</w:t>
      </w:r>
      <w:r w:rsidR="00012E8E">
        <w:rPr>
          <w:sz w:val="22"/>
          <w:szCs w:val="22"/>
        </w:rPr>
        <w:t> </w:t>
      </w:r>
      <w:r w:rsidRPr="30F32D24">
        <w:rPr>
          <w:sz w:val="22"/>
          <w:szCs w:val="22"/>
        </w:rPr>
        <w:t xml:space="preserve">města stanou místními výrobci a poskytovateli energie. Dojde tak k decentralizaci energetiky, napojení na chytré sítě a zvýšení podílu obnovitelných zdrojů v energetickém mixu. Postupné zavádění inteligentních sítí provozovateli distribučních soustav vytvoří prostředí pro realizaci tzv. chytrých řešení využívajících nové technologie. Rovněž lze očekávat rozvoj integrovaných projektů, které začnou kombinovat různá řešení v jednom městě či obci, včetně různých technologií (např. využití momentálních přebytků solární energetiky pro dobíjení elektromobilů). Významnou úlohu budou v budoucnu hrát úložiště elektrické energie. </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BD2246" w:rsidRDefault="00756002" w:rsidP="00254F4C">
      <w:pPr>
        <w:pStyle w:val="Odstavecseseznamem"/>
        <w:numPr>
          <w:ilvl w:val="0"/>
          <w:numId w:val="14"/>
        </w:numPr>
        <w:spacing w:before="40" w:after="80"/>
        <w:rPr>
          <w:rFonts w:ascii="Arial" w:hAnsi="Arial"/>
          <w:sz w:val="22"/>
          <w:szCs w:val="22"/>
        </w:rPr>
      </w:pPr>
      <w:r>
        <w:rPr>
          <w:rFonts w:ascii="Arial" w:hAnsi="Arial"/>
          <w:sz w:val="22"/>
          <w:szCs w:val="22"/>
        </w:rPr>
        <w:t>Modernizace a zefektivnění výroby, přenosu, přepravy, distribuce a akumulace energie</w:t>
      </w:r>
    </w:p>
    <w:p w:rsidR="00053B1D" w:rsidRPr="00024144" w:rsidRDefault="00756002" w:rsidP="00254F4C">
      <w:pPr>
        <w:pStyle w:val="Odstavecseseznamem"/>
        <w:numPr>
          <w:ilvl w:val="0"/>
          <w:numId w:val="14"/>
        </w:numPr>
        <w:spacing w:before="40" w:after="80"/>
        <w:rPr>
          <w:rFonts w:ascii="Arial" w:hAnsi="Arial"/>
          <w:sz w:val="22"/>
        </w:rPr>
      </w:pPr>
      <w:r>
        <w:rPr>
          <w:rFonts w:ascii="Arial" w:hAnsi="Arial"/>
          <w:sz w:val="22"/>
        </w:rPr>
        <w:t>Zavedení moderních a vysoce účinných způsobů výroby, distribuce a akumulace tepelné energie</w:t>
      </w:r>
    </w:p>
    <w:p w:rsidR="00053B1D"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Podpora vzniku a zavádění inovativních nízkouhlíkových technologií</w:t>
      </w:r>
      <w:r w:rsidR="00756002">
        <w:rPr>
          <w:rFonts w:ascii="Arial" w:hAnsi="Arial"/>
          <w:sz w:val="22"/>
        </w:rPr>
        <w:t xml:space="preserve"> a efektivní a</w:t>
      </w:r>
      <w:r w:rsidR="00012E8E">
        <w:rPr>
          <w:rFonts w:ascii="Arial" w:hAnsi="Arial"/>
          <w:sz w:val="22"/>
        </w:rPr>
        <w:t> </w:t>
      </w:r>
      <w:r w:rsidR="00756002">
        <w:rPr>
          <w:rFonts w:ascii="Arial" w:hAnsi="Arial"/>
          <w:sz w:val="22"/>
        </w:rPr>
        <w:t>šetrné využívání obnovitelných zdrojů energie</w:t>
      </w:r>
    </w:p>
    <w:p w:rsidR="00053B1D" w:rsidRPr="00024144" w:rsidRDefault="00756002" w:rsidP="00254F4C">
      <w:pPr>
        <w:pStyle w:val="Odstavecseseznamem"/>
        <w:numPr>
          <w:ilvl w:val="0"/>
          <w:numId w:val="14"/>
        </w:numPr>
        <w:spacing w:before="40" w:after="80"/>
        <w:rPr>
          <w:rFonts w:ascii="Arial" w:hAnsi="Arial"/>
          <w:sz w:val="22"/>
        </w:rPr>
      </w:pPr>
      <w:r>
        <w:rPr>
          <w:rFonts w:ascii="Arial" w:hAnsi="Arial"/>
          <w:sz w:val="22"/>
        </w:rPr>
        <w:t>Zvý</w:t>
      </w:r>
      <w:r w:rsidR="00EB51E5" w:rsidRPr="00024144">
        <w:rPr>
          <w:rFonts w:ascii="Arial" w:hAnsi="Arial"/>
          <w:sz w:val="22"/>
        </w:rPr>
        <w:t>š</w:t>
      </w:r>
      <w:r w:rsidR="00EB51E5">
        <w:rPr>
          <w:rFonts w:ascii="Arial" w:hAnsi="Arial"/>
          <w:sz w:val="22"/>
        </w:rPr>
        <w:t>ení</w:t>
      </w:r>
      <w:r w:rsidR="00EB51E5" w:rsidRPr="00024144">
        <w:rPr>
          <w:rFonts w:ascii="Arial" w:hAnsi="Arial"/>
          <w:sz w:val="22"/>
        </w:rPr>
        <w:t xml:space="preserve"> </w:t>
      </w:r>
      <w:r w:rsidR="00053B1D" w:rsidRPr="00024144">
        <w:rPr>
          <w:rFonts w:ascii="Arial" w:hAnsi="Arial"/>
          <w:sz w:val="22"/>
        </w:rPr>
        <w:t>energetické účinnosti a úspory energie</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42" w:name="_Toc7774209"/>
      <w:bookmarkStart w:id="43" w:name="_Toc13828206"/>
      <w:r w:rsidRPr="003D45AD">
        <w:rPr>
          <w:sz w:val="22"/>
        </w:rPr>
        <w:t>Ochrana životního prostředí a oběhové hospodářství</w:t>
      </w:r>
      <w:bookmarkEnd w:id="42"/>
      <w:bookmarkEnd w:id="43"/>
    </w:p>
    <w:p w:rsidR="00053B1D" w:rsidRPr="00024144" w:rsidRDefault="009A3E76" w:rsidP="54923E25">
      <w:pPr>
        <w:rPr>
          <w:sz w:val="22"/>
          <w:szCs w:val="22"/>
        </w:rPr>
      </w:pPr>
      <w:r w:rsidRPr="00BD2246">
        <w:rPr>
          <w:sz w:val="22"/>
          <w:szCs w:val="22"/>
        </w:rPr>
        <w:t>Životní prostředí a jeho ekosystémy jsou v celé Evropě a tedy i v ČR ovlivňovány rostoucí dopravou</w:t>
      </w:r>
      <w:r w:rsidR="00DA6DE5">
        <w:rPr>
          <w:sz w:val="22"/>
          <w:szCs w:val="22"/>
        </w:rPr>
        <w:t xml:space="preserve">, </w:t>
      </w:r>
      <w:r w:rsidRPr="00BD2246">
        <w:rPr>
          <w:sz w:val="22"/>
          <w:szCs w:val="22"/>
        </w:rPr>
        <w:t>řadou hospodářských činností</w:t>
      </w:r>
      <w:r w:rsidR="00DA6DE5">
        <w:rPr>
          <w:sz w:val="22"/>
          <w:szCs w:val="22"/>
        </w:rPr>
        <w:t xml:space="preserve"> a v některých případech </w:t>
      </w:r>
      <w:r w:rsidR="00DA6DE5" w:rsidRPr="00590FD1">
        <w:rPr>
          <w:sz w:val="22"/>
          <w:szCs w:val="22"/>
        </w:rPr>
        <w:t>i zemědělstvím s dopadem na negativní ovlivnění schopností</w:t>
      </w:r>
      <w:r w:rsidR="00DA6DE5" w:rsidRPr="00BD2246">
        <w:rPr>
          <w:sz w:val="22"/>
          <w:szCs w:val="22"/>
        </w:rPr>
        <w:t xml:space="preserve"> krajiny a půdy zadržovat vodu</w:t>
      </w:r>
      <w:r w:rsidR="00C707F2">
        <w:rPr>
          <w:sz w:val="22"/>
          <w:szCs w:val="22"/>
        </w:rPr>
        <w:t xml:space="preserve"> a také poskytovat komplexní ekologický servis</w:t>
      </w:r>
      <w:r w:rsidRPr="00BD2246">
        <w:rPr>
          <w:sz w:val="22"/>
          <w:szCs w:val="22"/>
        </w:rPr>
        <w:t xml:space="preserve">. </w:t>
      </w:r>
      <w:r w:rsidRPr="00A40E67">
        <w:rPr>
          <w:sz w:val="22"/>
          <w:szCs w:val="22"/>
        </w:rPr>
        <w:t>Dochází k fragmentaci krajiny</w:t>
      </w:r>
      <w:r>
        <w:rPr>
          <w:sz w:val="22"/>
          <w:szCs w:val="22"/>
        </w:rPr>
        <w:t xml:space="preserve">, jejímž </w:t>
      </w:r>
      <w:r w:rsidR="00C707F2">
        <w:rPr>
          <w:sz w:val="22"/>
          <w:szCs w:val="22"/>
        </w:rPr>
        <w:t>důsledkem</w:t>
      </w:r>
      <w:r w:rsidR="00C707F2" w:rsidRPr="00A40E67">
        <w:rPr>
          <w:sz w:val="22"/>
          <w:szCs w:val="22"/>
        </w:rPr>
        <w:t xml:space="preserve"> </w:t>
      </w:r>
      <w:r w:rsidRPr="00A40E67">
        <w:rPr>
          <w:sz w:val="22"/>
          <w:szCs w:val="22"/>
        </w:rPr>
        <w:t xml:space="preserve">je </w:t>
      </w:r>
      <w:r w:rsidR="00C707F2">
        <w:rPr>
          <w:sz w:val="22"/>
          <w:szCs w:val="22"/>
        </w:rPr>
        <w:t>úbytek vhodných přírodních stanovišť pro houby, planě rostoucí rostliny a volně žijící živočichy a s tím spojený</w:t>
      </w:r>
      <w:r w:rsidR="00C707F2" w:rsidRPr="00A40E67">
        <w:rPr>
          <w:sz w:val="22"/>
          <w:szCs w:val="22"/>
        </w:rPr>
        <w:t xml:space="preserve"> </w:t>
      </w:r>
      <w:r w:rsidRPr="00A40E67">
        <w:rPr>
          <w:sz w:val="22"/>
          <w:szCs w:val="22"/>
        </w:rPr>
        <w:t>pokles biodiverzity</w:t>
      </w:r>
      <w:r w:rsidR="00C707F2">
        <w:rPr>
          <w:sz w:val="22"/>
          <w:szCs w:val="22"/>
        </w:rPr>
        <w:t>. S</w:t>
      </w:r>
      <w:r w:rsidRPr="00BD2246">
        <w:rPr>
          <w:sz w:val="22"/>
          <w:szCs w:val="22"/>
        </w:rPr>
        <w:t>plachy z polí a odpadní vod</w:t>
      </w:r>
      <w:r w:rsidR="00C530C1">
        <w:rPr>
          <w:sz w:val="22"/>
          <w:szCs w:val="22"/>
        </w:rPr>
        <w:t>y kontaminují vodní toky i nádrže</w:t>
      </w:r>
      <w:r w:rsidRPr="00BD2246">
        <w:rPr>
          <w:sz w:val="22"/>
          <w:szCs w:val="22"/>
        </w:rPr>
        <w:t xml:space="preserve"> novodobými alochtonními látkami – mikropolutanty</w:t>
      </w:r>
      <w:r w:rsidR="00C530C1">
        <w:rPr>
          <w:sz w:val="22"/>
          <w:szCs w:val="22"/>
        </w:rPr>
        <w:t xml:space="preserve"> </w:t>
      </w:r>
      <w:r w:rsidR="00C530C1" w:rsidRPr="00B82323">
        <w:rPr>
          <w:sz w:val="22"/>
          <w:szCs w:val="22"/>
        </w:rPr>
        <w:t xml:space="preserve">(např. </w:t>
      </w:r>
      <w:r w:rsidR="00C530C1" w:rsidRPr="00194DE4">
        <w:rPr>
          <w:sz w:val="22"/>
          <w:szCs w:val="22"/>
        </w:rPr>
        <w:t>polychlorovan</w:t>
      </w:r>
      <w:r w:rsidR="00C530C1">
        <w:rPr>
          <w:sz w:val="22"/>
          <w:szCs w:val="22"/>
        </w:rPr>
        <w:t>ými</w:t>
      </w:r>
      <w:r w:rsidR="00C530C1" w:rsidRPr="00194DE4">
        <w:rPr>
          <w:sz w:val="22"/>
          <w:szCs w:val="22"/>
        </w:rPr>
        <w:t xml:space="preserve"> bifenyly, polycyklick</w:t>
      </w:r>
      <w:r w:rsidR="00C530C1">
        <w:rPr>
          <w:sz w:val="22"/>
          <w:szCs w:val="22"/>
        </w:rPr>
        <w:t>ými</w:t>
      </w:r>
      <w:r w:rsidR="00C530C1" w:rsidRPr="00194DE4">
        <w:rPr>
          <w:sz w:val="22"/>
          <w:szCs w:val="22"/>
        </w:rPr>
        <w:t xml:space="preserve"> aromatick</w:t>
      </w:r>
      <w:r w:rsidR="00C530C1">
        <w:rPr>
          <w:sz w:val="22"/>
          <w:szCs w:val="22"/>
        </w:rPr>
        <w:t>ými</w:t>
      </w:r>
      <w:r w:rsidR="00C530C1" w:rsidRPr="00194DE4">
        <w:rPr>
          <w:sz w:val="22"/>
          <w:szCs w:val="22"/>
        </w:rPr>
        <w:t xml:space="preserve"> uhlovodíky, detergenty, steroidy, hormony a další</w:t>
      </w:r>
      <w:r w:rsidR="00C530C1">
        <w:rPr>
          <w:sz w:val="22"/>
          <w:szCs w:val="22"/>
        </w:rPr>
        <w:t>mi</w:t>
      </w:r>
      <w:r w:rsidR="00C530C1" w:rsidRPr="00194DE4">
        <w:rPr>
          <w:sz w:val="22"/>
          <w:szCs w:val="22"/>
        </w:rPr>
        <w:t xml:space="preserve"> léčiv</w:t>
      </w:r>
      <w:r w:rsidR="00C530C1">
        <w:rPr>
          <w:sz w:val="22"/>
          <w:szCs w:val="22"/>
        </w:rPr>
        <w:t>y</w:t>
      </w:r>
      <w:r w:rsidR="00C530C1" w:rsidRPr="00194DE4">
        <w:rPr>
          <w:sz w:val="22"/>
          <w:szCs w:val="22"/>
        </w:rPr>
        <w:t>, průmyslov</w:t>
      </w:r>
      <w:r w:rsidR="00C530C1">
        <w:rPr>
          <w:sz w:val="22"/>
          <w:szCs w:val="22"/>
        </w:rPr>
        <w:t>ými</w:t>
      </w:r>
      <w:r w:rsidR="00C530C1" w:rsidRPr="00194DE4">
        <w:rPr>
          <w:sz w:val="22"/>
          <w:szCs w:val="22"/>
        </w:rPr>
        <w:t xml:space="preserve"> chemikálie</w:t>
      </w:r>
      <w:r w:rsidR="00C530C1">
        <w:rPr>
          <w:sz w:val="22"/>
          <w:szCs w:val="22"/>
        </w:rPr>
        <w:t>mi</w:t>
      </w:r>
      <w:r w:rsidR="00C530C1" w:rsidRPr="00194DE4">
        <w:rPr>
          <w:sz w:val="22"/>
          <w:szCs w:val="22"/>
        </w:rPr>
        <w:t>, pesticidy a řad</w:t>
      </w:r>
      <w:r w:rsidR="00C530C1">
        <w:rPr>
          <w:sz w:val="22"/>
          <w:szCs w:val="22"/>
        </w:rPr>
        <w:t>ou</w:t>
      </w:r>
      <w:r w:rsidR="00C530C1" w:rsidRPr="00194DE4">
        <w:rPr>
          <w:sz w:val="22"/>
          <w:szCs w:val="22"/>
        </w:rPr>
        <w:t xml:space="preserve"> dalších sloučenin</w:t>
      </w:r>
      <w:r w:rsidR="00C530C1" w:rsidRPr="00B82323">
        <w:rPr>
          <w:sz w:val="22"/>
          <w:szCs w:val="22"/>
        </w:rPr>
        <w:t>)</w:t>
      </w:r>
      <w:r w:rsidRPr="00BD2246">
        <w:rPr>
          <w:sz w:val="22"/>
          <w:szCs w:val="22"/>
        </w:rPr>
        <w:t>, což představuje významné riziko ohrožení podzemních vod.</w:t>
      </w:r>
      <w:r w:rsidR="54923E25" w:rsidRPr="54923E25">
        <w:rPr>
          <w:sz w:val="22"/>
          <w:szCs w:val="22"/>
        </w:rPr>
        <w:t xml:space="preserve"> Znečištění venkovního ovzduší suspendovanými částicemi frakce PM</w:t>
      </w:r>
      <w:r w:rsidR="54923E25" w:rsidRPr="0052623F">
        <w:rPr>
          <w:sz w:val="22"/>
          <w:szCs w:val="22"/>
          <w:vertAlign w:val="subscript"/>
        </w:rPr>
        <w:t>10</w:t>
      </w:r>
      <w:r w:rsidR="54923E25" w:rsidRPr="54923E25">
        <w:rPr>
          <w:sz w:val="22"/>
          <w:szCs w:val="22"/>
        </w:rPr>
        <w:t xml:space="preserve"> a</w:t>
      </w:r>
      <w:r w:rsidR="00AC466E">
        <w:rPr>
          <w:sz w:val="22"/>
          <w:szCs w:val="22"/>
        </w:rPr>
        <w:t> </w:t>
      </w:r>
      <w:r w:rsidR="54923E25" w:rsidRPr="54923E25">
        <w:rPr>
          <w:sz w:val="22"/>
          <w:szCs w:val="22"/>
        </w:rPr>
        <w:t>PM</w:t>
      </w:r>
      <w:r w:rsidR="54923E25" w:rsidRPr="0052623F">
        <w:rPr>
          <w:sz w:val="22"/>
          <w:szCs w:val="22"/>
          <w:vertAlign w:val="subscript"/>
        </w:rPr>
        <w:t>2,5</w:t>
      </w:r>
      <w:r w:rsidR="54923E25" w:rsidRPr="54923E25">
        <w:rPr>
          <w:sz w:val="22"/>
          <w:szCs w:val="22"/>
        </w:rPr>
        <w:t>, BaP, NO</w:t>
      </w:r>
      <w:r w:rsidR="54923E25" w:rsidRPr="0052623F">
        <w:rPr>
          <w:sz w:val="22"/>
          <w:szCs w:val="22"/>
          <w:vertAlign w:val="subscript"/>
        </w:rPr>
        <w:t>2</w:t>
      </w:r>
      <w:r w:rsidR="54923E25" w:rsidRPr="54923E25">
        <w:rPr>
          <w:sz w:val="22"/>
          <w:szCs w:val="22"/>
        </w:rPr>
        <w:t xml:space="preserve"> a přízemním ozonem představuje hlavní problémy</w:t>
      </w:r>
      <w:r w:rsidR="007D672F">
        <w:rPr>
          <w:sz w:val="22"/>
          <w:szCs w:val="22"/>
        </w:rPr>
        <w:t xml:space="preserve"> kvality ovzduší ČR</w:t>
      </w:r>
      <w:r w:rsidR="54923E25" w:rsidRPr="54923E25">
        <w:rPr>
          <w:sz w:val="22"/>
          <w:szCs w:val="22"/>
        </w:rPr>
        <w:t xml:space="preserve">. Úroveň znečištění závisí v daném roce na množství emisí a převažujících meteorologických a rozptylových podmínkách. Dominantním zdrojem znečištění ovzduší v ČR je lokální vytápění a doprava, v některých oblastech je významný rovněž průmysl. </w:t>
      </w:r>
      <w:r w:rsidR="000E6814" w:rsidRPr="00BD2246">
        <w:rPr>
          <w:sz w:val="22"/>
          <w:szCs w:val="22"/>
        </w:rPr>
        <w:t>Významným původcem znečištění zejména v Moravskoslezském kraji je rovněž přeshraniční přenos emisí</w:t>
      </w:r>
      <w:r w:rsidR="000E6814">
        <w:rPr>
          <w:sz w:val="22"/>
          <w:szCs w:val="22"/>
        </w:rPr>
        <w:t>.</w:t>
      </w:r>
      <w:r w:rsidR="000E6814" w:rsidRPr="54923E25">
        <w:rPr>
          <w:sz w:val="22"/>
          <w:szCs w:val="22"/>
        </w:rPr>
        <w:t xml:space="preserve"> </w:t>
      </w:r>
      <w:r w:rsidR="54923E25" w:rsidRPr="54923E25">
        <w:rPr>
          <w:sz w:val="22"/>
          <w:szCs w:val="22"/>
        </w:rPr>
        <w:t xml:space="preserve">Je třeba tyto trendy zvrátit a </w:t>
      </w:r>
      <w:r w:rsidR="00A66E6B">
        <w:rPr>
          <w:sz w:val="22"/>
          <w:szCs w:val="22"/>
        </w:rPr>
        <w:t>cíleně</w:t>
      </w:r>
      <w:r w:rsidR="00A66E6B" w:rsidRPr="54923E25">
        <w:rPr>
          <w:sz w:val="22"/>
          <w:szCs w:val="22"/>
        </w:rPr>
        <w:t xml:space="preserve"> </w:t>
      </w:r>
      <w:r w:rsidR="54923E25" w:rsidRPr="54923E25">
        <w:rPr>
          <w:sz w:val="22"/>
          <w:szCs w:val="22"/>
        </w:rPr>
        <w:t>zlepšov</w:t>
      </w:r>
      <w:r w:rsidR="00A66E6B">
        <w:rPr>
          <w:sz w:val="22"/>
          <w:szCs w:val="22"/>
        </w:rPr>
        <w:t>at</w:t>
      </w:r>
      <w:r w:rsidR="54923E25" w:rsidRPr="54923E25">
        <w:rPr>
          <w:sz w:val="22"/>
          <w:szCs w:val="22"/>
        </w:rPr>
        <w:t xml:space="preserve"> současn</w:t>
      </w:r>
      <w:r w:rsidR="00A66E6B">
        <w:rPr>
          <w:sz w:val="22"/>
          <w:szCs w:val="22"/>
        </w:rPr>
        <w:t>ý</w:t>
      </w:r>
      <w:r w:rsidR="54923E25" w:rsidRPr="54923E25">
        <w:rPr>
          <w:sz w:val="22"/>
          <w:szCs w:val="22"/>
        </w:rPr>
        <w:t xml:space="preserve"> stav i s ohledem na změnu klimatu, která přinese četnější extrémy (sucho, extrémní srážky a další) a s tím spojené významné negativní důsledky pro obyvatelstvo i hospodářství. K tomu lze využít synergie mezi zvyšováním úrodnosti půdy, zachycováním a ukládáním uhlíku z atmosféry v půdě ve</w:t>
      </w:r>
      <w:r w:rsidR="00AC466E">
        <w:rPr>
          <w:sz w:val="22"/>
          <w:szCs w:val="22"/>
        </w:rPr>
        <w:t> </w:t>
      </w:r>
      <w:r w:rsidR="54923E25" w:rsidRPr="54923E25">
        <w:rPr>
          <w:sz w:val="22"/>
          <w:szCs w:val="22"/>
        </w:rPr>
        <w:t>formě organické hmoty, zadržováním vody v krajině i úsporným nakládáním s dostupnou vodou pro lidskou spotřebu i ekonomické sektory. Synergie mezi nutnou obnovou krajiny a</w:t>
      </w:r>
      <w:r w:rsidR="00AC466E">
        <w:rPr>
          <w:sz w:val="22"/>
          <w:szCs w:val="22"/>
        </w:rPr>
        <w:t> </w:t>
      </w:r>
      <w:r w:rsidR="54923E25" w:rsidRPr="54923E25">
        <w:rPr>
          <w:sz w:val="22"/>
          <w:szCs w:val="22"/>
        </w:rPr>
        <w:t>vytvářením pracovních míst na venkově při její údržbě a v cestovním ruchu přispěje také k</w:t>
      </w:r>
      <w:r w:rsidR="00AC466E">
        <w:rPr>
          <w:sz w:val="22"/>
          <w:szCs w:val="22"/>
        </w:rPr>
        <w:t> </w:t>
      </w:r>
      <w:r w:rsidR="54923E25" w:rsidRPr="54923E25">
        <w:rPr>
          <w:sz w:val="22"/>
          <w:szCs w:val="22"/>
        </w:rPr>
        <w:t>vyváženému územnímu rozvoji.</w:t>
      </w:r>
    </w:p>
    <w:p w:rsidR="00053B1D" w:rsidRPr="00024144" w:rsidRDefault="00053B1D" w:rsidP="2D57A07C">
      <w:pPr>
        <w:rPr>
          <w:sz w:val="22"/>
          <w:szCs w:val="22"/>
        </w:rPr>
      </w:pPr>
      <w:r w:rsidRPr="2D57A07C">
        <w:rPr>
          <w:sz w:val="22"/>
          <w:szCs w:val="22"/>
        </w:rPr>
        <w:t>Stav životního prostředí ČR se z</w:t>
      </w:r>
      <w:r w:rsidR="00A66E6B">
        <w:rPr>
          <w:sz w:val="22"/>
          <w:szCs w:val="22"/>
        </w:rPr>
        <w:t xml:space="preserve">a posledních téměř 30 let </w:t>
      </w:r>
      <w:r w:rsidRPr="2D57A07C">
        <w:rPr>
          <w:sz w:val="22"/>
          <w:szCs w:val="22"/>
        </w:rPr>
        <w:t>výrazně zlepšil</w:t>
      </w:r>
      <w:r w:rsidR="00BC7DE4">
        <w:rPr>
          <w:sz w:val="22"/>
          <w:szCs w:val="22"/>
        </w:rPr>
        <w:t xml:space="preserve"> (například pokud jde o čistotu ovzduší</w:t>
      </w:r>
      <w:r w:rsidR="000C4625">
        <w:rPr>
          <w:sz w:val="22"/>
          <w:szCs w:val="22"/>
        </w:rPr>
        <w:t xml:space="preserve">, </w:t>
      </w:r>
      <w:r w:rsidR="00BC7DE4">
        <w:rPr>
          <w:sz w:val="22"/>
          <w:szCs w:val="22"/>
        </w:rPr>
        <w:t>vodních toků</w:t>
      </w:r>
      <w:r w:rsidR="000C4625">
        <w:rPr>
          <w:sz w:val="22"/>
          <w:szCs w:val="22"/>
        </w:rPr>
        <w:t xml:space="preserve"> nebo odstraňování starých ekologických zátěží</w:t>
      </w:r>
      <w:r w:rsidR="00BC7DE4">
        <w:rPr>
          <w:sz w:val="22"/>
          <w:szCs w:val="22"/>
        </w:rPr>
        <w:t>)</w:t>
      </w:r>
      <w:r w:rsidRPr="2D57A07C">
        <w:rPr>
          <w:sz w:val="22"/>
          <w:szCs w:val="22"/>
        </w:rPr>
        <w:t xml:space="preserve">. Celkové výdaje na ochranu životního prostředí rostou v absolutní i relativní míře k výši HDP, již nyní má ČR vyšší investiční výdaje na ochranu životního prostředí, než je průměr EU (0,67 % HDP oproti 0,41 % HDP), přičemž značnou roli zde hraje podíl </w:t>
      </w:r>
      <w:r w:rsidR="008C143C">
        <w:rPr>
          <w:sz w:val="22"/>
          <w:szCs w:val="22"/>
        </w:rPr>
        <w:t>fondů EU</w:t>
      </w:r>
      <w:r w:rsidRPr="2D57A07C">
        <w:rPr>
          <w:sz w:val="22"/>
          <w:szCs w:val="22"/>
        </w:rPr>
        <w:t>. Stav životního prostředí má také značnou územní dimenzi - některé regiony trpí výrazně větším zatížením</w:t>
      </w:r>
      <w:r w:rsidR="001008EF">
        <w:rPr>
          <w:sz w:val="22"/>
          <w:szCs w:val="22"/>
        </w:rPr>
        <w:t xml:space="preserve"> </w:t>
      </w:r>
      <w:r w:rsidR="001008EF" w:rsidRPr="00BD2246">
        <w:rPr>
          <w:sz w:val="22"/>
          <w:szCs w:val="22"/>
        </w:rPr>
        <w:t>(např. zhoršenou kvalitou ovzduší, narušením vodního režimu, zatížením území těžbou, intenzifikací zemědělství)</w:t>
      </w:r>
      <w:r w:rsidRPr="2D57A07C">
        <w:rPr>
          <w:sz w:val="22"/>
          <w:szCs w:val="22"/>
        </w:rPr>
        <w:t>. Vysoké rozdíly jsou i mezi městskými, zejména aglomeračními, a</w:t>
      </w:r>
      <w:r w:rsidR="00AC466E">
        <w:rPr>
          <w:sz w:val="22"/>
          <w:szCs w:val="22"/>
        </w:rPr>
        <w:t> </w:t>
      </w:r>
      <w:r w:rsidRPr="2D57A07C">
        <w:rPr>
          <w:sz w:val="22"/>
          <w:szCs w:val="22"/>
        </w:rPr>
        <w:t>venkovskými oblastmi.</w:t>
      </w:r>
    </w:p>
    <w:p w:rsidR="00053B1D" w:rsidRPr="00024144" w:rsidRDefault="54923E25" w:rsidP="54923E25">
      <w:pPr>
        <w:autoSpaceDE w:val="0"/>
        <w:autoSpaceDN w:val="0"/>
        <w:adjustRightInd w:val="0"/>
        <w:rPr>
          <w:sz w:val="22"/>
          <w:szCs w:val="22"/>
        </w:rPr>
      </w:pPr>
      <w:r w:rsidRPr="54923E25">
        <w:rPr>
          <w:sz w:val="22"/>
          <w:szCs w:val="22"/>
        </w:rPr>
        <w:t>Značný potenciál do budoucna má oběhové hospodářství, které spočívá v efektivním nakládání se zdroji, od návrhu výrobku (materiálový a energetický ekodesign), přes opravitelnost výrobku a opětovné využití, až po získání druhotných surovin z výrobků s</w:t>
      </w:r>
      <w:r w:rsidR="00AC466E">
        <w:rPr>
          <w:sz w:val="22"/>
          <w:szCs w:val="22"/>
        </w:rPr>
        <w:t> </w:t>
      </w:r>
      <w:r w:rsidRPr="54923E25">
        <w:rPr>
          <w:sz w:val="22"/>
          <w:szCs w:val="22"/>
        </w:rPr>
        <w:t>ukončenou životností a jejich využití pro další výrobu. Aby přechod k oběhovému hospodářství byl v ČR reálný a nezpůsobil nežádoucí zátěž podnikatelskému prostředí i</w:t>
      </w:r>
      <w:r w:rsidR="00AC466E">
        <w:rPr>
          <w:sz w:val="22"/>
          <w:szCs w:val="22"/>
        </w:rPr>
        <w:t> </w:t>
      </w:r>
      <w:r w:rsidRPr="54923E25">
        <w:rPr>
          <w:sz w:val="22"/>
          <w:szCs w:val="22"/>
        </w:rPr>
        <w:t>veřejné správě</w:t>
      </w:r>
      <w:r w:rsidR="000145AC">
        <w:rPr>
          <w:sz w:val="22"/>
          <w:szCs w:val="22"/>
        </w:rPr>
        <w:t>,</w:t>
      </w:r>
      <w:r w:rsidRPr="54923E25">
        <w:rPr>
          <w:sz w:val="22"/>
          <w:szCs w:val="22"/>
        </w:rPr>
        <w:t xml:space="preserve"> je nezbytné zvýšit míru opětovného využití a recyklace průmyslového i</w:t>
      </w:r>
      <w:r w:rsidR="00AC466E">
        <w:rPr>
          <w:sz w:val="22"/>
          <w:szCs w:val="22"/>
        </w:rPr>
        <w:t> </w:t>
      </w:r>
      <w:r w:rsidRPr="54923E25">
        <w:rPr>
          <w:sz w:val="22"/>
          <w:szCs w:val="22"/>
        </w:rPr>
        <w:t>komunálního odpadu, podpořit trh s druhotnými surovinami z recyklačního průmyslu, nastavit daňové a investiční pobídky, podporovat inovace a spolupráci průmyslového sektoru, vysokých škol a vědeckých institucí, podporovat vzdělávání a osvětu odborné i</w:t>
      </w:r>
      <w:r w:rsidR="00AC466E">
        <w:rPr>
          <w:sz w:val="22"/>
          <w:szCs w:val="22"/>
        </w:rPr>
        <w:t> </w:t>
      </w:r>
      <w:r w:rsidRPr="54923E25">
        <w:rPr>
          <w:sz w:val="22"/>
          <w:szCs w:val="22"/>
        </w:rPr>
        <w:t>občanské veřejnosti v oblasti oběhového hospodářství, včetně přenosu informací. Cílem oběhového hospodářství je přeměna odpadů na zdroje, uzavírání cyklu zdrojů a tím postupné dosažení materiálové soběstačnosti. V oblasti komunálního odpadu je nutné zvýšit do roku 2035</w:t>
      </w:r>
      <w:r w:rsidR="00AC466E">
        <w:rPr>
          <w:sz w:val="22"/>
          <w:szCs w:val="22"/>
        </w:rPr>
        <w:t> </w:t>
      </w:r>
      <w:r w:rsidRPr="54923E25">
        <w:rPr>
          <w:sz w:val="22"/>
          <w:szCs w:val="22"/>
        </w:rPr>
        <w:t>úroveň přípravy k opětovnému použití a recyklace komunálního odpadu nejméně na 65</w:t>
      </w:r>
      <w:r w:rsidR="00AC466E">
        <w:rPr>
          <w:sz w:val="22"/>
          <w:szCs w:val="22"/>
        </w:rPr>
        <w:t> </w:t>
      </w:r>
      <w:r w:rsidRPr="54923E25">
        <w:rPr>
          <w:sz w:val="22"/>
          <w:szCs w:val="22"/>
        </w:rPr>
        <w:t>%</w:t>
      </w:r>
      <w:r w:rsidR="00AC466E">
        <w:rPr>
          <w:sz w:val="22"/>
          <w:szCs w:val="22"/>
        </w:rPr>
        <w:t> </w:t>
      </w:r>
      <w:r w:rsidR="008D1354">
        <w:rPr>
          <w:sz w:val="22"/>
          <w:szCs w:val="22"/>
        </w:rPr>
        <w:t xml:space="preserve">jeho </w:t>
      </w:r>
      <w:r w:rsidRPr="54923E25">
        <w:rPr>
          <w:sz w:val="22"/>
          <w:szCs w:val="22"/>
        </w:rPr>
        <w:t>hmotnosti.</w:t>
      </w:r>
      <w:r w:rsidR="0075290C">
        <w:rPr>
          <w:sz w:val="22"/>
          <w:szCs w:val="22"/>
        </w:rPr>
        <w:t xml:space="preserve"> </w:t>
      </w:r>
      <w:r w:rsidR="0075290C" w:rsidRPr="00BD2246">
        <w:rPr>
          <w:sz w:val="22"/>
          <w:szCs w:val="22"/>
        </w:rPr>
        <w:t>Staré ekologické zátěže představují z hlediska životního prostředí riziko znečištění zdrojů povrchových a podzemních vod, půdy, horninového prostředí, stavebních prostředí či ovzduší. Kromě samotné sanace</w:t>
      </w:r>
      <w:r w:rsidR="0075290C">
        <w:rPr>
          <w:sz w:val="22"/>
          <w:szCs w:val="22"/>
        </w:rPr>
        <w:t xml:space="preserve"> je potřeba se zaměřit také na další využití těchto prostor a území. </w:t>
      </w:r>
      <w:r w:rsidR="002C6606">
        <w:rPr>
          <w:sz w:val="22"/>
          <w:szCs w:val="22"/>
        </w:rPr>
        <w:t>Jedním z důležitých prvků zlepšování životního prostředí v obcích a městech</w:t>
      </w:r>
      <w:r w:rsidR="00463A7D">
        <w:rPr>
          <w:sz w:val="22"/>
          <w:szCs w:val="22"/>
        </w:rPr>
        <w:t xml:space="preserve"> je rozvoj tzv. </w:t>
      </w:r>
      <w:r w:rsidR="002C6606">
        <w:rPr>
          <w:sz w:val="22"/>
          <w:szCs w:val="22"/>
        </w:rPr>
        <w:t>zelené infrastruktury</w:t>
      </w:r>
      <w:r w:rsidR="00463A7D">
        <w:rPr>
          <w:sz w:val="22"/>
          <w:szCs w:val="22"/>
        </w:rPr>
        <w:t xml:space="preserve">. Nejedná se jen o izolované zelené ostrovy parků, ale o promyšlený systém zeleně fungující jako čistící plíce města/obce. Jelikož se jedná v naprosté většině o veřejná prostranství, je nutné se zelenou infrastrukturou zabývat v návaznosti na dopravní funkci veřejných prostranství a zvyšovat kvalitu jejich urbanistického a architektonického řešení. </w:t>
      </w:r>
      <w:r w:rsidR="0075008F">
        <w:rPr>
          <w:sz w:val="22"/>
        </w:rPr>
        <w:t>Vzdělávání pro udržitelný rozvoj</w:t>
      </w:r>
      <w:r w:rsidR="0075290C" w:rsidRPr="00BD2246">
        <w:rPr>
          <w:sz w:val="22"/>
          <w:szCs w:val="22"/>
        </w:rPr>
        <w:t xml:space="preserve"> a</w:t>
      </w:r>
      <w:r w:rsidR="00AC466E">
        <w:rPr>
          <w:sz w:val="22"/>
          <w:szCs w:val="22"/>
        </w:rPr>
        <w:t> </w:t>
      </w:r>
      <w:r w:rsidR="0075290C" w:rsidRPr="00BD2246">
        <w:rPr>
          <w:sz w:val="22"/>
          <w:szCs w:val="22"/>
        </w:rPr>
        <w:t>výchova ve školách</w:t>
      </w:r>
      <w:r w:rsidR="0075290C" w:rsidRPr="00E70750">
        <w:rPr>
          <w:sz w:val="22"/>
          <w:szCs w:val="22"/>
        </w:rPr>
        <w:t xml:space="preserve"> j</w:t>
      </w:r>
      <w:r w:rsidR="00C530C1">
        <w:rPr>
          <w:sz w:val="22"/>
          <w:szCs w:val="22"/>
        </w:rPr>
        <w:t>sou</w:t>
      </w:r>
      <w:r w:rsidR="0075290C" w:rsidRPr="00E70750">
        <w:rPr>
          <w:sz w:val="22"/>
          <w:szCs w:val="22"/>
        </w:rPr>
        <w:t xml:space="preserve"> důležit</w:t>
      </w:r>
      <w:r w:rsidR="0075290C" w:rsidRPr="005B5A71">
        <w:rPr>
          <w:sz w:val="22"/>
          <w:szCs w:val="22"/>
        </w:rPr>
        <w:t xml:space="preserve">é pro </w:t>
      </w:r>
      <w:r w:rsidR="0075290C" w:rsidRPr="00643BDD">
        <w:rPr>
          <w:sz w:val="22"/>
          <w:szCs w:val="22"/>
        </w:rPr>
        <w:t>pozitivní v</w:t>
      </w:r>
      <w:r w:rsidR="0075290C" w:rsidRPr="00BA3BDA">
        <w:rPr>
          <w:sz w:val="22"/>
          <w:szCs w:val="22"/>
        </w:rPr>
        <w:t>nímání environmentálních otázek širší společností.</w:t>
      </w:r>
    </w:p>
    <w:p w:rsidR="00053B1D" w:rsidRPr="00024144" w:rsidRDefault="00053B1D" w:rsidP="00053B1D">
      <w:pPr>
        <w:rPr>
          <w:sz w:val="22"/>
          <w:u w:val="single"/>
        </w:rPr>
      </w:pPr>
      <w:r w:rsidRPr="00024144">
        <w:rPr>
          <w:sz w:val="22"/>
          <w:u w:val="single"/>
        </w:rPr>
        <w:t>K dalšímu detailnímu řešení byly na základě analýzy NKR vybrány tyto tematické podoblasti:</w:t>
      </w:r>
    </w:p>
    <w:p w:rsidR="00053B1D"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Ochrana a péče o přírodu a krajinu</w:t>
      </w:r>
    </w:p>
    <w:p w:rsidR="00053B1D"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 xml:space="preserve">Ochrana </w:t>
      </w:r>
      <w:r w:rsidR="002C6606">
        <w:rPr>
          <w:rFonts w:ascii="Arial" w:hAnsi="Arial"/>
          <w:sz w:val="22"/>
        </w:rPr>
        <w:t xml:space="preserve">a zlepšení stavu </w:t>
      </w:r>
      <w:r w:rsidRPr="00024144">
        <w:rPr>
          <w:rFonts w:ascii="Arial" w:hAnsi="Arial"/>
          <w:sz w:val="22"/>
        </w:rPr>
        <w:t>vod</w:t>
      </w:r>
      <w:r w:rsidR="002C6606">
        <w:rPr>
          <w:rFonts w:ascii="Arial" w:hAnsi="Arial"/>
          <w:sz w:val="22"/>
        </w:rPr>
        <w:t>y</w:t>
      </w:r>
      <w:r w:rsidRPr="00024144">
        <w:rPr>
          <w:rFonts w:ascii="Arial" w:hAnsi="Arial"/>
          <w:sz w:val="22"/>
        </w:rPr>
        <w:t xml:space="preserve"> a vodní</w:t>
      </w:r>
      <w:r w:rsidR="002C6606">
        <w:rPr>
          <w:rFonts w:ascii="Arial" w:hAnsi="Arial"/>
          <w:sz w:val="22"/>
        </w:rPr>
        <w:t>ho</w:t>
      </w:r>
      <w:r w:rsidRPr="00024144">
        <w:rPr>
          <w:rFonts w:ascii="Arial" w:hAnsi="Arial"/>
          <w:sz w:val="22"/>
        </w:rPr>
        <w:t xml:space="preserve"> hospodářství</w:t>
      </w:r>
    </w:p>
    <w:p w:rsidR="00053B1D" w:rsidRPr="00024144" w:rsidRDefault="002C6606" w:rsidP="00254F4C">
      <w:pPr>
        <w:pStyle w:val="Odstavecseseznamem"/>
        <w:numPr>
          <w:ilvl w:val="0"/>
          <w:numId w:val="14"/>
        </w:numPr>
        <w:spacing w:before="40" w:after="80"/>
        <w:rPr>
          <w:rFonts w:ascii="Arial" w:hAnsi="Arial"/>
          <w:sz w:val="22"/>
        </w:rPr>
      </w:pPr>
      <w:r>
        <w:rPr>
          <w:rFonts w:ascii="Arial" w:hAnsi="Arial"/>
          <w:sz w:val="22"/>
        </w:rPr>
        <w:t>Zlepšení kvality</w:t>
      </w:r>
      <w:r w:rsidRPr="00024144">
        <w:rPr>
          <w:rFonts w:ascii="Arial" w:hAnsi="Arial"/>
          <w:sz w:val="22"/>
        </w:rPr>
        <w:t xml:space="preserve"> </w:t>
      </w:r>
      <w:r w:rsidR="00053B1D" w:rsidRPr="00024144">
        <w:rPr>
          <w:rFonts w:ascii="Arial" w:hAnsi="Arial"/>
          <w:sz w:val="22"/>
        </w:rPr>
        <w:t>ovzduší</w:t>
      </w:r>
    </w:p>
    <w:p w:rsidR="00053B1D"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Oběhové hospodářství, odpady a účinné využívání zdrojů</w:t>
      </w:r>
    </w:p>
    <w:p w:rsidR="00A32152" w:rsidRDefault="002C6606" w:rsidP="00254F4C">
      <w:pPr>
        <w:pStyle w:val="Odstavecseseznamem"/>
        <w:numPr>
          <w:ilvl w:val="0"/>
          <w:numId w:val="14"/>
        </w:numPr>
        <w:spacing w:before="40" w:after="80"/>
        <w:rPr>
          <w:rFonts w:ascii="Arial" w:hAnsi="Arial"/>
          <w:sz w:val="22"/>
        </w:rPr>
      </w:pPr>
      <w:r w:rsidRPr="005C58A1">
        <w:rPr>
          <w:rFonts w:ascii="Arial" w:hAnsi="Arial"/>
          <w:sz w:val="22"/>
        </w:rPr>
        <w:t>Sanace míst s ekologickou zátěží a revitalizace brownfieldů</w:t>
      </w:r>
    </w:p>
    <w:p w:rsidR="002C6606" w:rsidRDefault="002C6606" w:rsidP="00254F4C">
      <w:pPr>
        <w:pStyle w:val="Odstavecseseznamem"/>
        <w:numPr>
          <w:ilvl w:val="0"/>
          <w:numId w:val="14"/>
        </w:numPr>
        <w:spacing w:before="40" w:after="80"/>
        <w:rPr>
          <w:rFonts w:ascii="Arial" w:hAnsi="Arial"/>
          <w:sz w:val="22"/>
        </w:rPr>
      </w:pPr>
      <w:r>
        <w:rPr>
          <w:rFonts w:ascii="Arial" w:hAnsi="Arial"/>
          <w:sz w:val="22"/>
        </w:rPr>
        <w:t>Vytvoření zázemí pro vzdělávání pro udržitelný rozvoj</w:t>
      </w:r>
    </w:p>
    <w:p w:rsidR="00463A7D" w:rsidRPr="00024144" w:rsidRDefault="00463A7D" w:rsidP="00254F4C">
      <w:pPr>
        <w:pStyle w:val="Odstavecseseznamem"/>
        <w:numPr>
          <w:ilvl w:val="0"/>
          <w:numId w:val="14"/>
        </w:numPr>
        <w:spacing w:before="40" w:after="80"/>
        <w:rPr>
          <w:rFonts w:ascii="Arial" w:hAnsi="Arial"/>
          <w:sz w:val="22"/>
        </w:rPr>
      </w:pPr>
      <w:r>
        <w:rPr>
          <w:rFonts w:ascii="Arial" w:hAnsi="Arial"/>
          <w:sz w:val="22"/>
        </w:rPr>
        <w:t>Zkvalitňování veřejných prostranství a rozvoj zelené infrastruktury</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44" w:name="_Toc7774210"/>
      <w:bookmarkStart w:id="45" w:name="_Toc13828207"/>
      <w:r w:rsidRPr="003D45AD">
        <w:rPr>
          <w:sz w:val="22"/>
        </w:rPr>
        <w:t>Kultura</w:t>
      </w:r>
      <w:bookmarkEnd w:id="44"/>
      <w:bookmarkEnd w:id="45"/>
      <w:r w:rsidRPr="003D45AD">
        <w:rPr>
          <w:sz w:val="22"/>
        </w:rPr>
        <w:t xml:space="preserve"> </w:t>
      </w:r>
    </w:p>
    <w:p w:rsidR="00053B1D" w:rsidRPr="00024144" w:rsidRDefault="30F32D24" w:rsidP="30F32D24">
      <w:pPr>
        <w:rPr>
          <w:sz w:val="22"/>
          <w:szCs w:val="22"/>
        </w:rPr>
      </w:pPr>
      <w:r w:rsidRPr="30F32D24">
        <w:rPr>
          <w:sz w:val="22"/>
          <w:szCs w:val="22"/>
        </w:rPr>
        <w:t>Ochrana kulturního bohatství (materiálního a nemateriálního) a jeho efektivní využívání představuje potenciál pro vzdělávání a konkurenceschopnost ČR. Kultura může představovat možnost vytvářet vyšší přidanou hodnotu produktů a služeb (jako v případě kulturních a kreativních odvětví</w:t>
      </w:r>
      <w:r w:rsidR="00735CA3">
        <w:rPr>
          <w:sz w:val="22"/>
          <w:szCs w:val="22"/>
        </w:rPr>
        <w:t xml:space="preserve"> - </w:t>
      </w:r>
      <w:r w:rsidRPr="30F32D24">
        <w:rPr>
          <w:sz w:val="22"/>
          <w:szCs w:val="22"/>
        </w:rPr>
        <w:t xml:space="preserve">animace, hudba nebo film) a možnost vytvářet flexibilní pracovní místa. </w:t>
      </w:r>
      <w:r w:rsidR="009256FC">
        <w:rPr>
          <w:sz w:val="22"/>
          <w:szCs w:val="22"/>
        </w:rPr>
        <w:t xml:space="preserve">Velice zásadní je i vazba na odvětví cestovního ruchu, pro který kulturní dědictví představuje jeden ze základních kamenů pro tvorbu konkurenceschopné nabídky. </w:t>
      </w:r>
      <w:r w:rsidRPr="30F32D24">
        <w:rPr>
          <w:sz w:val="22"/>
          <w:szCs w:val="22"/>
        </w:rPr>
        <w:t xml:space="preserve"> Má unikátní ekonomicko-hospodářský potenciál</w:t>
      </w:r>
      <w:r w:rsidR="00735CA3">
        <w:rPr>
          <w:sz w:val="22"/>
          <w:szCs w:val="22"/>
        </w:rPr>
        <w:t xml:space="preserve"> a</w:t>
      </w:r>
      <w:r w:rsidRPr="30F32D24">
        <w:rPr>
          <w:sz w:val="22"/>
          <w:szCs w:val="22"/>
        </w:rPr>
        <w:t xml:space="preserve"> přispívá ke stabilizaci zaměstnanosti. Díky vysoké diverzifikaci zdrojů kulturního dědictví je možné také předpokládat dlouhodobou udržitelnost</w:t>
      </w:r>
      <w:r w:rsidR="009256FC">
        <w:rPr>
          <w:sz w:val="22"/>
          <w:szCs w:val="22"/>
        </w:rPr>
        <w:t xml:space="preserve"> a</w:t>
      </w:r>
      <w:r w:rsidR="00735CA3">
        <w:rPr>
          <w:sz w:val="22"/>
          <w:szCs w:val="22"/>
        </w:rPr>
        <w:t xml:space="preserve"> </w:t>
      </w:r>
      <w:r w:rsidRPr="30F32D24">
        <w:rPr>
          <w:sz w:val="22"/>
          <w:szCs w:val="22"/>
        </w:rPr>
        <w:t>provázanost zejména v rámci podpory malého a</w:t>
      </w:r>
      <w:r w:rsidR="00012E8E">
        <w:rPr>
          <w:sz w:val="22"/>
          <w:szCs w:val="22"/>
        </w:rPr>
        <w:t> </w:t>
      </w:r>
      <w:r w:rsidRPr="30F32D24">
        <w:rPr>
          <w:sz w:val="22"/>
          <w:szCs w:val="22"/>
        </w:rPr>
        <w:t>středního podnikání</w:t>
      </w:r>
      <w:r w:rsidR="009256FC">
        <w:rPr>
          <w:sz w:val="22"/>
          <w:szCs w:val="22"/>
        </w:rPr>
        <w:t xml:space="preserve"> na kulturní a kreativní průmysly</w:t>
      </w:r>
      <w:r w:rsidRPr="30F32D24">
        <w:rPr>
          <w:sz w:val="22"/>
          <w:szCs w:val="22"/>
        </w:rPr>
        <w:t xml:space="preserve">. </w:t>
      </w:r>
    </w:p>
    <w:p w:rsidR="00053B1D" w:rsidRPr="00024144" w:rsidRDefault="00053B1D" w:rsidP="009256FC">
      <w:pPr>
        <w:rPr>
          <w:sz w:val="22"/>
          <w:szCs w:val="22"/>
        </w:rPr>
      </w:pPr>
      <w:r w:rsidRPr="72755F4C">
        <w:rPr>
          <w:sz w:val="22"/>
          <w:szCs w:val="22"/>
        </w:rPr>
        <w:t>Kultura je nositelkou kompetencí, které jsou ne</w:t>
      </w:r>
      <w:r w:rsidR="00150C81">
        <w:rPr>
          <w:sz w:val="22"/>
          <w:szCs w:val="22"/>
        </w:rPr>
        <w:t>-</w:t>
      </w:r>
      <w:r w:rsidRPr="72755F4C">
        <w:rPr>
          <w:sz w:val="22"/>
          <w:szCs w:val="22"/>
        </w:rPr>
        <w:t>automatizovatelné, ne</w:t>
      </w:r>
      <w:r w:rsidR="00150C81">
        <w:rPr>
          <w:sz w:val="22"/>
          <w:szCs w:val="22"/>
        </w:rPr>
        <w:t>-</w:t>
      </w:r>
      <w:r w:rsidRPr="72755F4C">
        <w:rPr>
          <w:sz w:val="22"/>
          <w:szCs w:val="22"/>
        </w:rPr>
        <w:t>technologické a tudíž nenahraditelné - unikátní. Tyto kompetence stále intenzivněji využívá zejména rychle rostoucí znalostní ekonomika, postavená na vědomostech a kompetencích, které kultura po staletí rozvíjí. Zásadním způsobem přispívá k celoživotnímu vzdělávání a tedy i schopnosti lidí lépe se adaptovat na společenské změny. Kultura je dále základem tvorby naší identity, fundamentálním pojítkem, spojovatelkou společnosti, i měřítkem a svorníkem společenské koheze. Umožňuje zachovávat a potvrzovat identitu v rámci regionu, etnika, či civilizačního okruhu a vytvářet pozitivní image ČR. Zároveň je ale nutné budovat povědomí občanů ČR o</w:t>
      </w:r>
      <w:r w:rsidR="00012E8E">
        <w:rPr>
          <w:sz w:val="22"/>
          <w:szCs w:val="22"/>
        </w:rPr>
        <w:t> </w:t>
      </w:r>
      <w:r w:rsidRPr="72755F4C">
        <w:rPr>
          <w:sz w:val="22"/>
          <w:szCs w:val="22"/>
        </w:rPr>
        <w:t>kulturním a historickém ukotvení ČR.</w:t>
      </w:r>
      <w:r w:rsidR="009256FC" w:rsidRPr="009256FC">
        <w:rPr>
          <w:sz w:val="22"/>
          <w:szCs w:val="22"/>
        </w:rPr>
        <w:t xml:space="preserve"> </w:t>
      </w:r>
      <w:r w:rsidR="009256FC">
        <w:rPr>
          <w:sz w:val="22"/>
          <w:szCs w:val="22"/>
        </w:rPr>
        <w:t>V této oblasti hraje roli propojení s oblastí cestovního ruchu, která je pro šíření povědomí a interpretaci dědictví velmi důležitá.</w:t>
      </w:r>
    </w:p>
    <w:p w:rsidR="00053B1D" w:rsidRPr="00024144" w:rsidRDefault="72755F4C" w:rsidP="72755F4C">
      <w:pPr>
        <w:rPr>
          <w:sz w:val="22"/>
          <w:szCs w:val="22"/>
        </w:rPr>
      </w:pPr>
      <w:r w:rsidRPr="72755F4C">
        <w:rPr>
          <w:sz w:val="22"/>
          <w:szCs w:val="22"/>
        </w:rPr>
        <w:t xml:space="preserve">Je proto také potřeba vyřešit problémy značného podfinancování péče o kulturní dědictví v ČR (stále </w:t>
      </w:r>
      <w:r w:rsidR="00735CA3">
        <w:rPr>
          <w:sz w:val="22"/>
          <w:szCs w:val="22"/>
        </w:rPr>
        <w:t xml:space="preserve">existují </w:t>
      </w:r>
      <w:r w:rsidRPr="72755F4C">
        <w:rPr>
          <w:sz w:val="22"/>
          <w:szCs w:val="22"/>
        </w:rPr>
        <w:t>nedostatky v</w:t>
      </w:r>
      <w:r w:rsidR="00735CA3">
        <w:rPr>
          <w:sz w:val="22"/>
          <w:szCs w:val="22"/>
        </w:rPr>
        <w:t> zajišťování finančních prostředků pro</w:t>
      </w:r>
      <w:r w:rsidRPr="72755F4C">
        <w:rPr>
          <w:sz w:val="22"/>
          <w:szCs w:val="22"/>
        </w:rPr>
        <w:t xml:space="preserve"> hmotné kulturní dědictví – památky, ale také </w:t>
      </w:r>
      <w:r w:rsidR="00735CA3">
        <w:rPr>
          <w:sz w:val="22"/>
          <w:szCs w:val="22"/>
        </w:rPr>
        <w:t xml:space="preserve">na </w:t>
      </w:r>
      <w:r w:rsidRPr="72755F4C">
        <w:rPr>
          <w:sz w:val="22"/>
          <w:szCs w:val="22"/>
        </w:rPr>
        <w:t xml:space="preserve">rozvoj živého a digitálního umění), </w:t>
      </w:r>
      <w:r w:rsidR="006E36C8" w:rsidRPr="00590FD1">
        <w:rPr>
          <w:color w:val="000000" w:themeColor="text1"/>
          <w:sz w:val="22"/>
          <w:szCs w:val="22"/>
        </w:rPr>
        <w:t>zlepšit společenské kompetence zaměstnanců paměťových kulturních institucích (muzea a galerie) při kontaktu s návštěvníkem a zlepšit financování zejména odborných i ostatních zaměstnanců paměťových kulturních institucí</w:t>
      </w:r>
      <w:r w:rsidRPr="006E36C8">
        <w:rPr>
          <w:sz w:val="22"/>
          <w:szCs w:val="22"/>
        </w:rPr>
        <w:t xml:space="preserve"> </w:t>
      </w:r>
      <w:r w:rsidRPr="72755F4C">
        <w:rPr>
          <w:sz w:val="22"/>
          <w:szCs w:val="22"/>
        </w:rPr>
        <w:t>zvýšit úroveň profesionální ochrany a využití kulturního dědictví a zlepšit dostupnost tohoto potenciálu také pro širokou veřejnost</w:t>
      </w:r>
      <w:r w:rsidR="006E36C8" w:rsidRPr="006E36C8">
        <w:rPr>
          <w:sz w:val="22"/>
          <w:szCs w:val="22"/>
        </w:rPr>
        <w:t xml:space="preserve">, </w:t>
      </w:r>
      <w:r w:rsidR="006E36C8" w:rsidRPr="00590FD1">
        <w:rPr>
          <w:color w:val="000000" w:themeColor="text1"/>
          <w:sz w:val="22"/>
          <w:szCs w:val="22"/>
          <w:u w:val="single"/>
        </w:rPr>
        <w:t>a tím zlepšit pochopení kulturního dědictví hmotného i nehmotného a prostřednictvím srozumitelného sdělení budovat kulturní identitu občanů českého státu</w:t>
      </w:r>
      <w:r w:rsidRPr="72755F4C">
        <w:rPr>
          <w:sz w:val="22"/>
          <w:szCs w:val="22"/>
        </w:rPr>
        <w:t xml:space="preserve">. </w:t>
      </w:r>
    </w:p>
    <w:p w:rsidR="00053B1D" w:rsidRPr="00024144" w:rsidRDefault="00053B1D" w:rsidP="00053B1D">
      <w:pPr>
        <w:rPr>
          <w:sz w:val="22"/>
          <w:u w:val="single"/>
        </w:rPr>
      </w:pPr>
      <w:r w:rsidRPr="00024144">
        <w:rPr>
          <w:sz w:val="22"/>
          <w:u w:val="single"/>
        </w:rPr>
        <w:t>K dalšímu detailnímu řešení byla na základě analýzy NKR vybrána tematická podoblast:</w:t>
      </w:r>
    </w:p>
    <w:p w:rsidR="00150C81" w:rsidRPr="00024144" w:rsidRDefault="00053B1D" w:rsidP="00254F4C">
      <w:pPr>
        <w:pStyle w:val="Odstavecseseznamem"/>
        <w:numPr>
          <w:ilvl w:val="0"/>
          <w:numId w:val="14"/>
        </w:numPr>
        <w:spacing w:before="40" w:after="80"/>
        <w:rPr>
          <w:rFonts w:ascii="Arial" w:hAnsi="Arial"/>
          <w:sz w:val="22"/>
        </w:rPr>
      </w:pPr>
      <w:r w:rsidRPr="00024144">
        <w:rPr>
          <w:rFonts w:ascii="Arial" w:hAnsi="Arial"/>
          <w:sz w:val="22"/>
        </w:rPr>
        <w:t>Ochrana, rozvoj a podpora kulturního dědictví</w:t>
      </w:r>
    </w:p>
    <w:p w:rsidR="00150C81" w:rsidRPr="002523DF" w:rsidRDefault="00150C81" w:rsidP="00254F4C">
      <w:pPr>
        <w:pStyle w:val="Nadpis3"/>
        <w:keepLines/>
        <w:numPr>
          <w:ilvl w:val="2"/>
          <w:numId w:val="9"/>
        </w:numPr>
        <w:tabs>
          <w:tab w:val="clear" w:pos="1985"/>
        </w:tabs>
        <w:spacing w:before="240" w:after="120" w:line="259" w:lineRule="auto"/>
        <w:ind w:left="425" w:hanging="425"/>
        <w:jc w:val="left"/>
        <w:rPr>
          <w:sz w:val="22"/>
        </w:rPr>
      </w:pPr>
      <w:bookmarkStart w:id="46" w:name="_Toc7774211"/>
      <w:bookmarkStart w:id="47" w:name="_Toc13828208"/>
      <w:r w:rsidRPr="002523DF">
        <w:rPr>
          <w:sz w:val="22"/>
        </w:rPr>
        <w:t>Cestovní ruch</w:t>
      </w:r>
      <w:bookmarkEnd w:id="46"/>
      <w:bookmarkEnd w:id="47"/>
      <w:r w:rsidRPr="002523DF">
        <w:rPr>
          <w:sz w:val="22"/>
        </w:rPr>
        <w:t xml:space="preserve"> </w:t>
      </w:r>
    </w:p>
    <w:p w:rsidR="005B6675" w:rsidRPr="00A9356E" w:rsidRDefault="00FA26B6" w:rsidP="005B6675">
      <w:pPr>
        <w:rPr>
          <w:sz w:val="22"/>
          <w:szCs w:val="22"/>
        </w:rPr>
      </w:pPr>
      <w:r w:rsidRPr="00A9356E">
        <w:rPr>
          <w:sz w:val="22"/>
          <w:szCs w:val="22"/>
        </w:rPr>
        <w:t>Cestovní ruch je z podstaty věci mezioborovým fenoménem, který využívá, nebo ovlivňuje výstupy i vstupy ostatních složek národního hospodářství. Patří rovněž k nejdynamičtějším odvětvím, velice rychle reaguje na trendy a změny nejen na národní úrovni. Cestovní ruch generuje cca 3</w:t>
      </w:r>
      <w:r w:rsidR="003C45CE">
        <w:rPr>
          <w:sz w:val="22"/>
          <w:szCs w:val="22"/>
        </w:rPr>
        <w:t xml:space="preserve"> </w:t>
      </w:r>
      <w:r w:rsidRPr="00A9356E">
        <w:rPr>
          <w:sz w:val="22"/>
          <w:szCs w:val="22"/>
        </w:rPr>
        <w:t xml:space="preserve">% </w:t>
      </w:r>
      <w:r w:rsidR="009256FC">
        <w:rPr>
          <w:sz w:val="22"/>
          <w:szCs w:val="22"/>
        </w:rPr>
        <w:t xml:space="preserve">(149 mld. Kč) </w:t>
      </w:r>
      <w:r w:rsidR="009256FC" w:rsidRPr="00A9356E">
        <w:rPr>
          <w:sz w:val="22"/>
          <w:szCs w:val="22"/>
        </w:rPr>
        <w:t xml:space="preserve">roční příspěvek do HDP a zajišťuje zaměstnanost pro cca </w:t>
      </w:r>
      <w:r w:rsidR="009256FC">
        <w:rPr>
          <w:sz w:val="22"/>
          <w:szCs w:val="22"/>
        </w:rPr>
        <w:t>4,</w:t>
      </w:r>
      <w:r w:rsidR="009256FC" w:rsidRPr="00A9356E">
        <w:rPr>
          <w:sz w:val="22"/>
          <w:szCs w:val="22"/>
        </w:rPr>
        <w:t>5</w:t>
      </w:r>
      <w:r w:rsidR="009256FC">
        <w:rPr>
          <w:sz w:val="22"/>
          <w:szCs w:val="22"/>
        </w:rPr>
        <w:t xml:space="preserve"> </w:t>
      </w:r>
      <w:r w:rsidR="009256FC" w:rsidRPr="00A9356E">
        <w:rPr>
          <w:sz w:val="22"/>
          <w:szCs w:val="22"/>
        </w:rPr>
        <w:t>% obyvatelstva</w:t>
      </w:r>
      <w:r w:rsidR="009256FC">
        <w:rPr>
          <w:sz w:val="22"/>
          <w:szCs w:val="22"/>
        </w:rPr>
        <w:t xml:space="preserve"> (téměř 239 tis. osob, což je více než zemědělství, lesnictví, rybářství, těžba a dobývání dohromady)</w:t>
      </w:r>
      <w:r w:rsidR="009256FC" w:rsidRPr="00A9356E">
        <w:rPr>
          <w:sz w:val="22"/>
          <w:szCs w:val="22"/>
        </w:rPr>
        <w:t xml:space="preserve">. </w:t>
      </w:r>
      <w:r w:rsidR="005448E0" w:rsidRPr="00A9356E">
        <w:rPr>
          <w:sz w:val="22"/>
          <w:szCs w:val="22"/>
        </w:rPr>
        <w:t>Česko bylo od počátku transformace</w:t>
      </w:r>
      <w:r w:rsidR="005448E0">
        <w:rPr>
          <w:sz w:val="22"/>
          <w:szCs w:val="22"/>
        </w:rPr>
        <w:t xml:space="preserve"> ekonomiky a společnosti od roku 1989</w:t>
      </w:r>
      <w:r w:rsidR="005448E0" w:rsidRPr="00A9356E">
        <w:rPr>
          <w:sz w:val="22"/>
          <w:szCs w:val="22"/>
        </w:rPr>
        <w:t xml:space="preserve"> významnou destinací příjezdového cestovního ruchu. Pozice cestovního ruchu však prošla řadou změn, které často reagovaly na ekonomický vývoj národní i globální ekonomiky</w:t>
      </w:r>
      <w:r w:rsidR="009256FC" w:rsidRPr="009256FC">
        <w:rPr>
          <w:sz w:val="22"/>
          <w:szCs w:val="22"/>
        </w:rPr>
        <w:t xml:space="preserve"> </w:t>
      </w:r>
      <w:r w:rsidR="009256FC">
        <w:rPr>
          <w:sz w:val="22"/>
          <w:szCs w:val="22"/>
        </w:rPr>
        <w:t>a rovněž souvisí s historicky danou orientací země na průmysl a export</w:t>
      </w:r>
      <w:r w:rsidR="005448E0" w:rsidRPr="00A9356E">
        <w:rPr>
          <w:sz w:val="22"/>
          <w:szCs w:val="22"/>
        </w:rPr>
        <w:t>. Z</w:t>
      </w:r>
      <w:r w:rsidR="00DF12F6">
        <w:rPr>
          <w:sz w:val="22"/>
          <w:szCs w:val="22"/>
        </w:rPr>
        <w:t> </w:t>
      </w:r>
      <w:r w:rsidR="005448E0" w:rsidRPr="00A9356E">
        <w:rPr>
          <w:sz w:val="22"/>
          <w:szCs w:val="22"/>
        </w:rPr>
        <w:t xml:space="preserve">hlediska regionální dimenze je zcela dominantní pozice Prahy jako centra pro zahraniční příjezdový cestovní ruch. </w:t>
      </w:r>
      <w:r w:rsidR="005B6675">
        <w:rPr>
          <w:sz w:val="22"/>
          <w:szCs w:val="22"/>
        </w:rPr>
        <w:t xml:space="preserve">Oproti tomu domácích návštěvníků přivítala Praha </w:t>
      </w:r>
      <w:r w:rsidR="005B6675" w:rsidRPr="00A9356E">
        <w:rPr>
          <w:sz w:val="22"/>
          <w:szCs w:val="22"/>
        </w:rPr>
        <w:t xml:space="preserve">pouze asi 10 %. Naopak pro </w:t>
      </w:r>
      <w:r w:rsidR="005B6675">
        <w:rPr>
          <w:sz w:val="22"/>
          <w:szCs w:val="22"/>
        </w:rPr>
        <w:t>ostatní kraje</w:t>
      </w:r>
      <w:r w:rsidR="005B6675" w:rsidRPr="00A9356E">
        <w:rPr>
          <w:sz w:val="22"/>
          <w:szCs w:val="22"/>
        </w:rPr>
        <w:t xml:space="preserve"> Česka </w:t>
      </w:r>
      <w:r w:rsidR="005B6675">
        <w:rPr>
          <w:sz w:val="22"/>
          <w:szCs w:val="22"/>
        </w:rPr>
        <w:t>představují Češi hlavní cílovou skupinu</w:t>
      </w:r>
      <w:r w:rsidR="005B6675" w:rsidRPr="00A9356E">
        <w:rPr>
          <w:sz w:val="22"/>
          <w:szCs w:val="22"/>
        </w:rPr>
        <w:t xml:space="preserve"> (80 – 90 %). V</w:t>
      </w:r>
      <w:r w:rsidR="00DF12F6">
        <w:rPr>
          <w:sz w:val="22"/>
          <w:szCs w:val="22"/>
        </w:rPr>
        <w:t> </w:t>
      </w:r>
      <w:r w:rsidR="005B6675" w:rsidRPr="00A9356E">
        <w:rPr>
          <w:sz w:val="22"/>
          <w:szCs w:val="22"/>
        </w:rPr>
        <w:t>budoucnu bude tento trend pravděpodobně pokračovat</w:t>
      </w:r>
      <w:r w:rsidR="005B6675">
        <w:rPr>
          <w:sz w:val="22"/>
          <w:szCs w:val="22"/>
        </w:rPr>
        <w:t>, ačkoliv lze sledovat zpomalení „rozevírání nůžek“ mezi Prahou a kraji</w:t>
      </w:r>
      <w:r w:rsidR="005B6675" w:rsidRPr="00A9356E">
        <w:rPr>
          <w:sz w:val="22"/>
          <w:szCs w:val="22"/>
        </w:rPr>
        <w:t>.</w:t>
      </w:r>
      <w:r w:rsidR="005B6675">
        <w:rPr>
          <w:sz w:val="22"/>
          <w:szCs w:val="22"/>
        </w:rPr>
        <w:t xml:space="preserve"> Silný domácí cestovní ruch je však velmi pozitivní, protože v období ekonomické recese představuje jeden z hnacích motorů pro regionální ekonomiku.</w:t>
      </w:r>
    </w:p>
    <w:p w:rsidR="005731BD" w:rsidRDefault="00DD4964" w:rsidP="005731BD">
      <w:pPr>
        <w:rPr>
          <w:sz w:val="22"/>
        </w:rPr>
      </w:pPr>
      <w:r>
        <w:rPr>
          <w:sz w:val="22"/>
        </w:rPr>
        <w:t>A</w:t>
      </w:r>
      <w:r w:rsidR="005448E0" w:rsidRPr="00C02894">
        <w:rPr>
          <w:sz w:val="22"/>
        </w:rPr>
        <w:t>by se podařilo ideálně rozprostřít nápor zahraničních turistů směřujících do Prahy,</w:t>
      </w:r>
      <w:r w:rsidR="005B6675">
        <w:rPr>
          <w:sz w:val="22"/>
        </w:rPr>
        <w:t xml:space="preserve"> resp. ČR,</w:t>
      </w:r>
      <w:r w:rsidR="005448E0" w:rsidRPr="00C02894">
        <w:rPr>
          <w:sz w:val="22"/>
        </w:rPr>
        <w:t xml:space="preserve"> je nutné usilovat o rozvoj udržiteln</w:t>
      </w:r>
      <w:r w:rsidR="005B6675">
        <w:rPr>
          <w:sz w:val="22"/>
        </w:rPr>
        <w:t>ého cestovního ruchu jako takového</w:t>
      </w:r>
      <w:r w:rsidR="005448E0" w:rsidRPr="00C02894">
        <w:rPr>
          <w:sz w:val="22"/>
        </w:rPr>
        <w:t xml:space="preserve">. </w:t>
      </w:r>
      <w:r w:rsidR="005B6675" w:rsidRPr="00C02894">
        <w:rPr>
          <w:sz w:val="22"/>
        </w:rPr>
        <w:t xml:space="preserve">Udržitelnost </w:t>
      </w:r>
      <w:r w:rsidR="005B6675">
        <w:rPr>
          <w:sz w:val="22"/>
        </w:rPr>
        <w:t xml:space="preserve">lze aplikovat ve všech sférách, </w:t>
      </w:r>
      <w:r w:rsidR="005B6675" w:rsidRPr="00C02894">
        <w:rPr>
          <w:sz w:val="22"/>
        </w:rPr>
        <w:t xml:space="preserve">spočívá </w:t>
      </w:r>
      <w:r w:rsidR="005B6675">
        <w:rPr>
          <w:sz w:val="22"/>
        </w:rPr>
        <w:t xml:space="preserve">však </w:t>
      </w:r>
      <w:r w:rsidR="005B6675" w:rsidRPr="00C02894">
        <w:rPr>
          <w:sz w:val="22"/>
        </w:rPr>
        <w:t>zejména v </w:t>
      </w:r>
      <w:r w:rsidR="005B6675">
        <w:rPr>
          <w:sz w:val="22"/>
        </w:rPr>
        <w:t>šetrném a profesionálním</w:t>
      </w:r>
      <w:r w:rsidR="005B6675" w:rsidRPr="00C02894">
        <w:rPr>
          <w:sz w:val="22"/>
        </w:rPr>
        <w:t xml:space="preserve"> řízení cestovního ruchu (za pomocí </w:t>
      </w:r>
      <w:r w:rsidR="005B6675">
        <w:rPr>
          <w:sz w:val="22"/>
        </w:rPr>
        <w:t xml:space="preserve">strategického plánování a </w:t>
      </w:r>
      <w:r w:rsidR="005B6675" w:rsidRPr="00C02894">
        <w:rPr>
          <w:sz w:val="22"/>
        </w:rPr>
        <w:t>inovativních řešení) navázaném na kulturní a přírodní dědictví</w:t>
      </w:r>
      <w:r w:rsidR="005B6675">
        <w:rPr>
          <w:sz w:val="22"/>
        </w:rPr>
        <w:t>, veřejnou a podnikatelskou infrastrukturu cestovního ruchu</w:t>
      </w:r>
      <w:r w:rsidR="005B6675" w:rsidRPr="00C02894">
        <w:rPr>
          <w:sz w:val="22"/>
        </w:rPr>
        <w:t>.</w:t>
      </w:r>
      <w:r w:rsidR="005B6675">
        <w:rPr>
          <w:sz w:val="22"/>
        </w:rPr>
        <w:t xml:space="preserve"> </w:t>
      </w:r>
      <w:r w:rsidR="005731BD">
        <w:rPr>
          <w:sz w:val="22"/>
        </w:rPr>
        <w:t>Jedním z předpokladů</w:t>
      </w:r>
      <w:r w:rsidR="005731BD" w:rsidRPr="00C02894">
        <w:rPr>
          <w:sz w:val="22"/>
        </w:rPr>
        <w:t xml:space="preserve"> pro </w:t>
      </w:r>
      <w:r w:rsidR="005731BD">
        <w:rPr>
          <w:sz w:val="22"/>
        </w:rPr>
        <w:t>udržitelný</w:t>
      </w:r>
      <w:r w:rsidR="005731BD" w:rsidRPr="00C02894">
        <w:rPr>
          <w:sz w:val="22"/>
        </w:rPr>
        <w:t xml:space="preserve"> rozvoj cestovního ruchu je dostupnost a kvalita spojení Prahy a ostatních turistických</w:t>
      </w:r>
      <w:r w:rsidR="005731BD">
        <w:rPr>
          <w:sz w:val="22"/>
        </w:rPr>
        <w:t xml:space="preserve"> destinací v rámci ČR</w:t>
      </w:r>
      <w:r w:rsidR="005731BD" w:rsidRPr="00C02894">
        <w:rPr>
          <w:sz w:val="22"/>
        </w:rPr>
        <w:t xml:space="preserve">. Nejsilnější podmíněnost udržitelného rozvoje cestovního ruchu je tedy ve vazbě na oblast Dopravy (rychlostní vlaková a silniční spojení regionů – i navzájem – modernizace regionálních tratí, </w:t>
      </w:r>
      <w:r w:rsidR="005731BD">
        <w:rPr>
          <w:sz w:val="22"/>
        </w:rPr>
        <w:t xml:space="preserve">intervaly dopravních spojení, obslužnost během víkendů a svátků, </w:t>
      </w:r>
      <w:r w:rsidR="005731BD" w:rsidRPr="00C02894">
        <w:rPr>
          <w:sz w:val="22"/>
        </w:rPr>
        <w:t>návazné dopravní služby pro turisty – parkoviště u</w:t>
      </w:r>
      <w:r w:rsidR="00012E8E">
        <w:rPr>
          <w:sz w:val="22"/>
        </w:rPr>
        <w:t> </w:t>
      </w:r>
      <w:r w:rsidR="005731BD" w:rsidRPr="00C02894">
        <w:rPr>
          <w:sz w:val="22"/>
        </w:rPr>
        <w:t>přestupních bodů/turistických cílů; silnou roli pro udržitelnost hraje systém dálkových cyklotras</w:t>
      </w:r>
      <w:r w:rsidR="005731BD">
        <w:rPr>
          <w:sz w:val="22"/>
        </w:rPr>
        <w:t xml:space="preserve"> a cyklostezek</w:t>
      </w:r>
      <w:r w:rsidR="005731BD" w:rsidRPr="00C02894">
        <w:rPr>
          <w:sz w:val="22"/>
        </w:rPr>
        <w:t xml:space="preserve"> EuroVelo a GreenWay</w:t>
      </w:r>
      <w:r w:rsidR="005731BD">
        <w:rPr>
          <w:sz w:val="22"/>
        </w:rPr>
        <w:t>s</w:t>
      </w:r>
      <w:r w:rsidR="005731BD" w:rsidRPr="00C02894">
        <w:rPr>
          <w:sz w:val="22"/>
        </w:rPr>
        <w:t xml:space="preserve">, ale také návaznost na regionální a místní </w:t>
      </w:r>
      <w:r w:rsidR="005731BD">
        <w:rPr>
          <w:sz w:val="22"/>
        </w:rPr>
        <w:t xml:space="preserve">značené </w:t>
      </w:r>
      <w:r w:rsidR="005731BD" w:rsidRPr="00C02894">
        <w:rPr>
          <w:sz w:val="22"/>
        </w:rPr>
        <w:t>turistické trasy</w:t>
      </w:r>
      <w:r w:rsidR="005731BD">
        <w:rPr>
          <w:sz w:val="22"/>
        </w:rPr>
        <w:t xml:space="preserve"> a stezky</w:t>
      </w:r>
      <w:r w:rsidR="005731BD" w:rsidRPr="00C02894">
        <w:rPr>
          <w:sz w:val="22"/>
        </w:rPr>
        <w:t>. Další významná vazba je na Ochranu přírody a krajiny (interpretace přírodního dědictví a ekosystémů včetně geologických a hydrologických souvislostí, agroturistika a ochrana půdy, zadržování vody v krajině a zdroje léčivých vod – lázeňství).</w:t>
      </w:r>
      <w:r w:rsidR="005731BD">
        <w:rPr>
          <w:sz w:val="22"/>
        </w:rPr>
        <w:t xml:space="preserve"> Zásadní je rovněž udržitelný rozvoj návštěvnického režimu v kulturních, přírodních a technických památkách, je nutné identifikovat a sledovat limity únosnosti jak pro objekty, tak pro území v čase. Pro udržitelný rozvoj cestovního ruchu je však také velmi důležitý rozvoj udržitelné veřejné</w:t>
      </w:r>
      <w:r w:rsidR="00735CA3">
        <w:rPr>
          <w:sz w:val="22"/>
        </w:rPr>
        <w:t xml:space="preserve"> i</w:t>
      </w:r>
      <w:r w:rsidR="005731BD">
        <w:rPr>
          <w:sz w:val="22"/>
        </w:rPr>
        <w:t xml:space="preserve"> podnikatelské</w:t>
      </w:r>
      <w:r w:rsidR="00735CA3">
        <w:rPr>
          <w:sz w:val="22"/>
        </w:rPr>
        <w:t xml:space="preserve"> infrastruktury</w:t>
      </w:r>
      <w:r w:rsidR="005731BD">
        <w:rPr>
          <w:sz w:val="22"/>
        </w:rPr>
        <w:t xml:space="preserve"> </w:t>
      </w:r>
      <w:r w:rsidR="00735CA3">
        <w:rPr>
          <w:sz w:val="22"/>
        </w:rPr>
        <w:t>zohledňující</w:t>
      </w:r>
      <w:r w:rsidR="005731BD">
        <w:rPr>
          <w:sz w:val="22"/>
        </w:rPr>
        <w:t xml:space="preserve"> změny klimatu a</w:t>
      </w:r>
      <w:r w:rsidR="00012E8E">
        <w:rPr>
          <w:sz w:val="22"/>
        </w:rPr>
        <w:t> </w:t>
      </w:r>
      <w:r w:rsidR="005731BD">
        <w:rPr>
          <w:sz w:val="22"/>
        </w:rPr>
        <w:t xml:space="preserve">potřeby snižování energetické náročnosti technologií i provozoven. Velkým tématem pro oblast cestovního ruchu je oběhové hospodářství. </w:t>
      </w:r>
    </w:p>
    <w:p w:rsidR="005731BD" w:rsidRPr="00C02894" w:rsidRDefault="005731BD" w:rsidP="005731BD">
      <w:pPr>
        <w:rPr>
          <w:sz w:val="22"/>
        </w:rPr>
      </w:pPr>
      <w:r>
        <w:rPr>
          <w:sz w:val="22"/>
        </w:rPr>
        <w:t xml:space="preserve">Rozvoj udržitelného cestovního ruchu je však zejména závislý na informacích a práci s nimi, pozornost je nutné věnovat výzkumu, interpretaci jeho výsledků, ale i propagaci, která může pomoci usměrnit tok návštěvníků. Výše uvedené realizují organizace destinačního managementu, v čele s agenturou CzechTourism, která za Českou republiku koordinuje tok informací zejména vůči potenciálním návštěvníkům ze zahraničí. </w:t>
      </w:r>
    </w:p>
    <w:p w:rsidR="00082B6D" w:rsidRPr="00024144" w:rsidRDefault="00082B6D" w:rsidP="00082B6D">
      <w:pPr>
        <w:rPr>
          <w:sz w:val="22"/>
          <w:u w:val="single"/>
        </w:rPr>
      </w:pPr>
      <w:r w:rsidRPr="00024144">
        <w:rPr>
          <w:sz w:val="22"/>
          <w:u w:val="single"/>
        </w:rPr>
        <w:t>K dalšímu detailnímu řešení byla na základě analýzy NKR vybrána tematická podoblast:</w:t>
      </w:r>
    </w:p>
    <w:p w:rsidR="00150C81" w:rsidRPr="00A9356E" w:rsidRDefault="00082B6D" w:rsidP="00254F4C">
      <w:pPr>
        <w:pStyle w:val="Odstavecseseznamem"/>
        <w:numPr>
          <w:ilvl w:val="0"/>
          <w:numId w:val="14"/>
        </w:numPr>
        <w:spacing w:before="40" w:after="80"/>
        <w:rPr>
          <w:sz w:val="22"/>
        </w:rPr>
      </w:pPr>
      <w:r>
        <w:rPr>
          <w:rFonts w:ascii="Arial" w:hAnsi="Arial"/>
          <w:sz w:val="22"/>
        </w:rPr>
        <w:t>Udržitelný cestovní ruch</w:t>
      </w:r>
    </w:p>
    <w:p w:rsidR="00053B1D" w:rsidRPr="00977260" w:rsidRDefault="00053B1D" w:rsidP="00254F4C">
      <w:pPr>
        <w:pStyle w:val="Nadpis2"/>
        <w:numPr>
          <w:ilvl w:val="1"/>
          <w:numId w:val="9"/>
        </w:numPr>
        <w:spacing w:line="240" w:lineRule="auto"/>
        <w:ind w:left="425" w:hanging="431"/>
        <w:jc w:val="left"/>
      </w:pPr>
      <w:bookmarkStart w:id="48" w:name="_Toc7774212"/>
      <w:bookmarkStart w:id="49" w:name="_Toc13828209"/>
      <w:r w:rsidRPr="00977260">
        <w:t>Průřezové oblasti</w:t>
      </w:r>
      <w:bookmarkEnd w:id="48"/>
      <w:bookmarkEnd w:id="49"/>
    </w:p>
    <w:p w:rsidR="00053B1D" w:rsidRPr="00671D5F" w:rsidRDefault="00053B1D" w:rsidP="6A9D794E">
      <w:pPr>
        <w:rPr>
          <w:sz w:val="22"/>
          <w:szCs w:val="22"/>
        </w:rPr>
      </w:pPr>
      <w:r w:rsidRPr="6A9D794E">
        <w:rPr>
          <w:sz w:val="22"/>
          <w:szCs w:val="22"/>
        </w:rPr>
        <w:t xml:space="preserve">V rámci posílení synergií mezi jednotlivými tematickými oblastmi byly navrženy tzv. průřezové oblasti řešící problematiku napříč </w:t>
      </w:r>
      <w:r w:rsidR="00D04214">
        <w:rPr>
          <w:sz w:val="22"/>
          <w:szCs w:val="22"/>
        </w:rPr>
        <w:t>jednotlivými</w:t>
      </w:r>
      <w:r w:rsidR="00D04214" w:rsidRPr="6A9D794E">
        <w:rPr>
          <w:sz w:val="22"/>
          <w:szCs w:val="22"/>
        </w:rPr>
        <w:t xml:space="preserve"> </w:t>
      </w:r>
      <w:r w:rsidRPr="6A9D794E">
        <w:rPr>
          <w:sz w:val="22"/>
          <w:szCs w:val="22"/>
        </w:rPr>
        <w:t xml:space="preserve">sektory, které doplňují celostní pohled k jednotlivým sektorům. Jedná se o oblasti: </w:t>
      </w:r>
    </w:p>
    <w:p w:rsidR="00053B1D" w:rsidRPr="00671D5F" w:rsidRDefault="00053B1D" w:rsidP="00254F4C">
      <w:pPr>
        <w:pStyle w:val="Odstavecseseznamem"/>
        <w:numPr>
          <w:ilvl w:val="0"/>
          <w:numId w:val="15"/>
        </w:numPr>
        <w:spacing w:before="0" w:after="160" w:line="259" w:lineRule="auto"/>
        <w:rPr>
          <w:rFonts w:ascii="Arial" w:hAnsi="Arial"/>
          <w:sz w:val="22"/>
        </w:rPr>
      </w:pPr>
      <w:r w:rsidRPr="00671D5F">
        <w:rPr>
          <w:rFonts w:ascii="Arial" w:hAnsi="Arial"/>
          <w:sz w:val="22"/>
        </w:rPr>
        <w:t xml:space="preserve">Přizpůsobení se změně klimatu, </w:t>
      </w:r>
    </w:p>
    <w:p w:rsidR="00053B1D" w:rsidRPr="00671D5F" w:rsidRDefault="00053B1D" w:rsidP="00254F4C">
      <w:pPr>
        <w:pStyle w:val="Odstavecseseznamem"/>
        <w:numPr>
          <w:ilvl w:val="0"/>
          <w:numId w:val="15"/>
        </w:numPr>
        <w:spacing w:before="0" w:after="160" w:line="259" w:lineRule="auto"/>
        <w:rPr>
          <w:rFonts w:ascii="Arial" w:hAnsi="Arial"/>
          <w:sz w:val="22"/>
        </w:rPr>
      </w:pPr>
      <w:r w:rsidRPr="00671D5F">
        <w:rPr>
          <w:rFonts w:ascii="Arial" w:hAnsi="Arial"/>
          <w:sz w:val="22"/>
        </w:rPr>
        <w:t xml:space="preserve">Společnost 4.0, </w:t>
      </w:r>
    </w:p>
    <w:p w:rsidR="00053B1D" w:rsidRPr="00671D5F" w:rsidRDefault="00053B1D" w:rsidP="00254F4C">
      <w:pPr>
        <w:pStyle w:val="Odstavecseseznamem"/>
        <w:numPr>
          <w:ilvl w:val="0"/>
          <w:numId w:val="15"/>
        </w:numPr>
        <w:spacing w:before="0" w:after="160" w:line="259" w:lineRule="auto"/>
        <w:rPr>
          <w:rFonts w:ascii="Arial" w:hAnsi="Arial"/>
          <w:sz w:val="22"/>
        </w:rPr>
      </w:pPr>
      <w:r w:rsidRPr="00671D5F">
        <w:rPr>
          <w:rFonts w:ascii="Arial" w:hAnsi="Arial"/>
          <w:sz w:val="22"/>
        </w:rPr>
        <w:t>Územní dimenze.</w:t>
      </w:r>
    </w:p>
    <w:p w:rsidR="00053B1D" w:rsidRPr="00671D5F" w:rsidRDefault="00053B1D" w:rsidP="00053B1D">
      <w:pPr>
        <w:rPr>
          <w:sz w:val="22"/>
        </w:rPr>
      </w:pPr>
      <w:r w:rsidRPr="00671D5F">
        <w:rPr>
          <w:sz w:val="22"/>
        </w:rPr>
        <w:t>Tyto průřezové oblasti navzájem akcentují celospolečenské výzvy ČR v kontextu globálních a evropských trendů.</w:t>
      </w:r>
      <w:r w:rsidR="003F44C6">
        <w:rPr>
          <w:sz w:val="22"/>
        </w:rPr>
        <w:t xml:space="preserve"> </w:t>
      </w:r>
      <w:r w:rsidR="00AE2BE0" w:rsidRPr="00590FD1">
        <w:rPr>
          <w:iCs/>
          <w:sz w:val="22"/>
        </w:rPr>
        <w:t>Samozřejmě je možné identifikovat další průřezová důležitá témata, jako například rovnost žen a mužů nebo dodržování základních lidských práv a principy právního státu obecně. Tato témata jsou také součástí tzv. základních podmínek, které je členský stát, který chce využívat finanční podporu z EU fondů, povinen dodržovat.</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50" w:name="_Toc7774213"/>
      <w:bookmarkStart w:id="51" w:name="_Toc13828210"/>
      <w:r w:rsidRPr="003D45AD">
        <w:rPr>
          <w:sz w:val="22"/>
        </w:rPr>
        <w:t>Přizpůsobení se změně klimatu</w:t>
      </w:r>
      <w:bookmarkEnd w:id="50"/>
      <w:bookmarkEnd w:id="51"/>
    </w:p>
    <w:p w:rsidR="54923E25" w:rsidRDefault="54923E25" w:rsidP="54923E25">
      <w:pPr>
        <w:rPr>
          <w:rFonts w:eastAsia="Calibri"/>
          <w:sz w:val="22"/>
          <w:szCs w:val="22"/>
        </w:rPr>
      </w:pPr>
      <w:r w:rsidRPr="54923E25">
        <w:rPr>
          <w:sz w:val="22"/>
          <w:szCs w:val="22"/>
        </w:rPr>
        <w:t xml:space="preserve">V roce 2015 byla smluvními stranami Rámcové úmluvy OSN o změně klimatu přijata Pařížská dohoda. Dohoda provádí ustanovení Úmluvy a po roce 2020 má nahradit dosud platný Kjótský protokol. V rámci Pařížské dohody se ČR jako člen EU přihlásila s ostatními členskými státy EU </w:t>
      </w:r>
      <w:r w:rsidR="00735CA3">
        <w:rPr>
          <w:sz w:val="22"/>
          <w:szCs w:val="22"/>
        </w:rPr>
        <w:t xml:space="preserve">k závazku </w:t>
      </w:r>
      <w:r w:rsidRPr="54923E25">
        <w:rPr>
          <w:sz w:val="22"/>
          <w:szCs w:val="22"/>
        </w:rPr>
        <w:t>společně snížit do roku 2030 emise skleníkových plynů o nejméně 40</w:t>
      </w:r>
      <w:r w:rsidR="00020D76">
        <w:rPr>
          <w:sz w:val="22"/>
          <w:szCs w:val="22"/>
        </w:rPr>
        <w:t> </w:t>
      </w:r>
      <w:r w:rsidRPr="54923E25">
        <w:rPr>
          <w:sz w:val="22"/>
          <w:szCs w:val="22"/>
        </w:rPr>
        <w:t>%</w:t>
      </w:r>
      <w:r w:rsidR="00020D76">
        <w:rPr>
          <w:sz w:val="22"/>
          <w:szCs w:val="22"/>
        </w:rPr>
        <w:t> </w:t>
      </w:r>
      <w:r w:rsidRPr="54923E25">
        <w:rPr>
          <w:sz w:val="22"/>
          <w:szCs w:val="22"/>
        </w:rPr>
        <w:t>ve srovnání s rokem 1990. Přistoupením k Dohodě a k tomuto závazku bude naplňovat společný cíl EU a jejích členských států, který byl přijat Evropskou radou jako součást závěrů Evropské rady k Rámci politiky v oblasti klimatu a energetiky do roku 2030 schválených dne 24. října 2014. V říjnu 2015 byla vládou schválená Strategie přizpůsobení se změně klimatu v podmínkách ČR, která kromě zhodnocení pravděpodobných dopadů změny klimatu obsahuje návrhy konkrétních adaptačních opatření a je dále implementována Národním akčním plánem adaptace na změnu klimatu.</w:t>
      </w:r>
    </w:p>
    <w:p w:rsidR="00053B1D" w:rsidRPr="007D672F" w:rsidRDefault="00087972" w:rsidP="007D672F">
      <w:pPr>
        <w:rPr>
          <w:sz w:val="22"/>
          <w:szCs w:val="22"/>
        </w:rPr>
      </w:pPr>
      <w:r w:rsidRPr="00BD2246">
        <w:rPr>
          <w:sz w:val="22"/>
          <w:szCs w:val="22"/>
        </w:rPr>
        <w:t xml:space="preserve">Vzhledem k tomu, že adaptační opatření budou v souhrnu náročná na investice, </w:t>
      </w:r>
      <w:r w:rsidR="00735CA3">
        <w:rPr>
          <w:sz w:val="22"/>
          <w:szCs w:val="22"/>
        </w:rPr>
        <w:t xml:space="preserve">hraje </w:t>
      </w:r>
      <w:r w:rsidRPr="00BD2246">
        <w:rPr>
          <w:sz w:val="22"/>
          <w:szCs w:val="22"/>
        </w:rPr>
        <w:t xml:space="preserve">při jejich zavádění a prosazování významnou úlohu dostupnost finančních zdrojů jak národních, tak podpor z </w:t>
      </w:r>
      <w:r w:rsidR="008C143C">
        <w:rPr>
          <w:sz w:val="22"/>
          <w:szCs w:val="22"/>
        </w:rPr>
        <w:t>fondů EU</w:t>
      </w:r>
      <w:r w:rsidR="54923E25" w:rsidRPr="54923E25">
        <w:rPr>
          <w:sz w:val="22"/>
          <w:szCs w:val="22"/>
        </w:rPr>
        <w:t>. Investice v dlouhodobém horizontu násobně sníží náklady na řešení negativních dopadů změny klimatu v případě nečinnosti nebo zajistí udržitelné zisky z</w:t>
      </w:r>
      <w:r>
        <w:rPr>
          <w:sz w:val="22"/>
          <w:szCs w:val="22"/>
        </w:rPr>
        <w:t> </w:t>
      </w:r>
      <w:r w:rsidR="54923E25" w:rsidRPr="54923E25">
        <w:rPr>
          <w:sz w:val="22"/>
          <w:szCs w:val="22"/>
        </w:rPr>
        <w:t>hospodaření</w:t>
      </w:r>
      <w:r>
        <w:rPr>
          <w:sz w:val="22"/>
          <w:szCs w:val="22"/>
        </w:rPr>
        <w:t xml:space="preserve"> </w:t>
      </w:r>
      <w:r w:rsidRPr="00BD2246">
        <w:rPr>
          <w:sz w:val="22"/>
          <w:szCs w:val="22"/>
        </w:rPr>
        <w:t>s přírodními zdroji</w:t>
      </w:r>
      <w:r w:rsidR="54923E25" w:rsidRPr="54923E25">
        <w:rPr>
          <w:sz w:val="22"/>
          <w:szCs w:val="22"/>
        </w:rPr>
        <w:t xml:space="preserve"> (např. v lesnictví a zemědělství), jejichž výnosy by z</w:t>
      </w:r>
      <w:r w:rsidR="00012E8E">
        <w:rPr>
          <w:sz w:val="22"/>
          <w:szCs w:val="22"/>
        </w:rPr>
        <w:t> </w:t>
      </w:r>
      <w:r w:rsidR="54923E25" w:rsidRPr="54923E25">
        <w:rPr>
          <w:sz w:val="22"/>
          <w:szCs w:val="22"/>
        </w:rPr>
        <w:t xml:space="preserve">důvodu negativních dopadů klesaly. Náklady za případnou nečinnost, resp. nepřizpůsobení se očekáváným změnám by byly vysoké. </w:t>
      </w:r>
      <w:r w:rsidR="003246D6" w:rsidRPr="00ED0665">
        <w:rPr>
          <w:sz w:val="22"/>
          <w:szCs w:val="22"/>
        </w:rPr>
        <w:t xml:space="preserve">Adaptace na následky dopadů změn klimatu se odrazí do hospodaření na zemědělské půdě, </w:t>
      </w:r>
      <w:r w:rsidR="00735CA3">
        <w:rPr>
          <w:sz w:val="22"/>
          <w:szCs w:val="22"/>
        </w:rPr>
        <w:t xml:space="preserve">do </w:t>
      </w:r>
      <w:r w:rsidR="003246D6" w:rsidRPr="00ED0665">
        <w:rPr>
          <w:sz w:val="22"/>
          <w:szCs w:val="22"/>
        </w:rPr>
        <w:t xml:space="preserve">úprav vodního režimu, </w:t>
      </w:r>
      <w:r w:rsidR="00735CA3">
        <w:rPr>
          <w:sz w:val="22"/>
          <w:szCs w:val="22"/>
        </w:rPr>
        <w:t xml:space="preserve">do </w:t>
      </w:r>
      <w:r w:rsidR="003246D6" w:rsidRPr="00ED0665">
        <w:rPr>
          <w:sz w:val="22"/>
          <w:szCs w:val="22"/>
        </w:rPr>
        <w:t>zachycování</w:t>
      </w:r>
      <w:r w:rsidR="00735CA3">
        <w:rPr>
          <w:sz w:val="22"/>
          <w:szCs w:val="22"/>
        </w:rPr>
        <w:t xml:space="preserve"> a</w:t>
      </w:r>
      <w:r w:rsidR="003246D6" w:rsidRPr="00ED0665">
        <w:rPr>
          <w:sz w:val="22"/>
          <w:szCs w:val="22"/>
        </w:rPr>
        <w:t xml:space="preserve"> využívání srážkové vody, </w:t>
      </w:r>
      <w:r w:rsidR="00735CA3">
        <w:rPr>
          <w:sz w:val="22"/>
          <w:szCs w:val="22"/>
        </w:rPr>
        <w:t xml:space="preserve">do </w:t>
      </w:r>
      <w:r w:rsidR="003246D6" w:rsidRPr="00ED0665">
        <w:rPr>
          <w:sz w:val="22"/>
          <w:szCs w:val="22"/>
        </w:rPr>
        <w:t>revitalizac</w:t>
      </w:r>
      <w:r w:rsidR="00735CA3">
        <w:rPr>
          <w:sz w:val="22"/>
          <w:szCs w:val="22"/>
        </w:rPr>
        <w:t>í</w:t>
      </w:r>
      <w:r w:rsidR="003246D6" w:rsidRPr="00ED0665">
        <w:rPr>
          <w:sz w:val="22"/>
          <w:szCs w:val="22"/>
        </w:rPr>
        <w:t xml:space="preserve"> vodních toků</w:t>
      </w:r>
      <w:r w:rsidR="00735CA3">
        <w:rPr>
          <w:sz w:val="22"/>
          <w:szCs w:val="22"/>
        </w:rPr>
        <w:t xml:space="preserve"> ve volné krajině</w:t>
      </w:r>
      <w:r w:rsidR="003246D6" w:rsidRPr="00ED0665">
        <w:rPr>
          <w:sz w:val="22"/>
          <w:szCs w:val="22"/>
        </w:rPr>
        <w:t xml:space="preserve"> i ve městech</w:t>
      </w:r>
      <w:r w:rsidR="00735CA3">
        <w:rPr>
          <w:sz w:val="22"/>
          <w:szCs w:val="22"/>
        </w:rPr>
        <w:t xml:space="preserve"> a obcích</w:t>
      </w:r>
      <w:r w:rsidR="003246D6" w:rsidRPr="00ED0665">
        <w:rPr>
          <w:sz w:val="22"/>
          <w:szCs w:val="22"/>
        </w:rPr>
        <w:t xml:space="preserve"> a zvýšení množství vody ve veřejném prostoru,</w:t>
      </w:r>
      <w:r w:rsidR="00735CA3">
        <w:rPr>
          <w:sz w:val="22"/>
          <w:szCs w:val="22"/>
        </w:rPr>
        <w:t xml:space="preserve"> do</w:t>
      </w:r>
      <w:r w:rsidR="003246D6" w:rsidRPr="00ED0665">
        <w:rPr>
          <w:sz w:val="22"/>
          <w:szCs w:val="22"/>
        </w:rPr>
        <w:t xml:space="preserve"> naklád</w:t>
      </w:r>
      <w:r w:rsidR="00735CA3">
        <w:rPr>
          <w:sz w:val="22"/>
          <w:szCs w:val="22"/>
        </w:rPr>
        <w:t>á</w:t>
      </w:r>
      <w:r w:rsidR="003246D6" w:rsidRPr="00ED0665">
        <w:rPr>
          <w:sz w:val="22"/>
          <w:szCs w:val="22"/>
        </w:rPr>
        <w:t>ní s vodou v</w:t>
      </w:r>
      <w:r w:rsidR="009256FC">
        <w:rPr>
          <w:sz w:val="22"/>
          <w:szCs w:val="22"/>
        </w:rPr>
        <w:t> </w:t>
      </w:r>
      <w:r w:rsidR="003246D6" w:rsidRPr="007D672F">
        <w:rPr>
          <w:sz w:val="22"/>
          <w:szCs w:val="22"/>
        </w:rPr>
        <w:t>průmyslu</w:t>
      </w:r>
      <w:r w:rsidR="009256FC">
        <w:rPr>
          <w:sz w:val="22"/>
          <w:szCs w:val="22"/>
        </w:rPr>
        <w:t>, ve službách, veřejných budovách</w:t>
      </w:r>
      <w:r w:rsidR="003246D6" w:rsidRPr="007D672F">
        <w:rPr>
          <w:sz w:val="22"/>
          <w:szCs w:val="22"/>
        </w:rPr>
        <w:t xml:space="preserve"> a </w:t>
      </w:r>
      <w:r w:rsidR="003246D6" w:rsidRPr="00ED0665">
        <w:rPr>
          <w:sz w:val="22"/>
          <w:szCs w:val="22"/>
        </w:rPr>
        <w:t>domácnostech a také do podoby územního plánování.</w:t>
      </w:r>
      <w:r w:rsidR="00ED0665">
        <w:rPr>
          <w:sz w:val="22"/>
          <w:szCs w:val="22"/>
        </w:rPr>
        <w:t xml:space="preserve"> </w:t>
      </w:r>
      <w:r w:rsidR="00A27CEA" w:rsidRPr="00BD2246">
        <w:rPr>
          <w:sz w:val="22"/>
          <w:szCs w:val="22"/>
        </w:rPr>
        <w:t>Změna klimatu je jedním z významných faktorů, které přispívají také k rostoucí frekvenci a komplexnosti hrozeb a</w:t>
      </w:r>
      <w:r w:rsidR="00012E8E">
        <w:rPr>
          <w:sz w:val="22"/>
          <w:szCs w:val="22"/>
        </w:rPr>
        <w:t> </w:t>
      </w:r>
      <w:r w:rsidR="00A27CEA" w:rsidRPr="00BD2246">
        <w:rPr>
          <w:sz w:val="22"/>
          <w:szCs w:val="22"/>
        </w:rPr>
        <w:t xml:space="preserve">z </w:t>
      </w:r>
      <w:r w:rsidR="00012E8E">
        <w:rPr>
          <w:sz w:val="22"/>
          <w:szCs w:val="22"/>
        </w:rPr>
        <w:t> </w:t>
      </w:r>
      <w:r w:rsidR="00A27CEA" w:rsidRPr="00BD2246">
        <w:rPr>
          <w:sz w:val="22"/>
          <w:szCs w:val="22"/>
        </w:rPr>
        <w:t>nich plynoucích rizik, a bude proto vyžadovat také opatření při řešení rizik a</w:t>
      </w:r>
      <w:r w:rsidR="00012E8E">
        <w:rPr>
          <w:sz w:val="22"/>
          <w:szCs w:val="22"/>
        </w:rPr>
        <w:t> </w:t>
      </w:r>
      <w:r w:rsidR="00A27CEA" w:rsidRPr="00BD2246">
        <w:rPr>
          <w:sz w:val="22"/>
          <w:szCs w:val="22"/>
        </w:rPr>
        <w:t>mimořádných událostí, které budou vznikat v důsledku změny klimatu.</w:t>
      </w:r>
    </w:p>
    <w:p w:rsidR="00053B1D" w:rsidRPr="003D45AD" w:rsidRDefault="00053B1D" w:rsidP="00254F4C">
      <w:pPr>
        <w:pStyle w:val="Nadpis3"/>
        <w:keepLines/>
        <w:numPr>
          <w:ilvl w:val="2"/>
          <w:numId w:val="9"/>
        </w:numPr>
        <w:tabs>
          <w:tab w:val="clear" w:pos="1985"/>
        </w:tabs>
        <w:spacing w:before="240" w:after="120" w:line="259" w:lineRule="auto"/>
        <w:ind w:left="425" w:hanging="425"/>
        <w:jc w:val="left"/>
        <w:rPr>
          <w:sz w:val="22"/>
        </w:rPr>
      </w:pPr>
      <w:bookmarkStart w:id="52" w:name="_Toc7774214"/>
      <w:bookmarkStart w:id="53" w:name="_Toc13828211"/>
      <w:r w:rsidRPr="003D45AD">
        <w:rPr>
          <w:sz w:val="22"/>
        </w:rPr>
        <w:t>Společnost 4.0</w:t>
      </w:r>
      <w:bookmarkEnd w:id="52"/>
      <w:bookmarkEnd w:id="53"/>
    </w:p>
    <w:p w:rsidR="00053B1D" w:rsidRPr="00671D5F" w:rsidRDefault="00053B1D" w:rsidP="00053B1D">
      <w:pPr>
        <w:rPr>
          <w:sz w:val="22"/>
        </w:rPr>
      </w:pPr>
      <w:r w:rsidRPr="00671D5F">
        <w:rPr>
          <w:sz w:val="22"/>
        </w:rPr>
        <w:t xml:space="preserve">Změny probíhající v průmyslové výrobě </w:t>
      </w:r>
      <w:r w:rsidR="00735CA3">
        <w:rPr>
          <w:sz w:val="22"/>
        </w:rPr>
        <w:t>v důsledku</w:t>
      </w:r>
      <w:r w:rsidR="00735CA3" w:rsidRPr="00671D5F">
        <w:rPr>
          <w:sz w:val="22"/>
        </w:rPr>
        <w:t xml:space="preserve"> </w:t>
      </w:r>
      <w:r w:rsidRPr="00671D5F">
        <w:rPr>
          <w:sz w:val="22"/>
        </w:rPr>
        <w:t xml:space="preserve">její vzrůstající digitalizaci </w:t>
      </w:r>
      <w:r w:rsidR="005D4868">
        <w:rPr>
          <w:sz w:val="22"/>
        </w:rPr>
        <w:br/>
      </w:r>
      <w:r w:rsidRPr="00671D5F">
        <w:rPr>
          <w:sz w:val="22"/>
        </w:rPr>
        <w:t>a automatizaci leží v</w:t>
      </w:r>
      <w:r w:rsidR="00012E8E">
        <w:rPr>
          <w:sz w:val="22"/>
        </w:rPr>
        <w:t> </w:t>
      </w:r>
      <w:r w:rsidRPr="00671D5F">
        <w:rPr>
          <w:sz w:val="22"/>
        </w:rPr>
        <w:t xml:space="preserve">jádru procesu směřujícího ke Společnosti 4.0. Společenské dopady Průmyslu 4.0 je třeba řádně a včas podchytit a vyhnout se tak rizikům, která mohou ze čtvrté průmyslové revoluce pro ekonomiku a společnost vyplynout. To se týká zejména trhu práce (Iniciativa MPSV Práce </w:t>
      </w:r>
      <w:r w:rsidRPr="00ED0665">
        <w:rPr>
          <w:sz w:val="22"/>
        </w:rPr>
        <w:t xml:space="preserve">4.0) a vzdělávání </w:t>
      </w:r>
      <w:r w:rsidRPr="00ED0665">
        <w:rPr>
          <w:sz w:val="22"/>
          <w:szCs w:val="22"/>
        </w:rPr>
        <w:t>(</w:t>
      </w:r>
      <w:r w:rsidR="0019419B" w:rsidRPr="00ED0665">
        <w:rPr>
          <w:sz w:val="22"/>
          <w:szCs w:val="22"/>
        </w:rPr>
        <w:t>Strategie vzd</w:t>
      </w:r>
      <w:r w:rsidR="007D672F">
        <w:rPr>
          <w:sz w:val="22"/>
          <w:szCs w:val="22"/>
        </w:rPr>
        <w:t>ělávací politiky ČR</w:t>
      </w:r>
      <w:r w:rsidR="0019419B" w:rsidRPr="00ED0665">
        <w:rPr>
          <w:sz w:val="22"/>
          <w:szCs w:val="22"/>
        </w:rPr>
        <w:t xml:space="preserve"> do roku 2020)</w:t>
      </w:r>
      <w:r w:rsidRPr="00ED0665">
        <w:rPr>
          <w:sz w:val="22"/>
        </w:rPr>
        <w:t xml:space="preserve">. </w:t>
      </w:r>
      <w:r w:rsidR="005874C3" w:rsidRPr="00590FD1">
        <w:rPr>
          <w:sz w:val="22"/>
          <w:szCs w:val="22"/>
        </w:rPr>
        <w:t>Jedná se však i o celý systém poskytování veřejných služeb, včetně služeb veřejné správy.</w:t>
      </w:r>
      <w:r w:rsidRPr="005874C3">
        <w:rPr>
          <w:sz w:val="22"/>
        </w:rPr>
        <w:t xml:space="preserve"> </w:t>
      </w:r>
      <w:r w:rsidRPr="00ED0665">
        <w:rPr>
          <w:sz w:val="22"/>
        </w:rPr>
        <w:t xml:space="preserve">Je evidentní, </w:t>
      </w:r>
      <w:r w:rsidRPr="00671D5F">
        <w:rPr>
          <w:sz w:val="22"/>
        </w:rPr>
        <w:t>že problematika Společnosti 4.0 je striktně meziresortní a mezioborovou agendou.</w:t>
      </w:r>
      <w:r w:rsidR="005874C3" w:rsidRPr="005874C3">
        <w:rPr>
          <w:sz w:val="22"/>
          <w:szCs w:val="22"/>
        </w:rPr>
        <w:t xml:space="preserve"> </w:t>
      </w:r>
      <w:r w:rsidR="005874C3" w:rsidRPr="00590FD1">
        <w:rPr>
          <w:sz w:val="22"/>
          <w:szCs w:val="22"/>
        </w:rPr>
        <w:t>Rovněž je nutné reflektovat rozdílnou připravenost jednotlivých typů území (venkovské periferní oblasti vs. rozvojová centra) rychle přijmout a osvojit si výdobytky, které pokročilá digitalizace přináší.</w:t>
      </w:r>
    </w:p>
    <w:p w:rsidR="00053B1D" w:rsidRPr="00590FD1" w:rsidRDefault="00053B1D" w:rsidP="001522AF">
      <w:pPr>
        <w:spacing w:before="40" w:after="60"/>
      </w:pPr>
      <w:r w:rsidRPr="00671D5F">
        <w:rPr>
          <w:sz w:val="22"/>
        </w:rPr>
        <w:t>V rámci vytváření Společnosti 4.0 bude třeba brát do úvahy vazby mezi výrobními průmyslovými systémy, dopravními sítěmi, energetickými systémy či systémy zásobování surovinami, ale také systémy sociálním</w:t>
      </w:r>
      <w:r w:rsidRPr="00D841D7">
        <w:rPr>
          <w:sz w:val="22"/>
          <w:szCs w:val="22"/>
        </w:rPr>
        <w:t>i</w:t>
      </w:r>
      <w:r w:rsidR="005874C3" w:rsidRPr="00590FD1">
        <w:rPr>
          <w:sz w:val="22"/>
          <w:szCs w:val="22"/>
        </w:rPr>
        <w:t xml:space="preserve"> způsoby poskytování veřejných služeb a zajišťování výkonu veřejné správy a dopadů na život komunit</w:t>
      </w:r>
      <w:r w:rsidRPr="00D841D7">
        <w:rPr>
          <w:sz w:val="22"/>
          <w:szCs w:val="22"/>
        </w:rPr>
        <w:t>.</w:t>
      </w:r>
      <w:r w:rsidRPr="001954AC">
        <w:rPr>
          <w:sz w:val="22"/>
          <w:szCs w:val="22"/>
        </w:rPr>
        <w:t xml:space="preserve"> </w:t>
      </w:r>
      <w:r w:rsidRPr="00671D5F">
        <w:rPr>
          <w:sz w:val="22"/>
        </w:rPr>
        <w:t xml:space="preserve">Mezi těmito systémy v posledním období vzrůstá dynamická interakce, která je stimulována integrací na informatické úrovni. Nástup nových technologií mění celé hodnotové </w:t>
      </w:r>
      <w:r w:rsidR="001522AF" w:rsidRPr="005874C3">
        <w:rPr>
          <w:sz w:val="22"/>
        </w:rPr>
        <w:t>řet</w:t>
      </w:r>
      <w:r w:rsidR="001522AF">
        <w:rPr>
          <w:sz w:val="22"/>
        </w:rPr>
        <w:t>ězce</w:t>
      </w:r>
      <w:r w:rsidRPr="00671D5F">
        <w:rPr>
          <w:sz w:val="22"/>
        </w:rPr>
        <w:t>, vytváří příležitosti pro nové obchodní modely, ale i</w:t>
      </w:r>
      <w:r w:rsidR="005874C3">
        <w:rPr>
          <w:sz w:val="22"/>
        </w:rPr>
        <w:t xml:space="preserve"> </w:t>
      </w:r>
      <w:r w:rsidRPr="00671D5F">
        <w:rPr>
          <w:sz w:val="22"/>
        </w:rPr>
        <w:t>tlak na flexibilitu moderní průmyslové výroby nebo zvýšené nároky na kybernetickou bezpečnost a interdisciplinaritu přístupu</w:t>
      </w:r>
      <w:r w:rsidRPr="00D841D7">
        <w:rPr>
          <w:sz w:val="22"/>
          <w:szCs w:val="22"/>
        </w:rPr>
        <w:t>.</w:t>
      </w:r>
      <w:r w:rsidR="005874C3" w:rsidRPr="001954AC">
        <w:rPr>
          <w:sz w:val="22"/>
          <w:szCs w:val="22"/>
        </w:rPr>
        <w:t xml:space="preserve"> </w:t>
      </w:r>
      <w:r w:rsidR="005874C3" w:rsidRPr="00590FD1">
        <w:rPr>
          <w:sz w:val="22"/>
          <w:szCs w:val="22"/>
        </w:rPr>
        <w:t>Rozvoj internetu věcí zasahuje nejen do fungování jednotlivých ekonomických odvětví, ale ovlivní i chod domácností, proměňuje život komunit.</w:t>
      </w:r>
      <w:r w:rsidR="005874C3" w:rsidRPr="00590FD1">
        <w:t xml:space="preserve"> </w:t>
      </w:r>
    </w:p>
    <w:p w:rsidR="00D4319F" w:rsidRPr="00F41D0E" w:rsidRDefault="00D4319F" w:rsidP="00053B1D">
      <w:pPr>
        <w:rPr>
          <w:rFonts w:ascii="Calibri" w:eastAsia="Calibri" w:hAnsi="Calibri" w:cs="Calibri"/>
          <w:sz w:val="22"/>
          <w:szCs w:val="22"/>
        </w:rPr>
      </w:pPr>
      <w:r w:rsidRPr="00F41D0E">
        <w:rPr>
          <w:sz w:val="22"/>
          <w:szCs w:val="22"/>
        </w:rPr>
        <w:t>Společnost 4.0 je podmíněna dobrou dostupností připojení k internetu, ať již mobilními sítěmi 5 generace tak vysokokapacitními sítěmi pro přístup k internetu v pevném místě.  Taková infrastruktura umožní celoplošnou dostupnost digitálních služeb, bude reagovat na rostoucí přenášené objemy dat</w:t>
      </w:r>
      <w:r w:rsidR="005874C3" w:rsidRPr="005874C3">
        <w:rPr>
          <w:sz w:val="22"/>
          <w:szCs w:val="22"/>
        </w:rPr>
        <w:t xml:space="preserve"> ve výrobní i obslužné sféře</w:t>
      </w:r>
      <w:r w:rsidRPr="00F41D0E">
        <w:rPr>
          <w:sz w:val="22"/>
          <w:szCs w:val="22"/>
        </w:rPr>
        <w:t>, a zvýší nezávislost služeb na místě, zejm. umožní rozšíření autonomní mobility.</w:t>
      </w:r>
      <w:r w:rsidR="006A089A">
        <w:rPr>
          <w:sz w:val="22"/>
          <w:szCs w:val="22"/>
        </w:rPr>
        <w:t xml:space="preserve"> </w:t>
      </w:r>
      <w:r w:rsidR="006A089A" w:rsidRPr="00590FD1">
        <w:rPr>
          <w:sz w:val="22"/>
          <w:szCs w:val="22"/>
        </w:rPr>
        <w:t>Společnost 4.0 musí zohlednit i nové hrozby a jejich možné synergické účinky způsobené propojením a návazností jednotlivých systémů a jejich závislosti na informačních systémech</w:t>
      </w:r>
      <w:r w:rsidR="00597E3C" w:rsidRPr="00597E3C">
        <w:rPr>
          <w:sz w:val="22"/>
          <w:szCs w:val="22"/>
        </w:rPr>
        <w:t xml:space="preserve">. </w:t>
      </w:r>
      <w:r w:rsidR="00597E3C" w:rsidRPr="00590FD1">
        <w:rPr>
          <w:sz w:val="22"/>
          <w:szCs w:val="22"/>
        </w:rPr>
        <w:t xml:space="preserve">Společnost 4.0 není </w:t>
      </w:r>
      <w:r w:rsidR="00597E3C">
        <w:rPr>
          <w:sz w:val="22"/>
          <w:szCs w:val="22"/>
        </w:rPr>
        <w:t xml:space="preserve">však také </w:t>
      </w:r>
      <w:r w:rsidR="00597E3C" w:rsidRPr="00590FD1">
        <w:rPr>
          <w:sz w:val="22"/>
          <w:szCs w:val="22"/>
        </w:rPr>
        <w:t>jen o technologiích, ale je svázána s kritickým myšlením</w:t>
      </w:r>
      <w:r w:rsidR="00597E3C">
        <w:rPr>
          <w:sz w:val="22"/>
          <w:szCs w:val="22"/>
        </w:rPr>
        <w:t xml:space="preserve"> lidí</w:t>
      </w:r>
      <w:r w:rsidR="00597E3C" w:rsidRPr="00590FD1">
        <w:rPr>
          <w:sz w:val="22"/>
          <w:szCs w:val="22"/>
        </w:rPr>
        <w:t>, schopností informace filtrovat, kriticky posuzovat, aplikovat. To je nejzásadnější úskalí mající vliv na schopnost efektivně pracovat, ale také fungovat jako občan ve složité realitě (dluhová past, extremismus).</w:t>
      </w:r>
    </w:p>
    <w:p w:rsidR="2D57A07C" w:rsidRDefault="2D57A07C" w:rsidP="00254F4C">
      <w:pPr>
        <w:pStyle w:val="Nadpis3"/>
        <w:numPr>
          <w:ilvl w:val="2"/>
          <w:numId w:val="9"/>
        </w:numPr>
        <w:tabs>
          <w:tab w:val="clear" w:pos="1985"/>
        </w:tabs>
        <w:spacing w:before="240" w:after="120" w:line="259" w:lineRule="auto"/>
        <w:ind w:left="425" w:hanging="425"/>
        <w:jc w:val="left"/>
        <w:rPr>
          <w:sz w:val="22"/>
          <w:szCs w:val="22"/>
        </w:rPr>
      </w:pPr>
      <w:bookmarkStart w:id="54" w:name="_Toc7774215"/>
      <w:bookmarkStart w:id="55" w:name="_Toc13828212"/>
      <w:r w:rsidRPr="2D57A07C">
        <w:rPr>
          <w:rFonts w:eastAsia="Arial"/>
          <w:sz w:val="22"/>
          <w:szCs w:val="22"/>
        </w:rPr>
        <w:t>Územní dimenze</w:t>
      </w:r>
      <w:bookmarkEnd w:id="54"/>
      <w:bookmarkEnd w:id="55"/>
    </w:p>
    <w:p w:rsidR="2D57A07C" w:rsidRPr="0076363A" w:rsidRDefault="004B428D" w:rsidP="2D57A07C">
      <w:pPr>
        <w:spacing w:after="160" w:line="259" w:lineRule="auto"/>
        <w:rPr>
          <w:rFonts w:eastAsia="Arial"/>
          <w:sz w:val="22"/>
          <w:szCs w:val="22"/>
        </w:rPr>
      </w:pPr>
      <w:r w:rsidRPr="009317BD">
        <w:rPr>
          <w:sz w:val="22"/>
          <w:szCs w:val="22"/>
        </w:rPr>
        <w:t>Metropolitní oblasti a centra aglomerací významněji ekonomicky rostou a přibližují se evropskému průměru v ekonomických ukazatelích. Prioritou pro jejich rozvoj je vybudování dostatečné kapacity veřejných služeb, podpora inovačních technologií a inovačního podnikání a tomu odpovídající zvýšení úrovně vzdělávání, a zároveň odolávání zvýšené</w:t>
      </w:r>
      <w:r w:rsidR="004862EA">
        <w:rPr>
          <w:sz w:val="22"/>
          <w:szCs w:val="22"/>
        </w:rPr>
        <w:t>mu</w:t>
      </w:r>
      <w:r w:rsidRPr="009317BD">
        <w:rPr>
          <w:sz w:val="22"/>
          <w:szCs w:val="22"/>
        </w:rPr>
        <w:t xml:space="preserve"> tlaku na životní prostředí spojené s jejich rozvojem</w:t>
      </w:r>
      <w:r>
        <w:rPr>
          <w:rFonts w:eastAsia="Arial"/>
          <w:sz w:val="22"/>
          <w:szCs w:val="22"/>
        </w:rPr>
        <w:t>. Například p</w:t>
      </w:r>
      <w:r w:rsidR="2D57A07C" w:rsidRPr="2D57A07C">
        <w:rPr>
          <w:rFonts w:eastAsia="Arial"/>
          <w:sz w:val="22"/>
          <w:szCs w:val="22"/>
        </w:rPr>
        <w:t>opulace Středočeského kraje se rychle zvyšuje, k čemuž značně přispívá nedostatečná bytová výstavba v hl</w:t>
      </w:r>
      <w:r>
        <w:rPr>
          <w:rFonts w:eastAsia="Arial"/>
          <w:sz w:val="22"/>
          <w:szCs w:val="22"/>
        </w:rPr>
        <w:t>avním</w:t>
      </w:r>
      <w:r w:rsidR="2D57A07C" w:rsidRPr="2D57A07C">
        <w:rPr>
          <w:rFonts w:eastAsia="Arial"/>
          <w:sz w:val="22"/>
          <w:szCs w:val="22"/>
        </w:rPr>
        <w:t xml:space="preserve"> m</w:t>
      </w:r>
      <w:r>
        <w:rPr>
          <w:rFonts w:eastAsia="Arial"/>
          <w:sz w:val="22"/>
          <w:szCs w:val="22"/>
        </w:rPr>
        <w:t>ěstě</w:t>
      </w:r>
      <w:r w:rsidR="2D57A07C" w:rsidRPr="2D57A07C">
        <w:rPr>
          <w:rFonts w:eastAsia="Arial"/>
          <w:sz w:val="22"/>
          <w:szCs w:val="22"/>
        </w:rPr>
        <w:t xml:space="preserve">. </w:t>
      </w:r>
      <w:r>
        <w:rPr>
          <w:rFonts w:eastAsia="Arial"/>
          <w:sz w:val="22"/>
          <w:szCs w:val="22"/>
        </w:rPr>
        <w:t>Naopak p</w:t>
      </w:r>
      <w:r w:rsidR="2D57A07C" w:rsidRPr="2D57A07C">
        <w:rPr>
          <w:rFonts w:eastAsia="Arial"/>
          <w:sz w:val="22"/>
          <w:szCs w:val="22"/>
        </w:rPr>
        <w:t xml:space="preserve">oměrně významný populační úbytek zaznamenávají periferní venkovské oblasti. Velmi znatelný je pokles populace především v obcích do 100 obyvatel mimo zázemí větších měst. Dostupné studie potvrzují napříč kraji významnou roli malých a středních měst, jejichž síť je v českém prostředí poměrně hustá. Socioekonomická situace malých a středních měst je </w:t>
      </w:r>
      <w:r w:rsidR="004862EA">
        <w:rPr>
          <w:rFonts w:eastAsia="Arial"/>
          <w:sz w:val="22"/>
          <w:szCs w:val="22"/>
        </w:rPr>
        <w:t>zá</w:t>
      </w:r>
      <w:r w:rsidR="2D57A07C" w:rsidRPr="2D57A07C">
        <w:rPr>
          <w:rFonts w:eastAsia="Arial"/>
          <w:sz w:val="22"/>
          <w:szCs w:val="22"/>
        </w:rPr>
        <w:t xml:space="preserve">vislá </w:t>
      </w:r>
      <w:r w:rsidR="004862EA">
        <w:rPr>
          <w:rFonts w:eastAsia="Arial"/>
          <w:sz w:val="22"/>
          <w:szCs w:val="22"/>
        </w:rPr>
        <w:t>na</w:t>
      </w:r>
      <w:r w:rsidR="004862EA" w:rsidRPr="2D57A07C">
        <w:rPr>
          <w:rFonts w:eastAsia="Arial"/>
          <w:sz w:val="22"/>
          <w:szCs w:val="22"/>
        </w:rPr>
        <w:t xml:space="preserve"> </w:t>
      </w:r>
      <w:r w:rsidR="2D57A07C" w:rsidRPr="2D57A07C">
        <w:rPr>
          <w:rFonts w:eastAsia="Arial"/>
          <w:sz w:val="22"/>
          <w:szCs w:val="22"/>
        </w:rPr>
        <w:t>jejich populační velikosti i geografické polo</w:t>
      </w:r>
      <w:r w:rsidR="004862EA">
        <w:rPr>
          <w:rFonts w:eastAsia="Arial"/>
          <w:sz w:val="22"/>
          <w:szCs w:val="22"/>
        </w:rPr>
        <w:t>ze</w:t>
      </w:r>
      <w:r w:rsidR="2D57A07C" w:rsidRPr="2D57A07C">
        <w:rPr>
          <w:rFonts w:eastAsia="Arial"/>
          <w:sz w:val="22"/>
          <w:szCs w:val="22"/>
        </w:rPr>
        <w:t xml:space="preserve"> vůči hlavním střediskům osídlení a rozvojovým osám, a nelze ji generalizovat. Obecně však platí, že funkce malých a</w:t>
      </w:r>
      <w:r w:rsidR="00DF12F6">
        <w:rPr>
          <w:rFonts w:eastAsia="Arial"/>
          <w:sz w:val="22"/>
          <w:szCs w:val="22"/>
        </w:rPr>
        <w:t> </w:t>
      </w:r>
      <w:r w:rsidR="2D57A07C" w:rsidRPr="2D57A07C">
        <w:rPr>
          <w:rFonts w:eastAsia="Arial"/>
          <w:sz w:val="22"/>
          <w:szCs w:val="22"/>
        </w:rPr>
        <w:t xml:space="preserve">středních měst je v sídelním systému zásadní a plní významnou stabilizační roli v území. Provedené analýzy potvrzují přetrvávající a místy prohlubující se problémy tzv. strukturálně postižených krajů. Jedná se například o nízkou míru ekonomického růstu a zaostávání za ostatními regiony ČR, </w:t>
      </w:r>
      <w:r w:rsidR="00D223A9">
        <w:rPr>
          <w:rFonts w:eastAsia="Arial"/>
          <w:sz w:val="22"/>
          <w:szCs w:val="22"/>
        </w:rPr>
        <w:t xml:space="preserve">z čehož plyne </w:t>
      </w:r>
      <w:r w:rsidR="2D57A07C" w:rsidRPr="2D57A07C">
        <w:rPr>
          <w:rFonts w:eastAsia="Arial"/>
          <w:sz w:val="22"/>
          <w:szCs w:val="22"/>
        </w:rPr>
        <w:t xml:space="preserve">nízká atraktivita krajů pro život obyvatel, menší nabídka perspektivních míst pro mladé a kvalifikované odborníky a horší podmínky a nízká atraktivita pro podnikání. Příčinou problému krajů byla společná specializace na tradiční odvětví těžby, energetiky, chemického, těžebního a hutního průmyslu, které </w:t>
      </w:r>
      <w:r w:rsidR="003C6AA8">
        <w:rPr>
          <w:rFonts w:eastAsia="Arial"/>
          <w:sz w:val="22"/>
          <w:szCs w:val="22"/>
        </w:rPr>
        <w:t>byly charakteristické</w:t>
      </w:r>
      <w:r w:rsidR="003C6AA8" w:rsidRPr="2D57A07C">
        <w:rPr>
          <w:rFonts w:eastAsia="Arial"/>
          <w:sz w:val="22"/>
          <w:szCs w:val="22"/>
        </w:rPr>
        <w:t xml:space="preserve"> </w:t>
      </w:r>
      <w:r w:rsidR="2D57A07C" w:rsidRPr="2D57A07C">
        <w:rPr>
          <w:rFonts w:eastAsia="Arial"/>
          <w:sz w:val="22"/>
          <w:szCs w:val="22"/>
        </w:rPr>
        <w:t>značnou surovinou a energetickou náročnost</w:t>
      </w:r>
      <w:r w:rsidR="003C6AA8">
        <w:rPr>
          <w:rFonts w:eastAsia="Arial"/>
          <w:sz w:val="22"/>
          <w:szCs w:val="22"/>
        </w:rPr>
        <w:t>í</w:t>
      </w:r>
      <w:r w:rsidR="2D57A07C" w:rsidRPr="2D57A07C">
        <w:rPr>
          <w:rFonts w:eastAsia="Arial"/>
          <w:sz w:val="22"/>
          <w:szCs w:val="22"/>
        </w:rPr>
        <w:t xml:space="preserve"> a </w:t>
      </w:r>
      <w:r w:rsidR="003C6AA8">
        <w:rPr>
          <w:rFonts w:eastAsia="Arial"/>
          <w:sz w:val="22"/>
          <w:szCs w:val="22"/>
        </w:rPr>
        <w:t xml:space="preserve">vyžadovaly </w:t>
      </w:r>
      <w:r w:rsidR="2D57A07C" w:rsidRPr="2D57A07C">
        <w:rPr>
          <w:rFonts w:eastAsia="Arial"/>
          <w:sz w:val="22"/>
          <w:szCs w:val="22"/>
        </w:rPr>
        <w:t>specificky kvalifikovanou pracovní sílu.</w:t>
      </w:r>
      <w:r w:rsidR="0076363A">
        <w:rPr>
          <w:rFonts w:eastAsia="Arial"/>
          <w:sz w:val="22"/>
          <w:szCs w:val="22"/>
        </w:rPr>
        <w:t xml:space="preserve"> </w:t>
      </w:r>
      <w:r w:rsidR="0076363A" w:rsidRPr="00BD2246">
        <w:rPr>
          <w:rFonts w:eastAsia="Arial"/>
          <w:sz w:val="22"/>
          <w:szCs w:val="22"/>
        </w:rPr>
        <w:t xml:space="preserve">Území ČR lze diferencovat rovněž z bezpečnostního hlediska, což je determinováno především </w:t>
      </w:r>
      <w:r w:rsidR="003C6AA8">
        <w:rPr>
          <w:rFonts w:eastAsia="Arial"/>
          <w:sz w:val="22"/>
          <w:szCs w:val="22"/>
        </w:rPr>
        <w:t>rozsahem</w:t>
      </w:r>
      <w:r w:rsidR="003C6AA8" w:rsidRPr="00BD2246">
        <w:rPr>
          <w:rFonts w:eastAsia="Arial"/>
          <w:sz w:val="22"/>
          <w:szCs w:val="22"/>
        </w:rPr>
        <w:t xml:space="preserve"> </w:t>
      </w:r>
      <w:r w:rsidR="0076363A" w:rsidRPr="00BD2246">
        <w:rPr>
          <w:rFonts w:eastAsia="Arial"/>
          <w:sz w:val="22"/>
          <w:szCs w:val="22"/>
        </w:rPr>
        <w:t>trestné činnosti v daném regionu a mírou rizika bezpečnostních hrozeb (například terorismus, nelegální migrace).</w:t>
      </w:r>
    </w:p>
    <w:p w:rsidR="2D57A07C" w:rsidRPr="00A9356E" w:rsidRDefault="72755F4C" w:rsidP="72755F4C">
      <w:pPr>
        <w:spacing w:after="160" w:line="259" w:lineRule="auto"/>
        <w:rPr>
          <w:rFonts w:eastAsia="Calibri"/>
          <w:sz w:val="22"/>
          <w:szCs w:val="22"/>
        </w:rPr>
      </w:pPr>
      <w:r w:rsidRPr="72755F4C">
        <w:rPr>
          <w:rFonts w:eastAsia="Arial"/>
          <w:sz w:val="22"/>
          <w:szCs w:val="22"/>
        </w:rPr>
        <w:t>Územně diferencovaný a zacílený přístup, označ</w:t>
      </w:r>
      <w:r w:rsidR="00E05F54">
        <w:rPr>
          <w:rFonts w:eastAsia="Arial"/>
          <w:sz w:val="22"/>
          <w:szCs w:val="22"/>
        </w:rPr>
        <w:t>ovaný v programovém období 2014–</w:t>
      </w:r>
      <w:r w:rsidRPr="72755F4C">
        <w:rPr>
          <w:rFonts w:eastAsia="Arial"/>
          <w:sz w:val="22"/>
          <w:szCs w:val="22"/>
        </w:rPr>
        <w:t>2020 jako územní dimenze, umožňuje reagovat zejména na rozvojové rozdíly a specifické potřeby plynoucí z rozdílných typů území a vytvářet tak předpoklady pro vyvážený a integrovaný rozvoj podporující konkurenceschopnost ČR a zohledňující požadavek na vyrovnávání územních disparit (ve vztahu k vnitřní diferenciaci území a koncentraci problémů ekonomického, sociálního či environmentálního charakteru). Územní zaměření priorit tak respektuje specifické problémy a rozvojové potřeby sídel a regionů.</w:t>
      </w:r>
      <w:r w:rsidR="009A5F90">
        <w:rPr>
          <w:rFonts w:eastAsia="Arial"/>
          <w:sz w:val="22"/>
          <w:szCs w:val="22"/>
        </w:rPr>
        <w:t xml:space="preserve"> Jedním ze specifických přístupů</w:t>
      </w:r>
      <w:r w:rsidR="002E3604">
        <w:rPr>
          <w:rFonts w:eastAsia="Arial"/>
          <w:sz w:val="22"/>
          <w:szCs w:val="22"/>
        </w:rPr>
        <w:t xml:space="preserve"> k určitým typům území</w:t>
      </w:r>
      <w:r w:rsidR="009A5F90">
        <w:rPr>
          <w:rFonts w:eastAsia="Arial"/>
          <w:sz w:val="22"/>
          <w:szCs w:val="22"/>
        </w:rPr>
        <w:t xml:space="preserve"> je</w:t>
      </w:r>
      <w:r w:rsidR="002E3604">
        <w:rPr>
          <w:rFonts w:eastAsia="Arial"/>
          <w:sz w:val="22"/>
          <w:szCs w:val="22"/>
        </w:rPr>
        <w:t xml:space="preserve"> například hospodářská a sociální restrukturalizace tzv. strukturálně postižených regionů tj. Karlovarského, Ústeckého a Moravskoslezského kraje schválená Vládou ČR.</w:t>
      </w:r>
      <w:r w:rsidR="009A5F90">
        <w:rPr>
          <w:rFonts w:eastAsia="Arial"/>
          <w:sz w:val="22"/>
          <w:szCs w:val="22"/>
        </w:rPr>
        <w:t xml:space="preserve"> </w:t>
      </w:r>
      <w:r w:rsidRPr="72755F4C">
        <w:rPr>
          <w:rFonts w:eastAsia="Arial"/>
          <w:sz w:val="22"/>
          <w:szCs w:val="22"/>
        </w:rPr>
        <w:t>Jedná se tedy o průřezovou oblast, která vstupuje do všech oblastí/podoblastí a zdůrazňuje jejich územní rozměr.</w:t>
      </w:r>
    </w:p>
    <w:p w:rsidR="00053B1D" w:rsidRPr="003D45AD" w:rsidRDefault="72755F4C" w:rsidP="00254F4C">
      <w:pPr>
        <w:pStyle w:val="Nadpis2"/>
        <w:numPr>
          <w:ilvl w:val="1"/>
          <w:numId w:val="9"/>
        </w:numPr>
        <w:spacing w:line="240" w:lineRule="auto"/>
        <w:ind w:left="425" w:hanging="431"/>
        <w:jc w:val="left"/>
      </w:pPr>
      <w:bookmarkStart w:id="56" w:name="_Toc7774216"/>
      <w:bookmarkStart w:id="57" w:name="_Toc13828213"/>
      <w:r>
        <w:t>SWOT analýza za tematické oblasti NKR</w:t>
      </w:r>
      <w:bookmarkEnd w:id="56"/>
      <w:bookmarkEnd w:id="57"/>
    </w:p>
    <w:p w:rsidR="00053B1D" w:rsidRDefault="00AC5040" w:rsidP="6A9D794E">
      <w:pPr>
        <w:rPr>
          <w:sz w:val="22"/>
          <w:szCs w:val="22"/>
        </w:rPr>
      </w:pPr>
      <w:r w:rsidRPr="6A9D794E">
        <w:rPr>
          <w:sz w:val="22"/>
          <w:szCs w:val="22"/>
        </w:rPr>
        <w:t>V této pasáži uvádíme SWOT analýzu tematických oblastí souhrnně za celou NKR. Výsledek celkové SWOT analýzy vyplývá z dílčích SWOT zpracovaných v rámci Analýzy NKR k jednotlivým tematickým oblastem</w:t>
      </w:r>
      <w:r w:rsidR="00040F6B">
        <w:rPr>
          <w:rStyle w:val="Znakapoznpodarou"/>
          <w:sz w:val="22"/>
          <w:szCs w:val="22"/>
        </w:rPr>
        <w:footnoteReference w:id="5"/>
      </w:r>
      <w:r w:rsidRPr="6A9D794E">
        <w:rPr>
          <w:sz w:val="22"/>
          <w:szCs w:val="22"/>
        </w:rPr>
        <w:t>.</w:t>
      </w:r>
      <w:r w:rsidR="00655BBA">
        <w:rPr>
          <w:sz w:val="22"/>
          <w:szCs w:val="22"/>
        </w:rPr>
        <w:t xml:space="preserve"> Tematická SWOT doplněna o oblast Cestovního ruchu.</w:t>
      </w:r>
    </w:p>
    <w:p w:rsidR="00B65759" w:rsidRPr="00590FD1" w:rsidRDefault="00B65759" w:rsidP="00590FD1">
      <w:pPr>
        <w:spacing w:line="240" w:lineRule="auto"/>
        <w:rPr>
          <w:i/>
          <w:sz w:val="22"/>
          <w:szCs w:val="22"/>
        </w:rPr>
      </w:pPr>
      <w:r w:rsidRPr="00590FD1">
        <w:rPr>
          <w:i/>
          <w:sz w:val="22"/>
          <w:szCs w:val="22"/>
        </w:rPr>
        <w:t>Tabulka: Tematická SWOT analýza</w:t>
      </w:r>
    </w:p>
    <w:tbl>
      <w:tblPr>
        <w:tblStyle w:val="Mkatabulky1"/>
        <w:tblpPr w:leftFromText="141" w:rightFromText="141" w:vertAnchor="text" w:horzAnchor="margin" w:tblpY="256"/>
        <w:tblW w:w="5000" w:type="pct"/>
        <w:tblLook w:val="04A0" w:firstRow="1" w:lastRow="0" w:firstColumn="1" w:lastColumn="0" w:noHBand="0" w:noVBand="1"/>
      </w:tblPr>
      <w:tblGrid>
        <w:gridCol w:w="4507"/>
        <w:gridCol w:w="4779"/>
      </w:tblGrid>
      <w:tr w:rsidR="00053B1D" w:rsidRPr="00F1526D" w:rsidTr="00A9356E">
        <w:trPr>
          <w:tblHeader/>
        </w:trPr>
        <w:tc>
          <w:tcPr>
            <w:tcW w:w="2427" w:type="pct"/>
            <w:shd w:val="clear" w:color="auto" w:fill="DBE5F1" w:themeFill="accent1" w:themeFillTint="33"/>
          </w:tcPr>
          <w:p w:rsidR="00053B1D" w:rsidRPr="00F1526D" w:rsidRDefault="00053B1D" w:rsidP="003D45AD">
            <w:pPr>
              <w:spacing w:before="60" w:after="60" w:line="259" w:lineRule="auto"/>
              <w:rPr>
                <w:rFonts w:eastAsiaTheme="majorEastAsia"/>
                <w:b/>
              </w:rPr>
            </w:pPr>
            <w:r w:rsidRPr="00F1526D">
              <w:rPr>
                <w:rFonts w:eastAsiaTheme="majorEastAsia"/>
                <w:b/>
              </w:rPr>
              <w:t>Silné stránky</w:t>
            </w:r>
          </w:p>
        </w:tc>
        <w:tc>
          <w:tcPr>
            <w:tcW w:w="2573" w:type="pct"/>
            <w:shd w:val="clear" w:color="auto" w:fill="DBE5F1" w:themeFill="accent1" w:themeFillTint="33"/>
          </w:tcPr>
          <w:p w:rsidR="00053B1D" w:rsidRPr="00F1526D" w:rsidRDefault="00053B1D" w:rsidP="003D45AD">
            <w:pPr>
              <w:spacing w:before="60" w:after="60" w:line="259" w:lineRule="auto"/>
              <w:rPr>
                <w:rFonts w:eastAsiaTheme="minorHAnsi"/>
              </w:rPr>
            </w:pPr>
            <w:r w:rsidRPr="00F1526D">
              <w:rPr>
                <w:rFonts w:eastAsiaTheme="majorEastAsia"/>
                <w:b/>
              </w:rPr>
              <w:t>Slabé stránky</w:t>
            </w:r>
          </w:p>
        </w:tc>
      </w:tr>
      <w:tr w:rsidR="00053B1D" w:rsidRPr="00F1526D" w:rsidTr="26A3AA47">
        <w:tc>
          <w:tcPr>
            <w:tcW w:w="2427" w:type="pct"/>
          </w:tcPr>
          <w:p w:rsidR="00053B1D" w:rsidRPr="00F1526D" w:rsidRDefault="00053B1D" w:rsidP="003D45AD">
            <w:pPr>
              <w:jc w:val="left"/>
              <w:rPr>
                <w:b/>
                <w:u w:val="single"/>
              </w:rPr>
            </w:pPr>
            <w:r w:rsidRPr="00F1526D">
              <w:rPr>
                <w:b/>
                <w:u w:val="single"/>
              </w:rPr>
              <w:t>Trh práce a zaměstnanost</w:t>
            </w:r>
          </w:p>
          <w:p w:rsidR="00053B1D" w:rsidRPr="00F1526D" w:rsidRDefault="00053B1D" w:rsidP="00693DB0">
            <w:pPr>
              <w:numPr>
                <w:ilvl w:val="0"/>
                <w:numId w:val="16"/>
              </w:numPr>
              <w:spacing w:before="0" w:after="160" w:line="259" w:lineRule="auto"/>
              <w:ind w:left="309" w:hanging="270"/>
              <w:contextualSpacing/>
              <w:jc w:val="left"/>
            </w:pPr>
            <w:r w:rsidRPr="00F1526D">
              <w:t>nízká nezaměstnanost</w:t>
            </w:r>
          </w:p>
          <w:p w:rsidR="54923E25" w:rsidRDefault="54923E25" w:rsidP="00693DB0">
            <w:pPr>
              <w:numPr>
                <w:ilvl w:val="0"/>
                <w:numId w:val="16"/>
              </w:numPr>
              <w:spacing w:before="0" w:after="160" w:line="259" w:lineRule="auto"/>
              <w:ind w:left="309" w:hanging="270"/>
              <w:contextualSpacing/>
              <w:jc w:val="left"/>
            </w:pPr>
            <w:r>
              <w:t xml:space="preserve">nízká příjmová nerovnost jako celek v mezinárodním srovnání </w:t>
            </w:r>
          </w:p>
          <w:p w:rsidR="00053B1D" w:rsidRPr="00F1526D" w:rsidRDefault="00053B1D" w:rsidP="003D45AD">
            <w:pPr>
              <w:jc w:val="left"/>
              <w:rPr>
                <w:b/>
                <w:u w:val="single"/>
              </w:rPr>
            </w:pPr>
            <w:r w:rsidRPr="00F1526D">
              <w:rPr>
                <w:b/>
                <w:u w:val="single"/>
              </w:rPr>
              <w:t>Vzdělávání</w:t>
            </w:r>
          </w:p>
          <w:p w:rsidR="00053B1D" w:rsidRPr="00F1526D" w:rsidRDefault="00053B1D" w:rsidP="00693DB0">
            <w:pPr>
              <w:numPr>
                <w:ilvl w:val="0"/>
                <w:numId w:val="16"/>
              </w:numPr>
              <w:spacing w:before="0" w:after="160" w:line="259" w:lineRule="auto"/>
              <w:ind w:left="309" w:hanging="270"/>
              <w:contextualSpacing/>
              <w:jc w:val="left"/>
            </w:pPr>
            <w:r w:rsidRPr="00F1526D">
              <w:t>stabilní systém veřejného školství a dostupnost vzdělávání jako veřejné služby</w:t>
            </w:r>
          </w:p>
          <w:p w:rsidR="00053B1D" w:rsidRPr="00F1526D" w:rsidRDefault="00053B1D" w:rsidP="003D45AD">
            <w:pPr>
              <w:jc w:val="left"/>
              <w:rPr>
                <w:b/>
                <w:u w:val="single"/>
              </w:rPr>
            </w:pPr>
            <w:r w:rsidRPr="00F1526D">
              <w:rPr>
                <w:b/>
                <w:u w:val="single"/>
              </w:rPr>
              <w:t>Sociální začleňování, boj s chudobou a péče o zdraví</w:t>
            </w:r>
          </w:p>
          <w:p w:rsidR="00053B1D" w:rsidRPr="00F1526D" w:rsidRDefault="00053B1D" w:rsidP="00693DB0">
            <w:pPr>
              <w:numPr>
                <w:ilvl w:val="0"/>
                <w:numId w:val="16"/>
              </w:numPr>
              <w:spacing w:before="0" w:after="160" w:line="259" w:lineRule="auto"/>
              <w:ind w:left="309" w:hanging="270"/>
              <w:contextualSpacing/>
              <w:jc w:val="left"/>
            </w:pPr>
            <w:r w:rsidRPr="00F1526D">
              <w:t>kvalitní zdravotní péče</w:t>
            </w:r>
          </w:p>
          <w:p w:rsidR="00053B1D" w:rsidRPr="00F1526D" w:rsidRDefault="00053B1D" w:rsidP="00693DB0">
            <w:pPr>
              <w:numPr>
                <w:ilvl w:val="0"/>
                <w:numId w:val="16"/>
              </w:numPr>
              <w:spacing w:before="0" w:after="160" w:line="259" w:lineRule="auto"/>
              <w:ind w:left="309" w:hanging="270"/>
              <w:contextualSpacing/>
              <w:jc w:val="left"/>
            </w:pPr>
            <w:r w:rsidRPr="00F1526D">
              <w:t>relativně nízká míra ohrožení chudobou a sociálním vyloučením v mezinárodním srovnání</w:t>
            </w:r>
          </w:p>
          <w:p w:rsidR="004F04C2" w:rsidRPr="00F1526D" w:rsidRDefault="004F04C2" w:rsidP="00693DB0">
            <w:pPr>
              <w:numPr>
                <w:ilvl w:val="0"/>
                <w:numId w:val="16"/>
              </w:numPr>
              <w:spacing w:before="0" w:after="160" w:line="259" w:lineRule="auto"/>
              <w:ind w:left="309" w:hanging="270"/>
              <w:contextualSpacing/>
              <w:jc w:val="left"/>
            </w:pPr>
            <w:r>
              <w:t>široké spektrum poskytovatelů soc. služeb</w:t>
            </w:r>
          </w:p>
          <w:p w:rsidR="00053B1D" w:rsidRPr="00F1526D" w:rsidRDefault="00053B1D" w:rsidP="003D45AD">
            <w:pPr>
              <w:jc w:val="left"/>
              <w:rPr>
                <w:b/>
                <w:u w:val="single"/>
              </w:rPr>
            </w:pPr>
            <w:r w:rsidRPr="00F1526D">
              <w:rPr>
                <w:b/>
                <w:u w:val="single"/>
              </w:rPr>
              <w:t>Veřejná správa a bezpečnost</w:t>
            </w:r>
          </w:p>
          <w:p w:rsidR="00053B1D" w:rsidRPr="00F1526D" w:rsidRDefault="00053B1D" w:rsidP="00693DB0">
            <w:pPr>
              <w:numPr>
                <w:ilvl w:val="0"/>
                <w:numId w:val="16"/>
              </w:numPr>
              <w:spacing w:before="0" w:after="160" w:line="259" w:lineRule="auto"/>
              <w:ind w:left="309" w:hanging="270"/>
              <w:contextualSpacing/>
              <w:jc w:val="left"/>
            </w:pPr>
            <w:r w:rsidRPr="00F1526D">
              <w:t>funkčnost systémů ochrany obyvatelstva a krizového řízení</w:t>
            </w:r>
          </w:p>
          <w:p w:rsidR="00053B1D" w:rsidRPr="00F1526D" w:rsidRDefault="00413D26" w:rsidP="00693DB0">
            <w:pPr>
              <w:numPr>
                <w:ilvl w:val="0"/>
                <w:numId w:val="16"/>
              </w:numPr>
              <w:spacing w:before="0" w:after="160" w:line="259" w:lineRule="auto"/>
              <w:ind w:left="309" w:hanging="270"/>
              <w:contextualSpacing/>
              <w:jc w:val="left"/>
            </w:pPr>
            <w:r>
              <w:t xml:space="preserve">fungující </w:t>
            </w:r>
            <w:r w:rsidR="00053B1D" w:rsidRPr="00F1526D">
              <w:t>základní registry</w:t>
            </w:r>
            <w:r>
              <w:t xml:space="preserve"> a</w:t>
            </w:r>
            <w:r w:rsidR="00053B1D" w:rsidRPr="00F1526D">
              <w:t xml:space="preserve"> datové schránky</w:t>
            </w:r>
          </w:p>
          <w:p w:rsidR="00DF60B2" w:rsidRDefault="00053B1D" w:rsidP="00693DB0">
            <w:pPr>
              <w:numPr>
                <w:ilvl w:val="0"/>
                <w:numId w:val="16"/>
              </w:numPr>
              <w:spacing w:before="0" w:after="160" w:line="259" w:lineRule="auto"/>
              <w:ind w:left="309" w:hanging="270"/>
              <w:contextualSpacing/>
              <w:jc w:val="left"/>
            </w:pPr>
            <w:r w:rsidRPr="00F1526D">
              <w:t>komunikační infrastruktura informačních systémů veřejné správy</w:t>
            </w:r>
            <w:r w:rsidR="00DF60B2">
              <w:t xml:space="preserve"> </w:t>
            </w:r>
          </w:p>
          <w:p w:rsidR="00044961" w:rsidRPr="00EA561E" w:rsidRDefault="00044961" w:rsidP="00693DB0">
            <w:pPr>
              <w:numPr>
                <w:ilvl w:val="0"/>
                <w:numId w:val="16"/>
              </w:numPr>
              <w:spacing w:before="0" w:after="160" w:line="259" w:lineRule="auto"/>
              <w:ind w:left="309" w:hanging="270"/>
              <w:contextualSpacing/>
              <w:jc w:val="left"/>
            </w:pPr>
            <w:r w:rsidRPr="00EA561E">
              <w:t>Analýza je součástí rozhodování a tvorby politik </w:t>
            </w:r>
          </w:p>
          <w:p w:rsidR="00044961" w:rsidRPr="00590FD1" w:rsidRDefault="00044961" w:rsidP="00693DB0">
            <w:pPr>
              <w:numPr>
                <w:ilvl w:val="0"/>
                <w:numId w:val="16"/>
              </w:numPr>
              <w:spacing w:before="0" w:after="160" w:line="259" w:lineRule="auto"/>
              <w:ind w:left="309" w:hanging="270"/>
              <w:contextualSpacing/>
              <w:jc w:val="left"/>
            </w:pPr>
            <w:r w:rsidRPr="00590FD1">
              <w:t>Etablované strategické a projektové řízení </w:t>
            </w:r>
          </w:p>
          <w:p w:rsidR="00044961" w:rsidRPr="00590FD1" w:rsidRDefault="00044961" w:rsidP="00693DB0">
            <w:pPr>
              <w:numPr>
                <w:ilvl w:val="0"/>
                <w:numId w:val="16"/>
              </w:numPr>
              <w:spacing w:before="0" w:after="160" w:line="259" w:lineRule="auto"/>
              <w:ind w:left="309" w:hanging="270"/>
              <w:contextualSpacing/>
              <w:jc w:val="left"/>
            </w:pPr>
            <w:r w:rsidRPr="00590FD1">
              <w:t>Etablovaná existence poradních orgánů vlády a dalších platforem za účelem společného řízení problematik </w:t>
            </w:r>
          </w:p>
          <w:p w:rsidR="00044961" w:rsidRPr="00590FD1" w:rsidRDefault="00044961" w:rsidP="00693DB0">
            <w:pPr>
              <w:numPr>
                <w:ilvl w:val="0"/>
                <w:numId w:val="16"/>
              </w:numPr>
              <w:spacing w:before="0" w:after="160" w:line="259" w:lineRule="auto"/>
              <w:ind w:left="309" w:hanging="270"/>
              <w:contextualSpacing/>
              <w:jc w:val="left"/>
            </w:pPr>
            <w:r w:rsidRPr="00590FD1">
              <w:t>Zavedený systém fungování státní služby </w:t>
            </w:r>
          </w:p>
          <w:p w:rsidR="00044961" w:rsidRPr="00F1526D" w:rsidRDefault="00044961" w:rsidP="00693DB0">
            <w:pPr>
              <w:numPr>
                <w:ilvl w:val="0"/>
                <w:numId w:val="16"/>
              </w:numPr>
              <w:spacing w:before="0" w:after="160" w:line="259" w:lineRule="auto"/>
              <w:ind w:left="309" w:hanging="270"/>
              <w:contextualSpacing/>
              <w:jc w:val="left"/>
            </w:pPr>
            <w:r w:rsidRPr="00693DB0">
              <w:t>Zpracování RIA zavedenou součástí přípravy legislativy </w:t>
            </w:r>
          </w:p>
          <w:p w:rsidR="00053B1D" w:rsidRPr="00F1526D" w:rsidRDefault="00053B1D" w:rsidP="003D45AD">
            <w:pPr>
              <w:jc w:val="left"/>
              <w:rPr>
                <w:rFonts w:eastAsiaTheme="minorHAnsi"/>
                <w:b/>
                <w:u w:val="single"/>
              </w:rPr>
            </w:pPr>
            <w:r w:rsidRPr="0005558F">
              <w:rPr>
                <w:b/>
                <w:u w:val="single"/>
              </w:rPr>
              <w:t>Výzkumný a inovační systém</w:t>
            </w:r>
          </w:p>
          <w:p w:rsidR="00053B1D" w:rsidRPr="00F1526D" w:rsidRDefault="00053B1D" w:rsidP="00693DB0">
            <w:pPr>
              <w:numPr>
                <w:ilvl w:val="0"/>
                <w:numId w:val="16"/>
              </w:numPr>
              <w:spacing w:before="0" w:after="160" w:line="259" w:lineRule="auto"/>
              <w:ind w:left="309" w:hanging="270"/>
              <w:contextualSpacing/>
              <w:jc w:val="left"/>
            </w:pPr>
            <w:r w:rsidRPr="00F1526D">
              <w:t xml:space="preserve">dynamický rozvoj výzkumného </w:t>
            </w:r>
            <w:r w:rsidR="00BA7359">
              <w:t>sektoru</w:t>
            </w:r>
            <w:r w:rsidR="00BA7359" w:rsidRPr="00F1526D">
              <w:t xml:space="preserve"> </w:t>
            </w:r>
            <w:r w:rsidRPr="00F1526D">
              <w:t>– rychlý růst výdajů na VaV i počtu výzkumníků ve veřejném i podnikovém sektoru</w:t>
            </w:r>
          </w:p>
          <w:p w:rsidR="00053B1D" w:rsidRPr="00F1526D" w:rsidRDefault="00053B1D" w:rsidP="00693DB0">
            <w:pPr>
              <w:numPr>
                <w:ilvl w:val="0"/>
                <w:numId w:val="16"/>
              </w:numPr>
              <w:spacing w:before="0" w:after="160" w:line="259" w:lineRule="auto"/>
              <w:ind w:left="309" w:hanging="270"/>
              <w:contextualSpacing/>
              <w:jc w:val="left"/>
            </w:pPr>
            <w:r w:rsidRPr="00F1526D">
              <w:t>kvalitní výzkumná zařízení a infrastruktur</w:t>
            </w:r>
            <w:r w:rsidR="003C6AA8">
              <w:t>a</w:t>
            </w:r>
            <w:r w:rsidRPr="00F1526D">
              <w:t xml:space="preserve"> vytvořená nebo modernizovaná v posledních letech (ve veřejném i podnikovém sektoru)</w:t>
            </w:r>
          </w:p>
          <w:p w:rsidR="00053B1D" w:rsidRPr="00F1526D" w:rsidRDefault="00053B1D" w:rsidP="00693DB0">
            <w:pPr>
              <w:numPr>
                <w:ilvl w:val="0"/>
                <w:numId w:val="16"/>
              </w:numPr>
              <w:spacing w:before="0" w:after="160" w:line="259" w:lineRule="auto"/>
              <w:ind w:left="309" w:hanging="270"/>
              <w:contextualSpacing/>
              <w:jc w:val="left"/>
            </w:pPr>
            <w:r w:rsidRPr="00F1526D">
              <w:t>silný segment výzkumných pracovišť, jejichž zaměření odpovídá tradičním (zejména průmyslovým) odvětvím ČR</w:t>
            </w:r>
          </w:p>
          <w:p w:rsidR="00053B1D" w:rsidRPr="00693DB0" w:rsidRDefault="00053B1D" w:rsidP="00693DB0">
            <w:pPr>
              <w:numPr>
                <w:ilvl w:val="0"/>
                <w:numId w:val="16"/>
              </w:numPr>
              <w:spacing w:before="0" w:after="160" w:line="259" w:lineRule="auto"/>
              <w:ind w:left="309" w:hanging="270"/>
              <w:contextualSpacing/>
              <w:jc w:val="left"/>
            </w:pPr>
            <w:r w:rsidRPr="00F1526D">
              <w:t>existence VŠ ve většině regionů, které kromě pedagogické činnosti realizují VaV  a disponují infrastrukturou</w:t>
            </w:r>
            <w:r w:rsidR="00F06693">
              <w:t xml:space="preserve"> pro výzkum</w:t>
            </w:r>
          </w:p>
        </w:tc>
        <w:tc>
          <w:tcPr>
            <w:tcW w:w="2573" w:type="pct"/>
          </w:tcPr>
          <w:p w:rsidR="00053B1D" w:rsidRPr="00F1526D" w:rsidRDefault="00053B1D" w:rsidP="003D45AD">
            <w:pPr>
              <w:jc w:val="left"/>
              <w:rPr>
                <w:b/>
                <w:u w:val="single"/>
              </w:rPr>
            </w:pPr>
            <w:r w:rsidRPr="00F1526D">
              <w:rPr>
                <w:b/>
                <w:u w:val="single"/>
              </w:rPr>
              <w:t>Trh práce a zaměstnanost</w:t>
            </w:r>
          </w:p>
          <w:p w:rsidR="00053B1D" w:rsidRPr="00F1526D" w:rsidRDefault="00053B1D" w:rsidP="00254F4C">
            <w:pPr>
              <w:numPr>
                <w:ilvl w:val="0"/>
                <w:numId w:val="16"/>
              </w:numPr>
              <w:spacing w:before="0" w:line="240" w:lineRule="auto"/>
              <w:ind w:left="309" w:hanging="270"/>
              <w:contextualSpacing/>
              <w:jc w:val="left"/>
            </w:pPr>
            <w:r w:rsidRPr="00F1526D">
              <w:t>nedostatek pracovních sil napříč obory a profesemi daný extenzivním rozvojem české ekonomiky</w:t>
            </w:r>
          </w:p>
          <w:p w:rsidR="6DE13AE7" w:rsidRDefault="48ECFB8B" w:rsidP="00254F4C">
            <w:pPr>
              <w:numPr>
                <w:ilvl w:val="0"/>
                <w:numId w:val="16"/>
              </w:numPr>
              <w:spacing w:before="0" w:line="240" w:lineRule="auto"/>
              <w:ind w:left="309" w:hanging="270"/>
              <w:jc w:val="left"/>
            </w:pPr>
            <w:r>
              <w:t>přetrvávající nesoulad mezi kvalifikací pracovní síly a požadavky trhu pr</w:t>
            </w:r>
            <w:r w:rsidR="355E9390">
              <w:t>áce</w:t>
            </w:r>
          </w:p>
          <w:p w:rsidR="00053B1D" w:rsidRDefault="00053B1D" w:rsidP="00254F4C">
            <w:pPr>
              <w:numPr>
                <w:ilvl w:val="0"/>
                <w:numId w:val="16"/>
              </w:numPr>
              <w:spacing w:before="0" w:line="240" w:lineRule="auto"/>
              <w:ind w:left="309" w:hanging="270"/>
              <w:contextualSpacing/>
              <w:jc w:val="left"/>
            </w:pPr>
            <w:r w:rsidRPr="00F1526D">
              <w:t>nízké zapojení zaměstnavatelů do podpory vzdělávání</w:t>
            </w:r>
          </w:p>
          <w:p w:rsidR="00D42580" w:rsidRDefault="00D42580" w:rsidP="00254F4C">
            <w:pPr>
              <w:numPr>
                <w:ilvl w:val="0"/>
                <w:numId w:val="16"/>
              </w:numPr>
              <w:spacing w:before="0" w:line="240" w:lineRule="auto"/>
              <w:ind w:left="309" w:hanging="270"/>
              <w:contextualSpacing/>
              <w:jc w:val="left"/>
            </w:pPr>
            <w:r>
              <w:t>Přetrvávající nerovnosti mezi muži a ženami</w:t>
            </w:r>
          </w:p>
          <w:p w:rsidR="001A5B63" w:rsidRDefault="001A5B63" w:rsidP="00254F4C">
            <w:pPr>
              <w:numPr>
                <w:ilvl w:val="0"/>
                <w:numId w:val="16"/>
              </w:numPr>
              <w:spacing w:before="0" w:line="240" w:lineRule="auto"/>
              <w:ind w:left="309" w:hanging="270"/>
              <w:contextualSpacing/>
              <w:jc w:val="left"/>
            </w:pPr>
            <w:r>
              <w:t>Stárnutí pracovní síly</w:t>
            </w:r>
          </w:p>
          <w:p w:rsidR="00A475AF" w:rsidRDefault="00A475AF" w:rsidP="00254F4C">
            <w:pPr>
              <w:numPr>
                <w:ilvl w:val="0"/>
                <w:numId w:val="16"/>
              </w:numPr>
              <w:spacing w:before="0" w:line="240" w:lineRule="auto"/>
              <w:ind w:left="309" w:hanging="270"/>
              <w:contextualSpacing/>
              <w:jc w:val="left"/>
            </w:pPr>
            <w:r>
              <w:t>N</w:t>
            </w:r>
            <w:r w:rsidRPr="00DF3A72">
              <w:t>edostatečné množství částečných úvazků</w:t>
            </w:r>
          </w:p>
          <w:p w:rsidR="00D8548C" w:rsidRPr="00F1526D" w:rsidRDefault="00D8548C" w:rsidP="00254F4C">
            <w:pPr>
              <w:numPr>
                <w:ilvl w:val="0"/>
                <w:numId w:val="16"/>
              </w:numPr>
              <w:spacing w:before="0" w:line="240" w:lineRule="auto"/>
              <w:ind w:left="309" w:hanging="270"/>
              <w:contextualSpacing/>
              <w:jc w:val="left"/>
            </w:pPr>
            <w:r>
              <w:t>Nedostatek kapacit zařízení péče o děti</w:t>
            </w:r>
          </w:p>
          <w:p w:rsidR="00053B1D" w:rsidRPr="00F1526D" w:rsidRDefault="00053B1D" w:rsidP="003D45AD">
            <w:pPr>
              <w:jc w:val="left"/>
              <w:rPr>
                <w:b/>
                <w:u w:val="single"/>
              </w:rPr>
            </w:pPr>
            <w:r w:rsidRPr="00F1526D">
              <w:rPr>
                <w:b/>
                <w:u w:val="single"/>
              </w:rPr>
              <w:t>Vzdělávání</w:t>
            </w:r>
          </w:p>
          <w:p w:rsidR="00053B1D" w:rsidRDefault="00053B1D" w:rsidP="00254F4C">
            <w:pPr>
              <w:numPr>
                <w:ilvl w:val="0"/>
                <w:numId w:val="16"/>
              </w:numPr>
              <w:spacing w:before="0" w:line="240" w:lineRule="auto"/>
              <w:ind w:left="309" w:hanging="270"/>
              <w:contextualSpacing/>
              <w:jc w:val="left"/>
            </w:pPr>
            <w:r w:rsidRPr="00F1526D">
              <w:t xml:space="preserve">neexistence </w:t>
            </w:r>
            <w:r w:rsidR="00985F7A">
              <w:t xml:space="preserve">dlouhodobé </w:t>
            </w:r>
            <w:r w:rsidR="00995E8B">
              <w:t xml:space="preserve">strategie </w:t>
            </w:r>
            <w:r w:rsidR="00985F7A">
              <w:t xml:space="preserve">k transformaci vzdělávacího systému </w:t>
            </w:r>
            <w:r w:rsidR="00295359">
              <w:t>po roce 2020</w:t>
            </w:r>
            <w:r w:rsidR="004B2406">
              <w:t xml:space="preserve"> (je však v přípravě)</w:t>
            </w:r>
          </w:p>
          <w:p w:rsidR="003C6AA8" w:rsidRPr="00F1526D" w:rsidRDefault="003C6AA8" w:rsidP="00F715C1">
            <w:pPr>
              <w:numPr>
                <w:ilvl w:val="0"/>
                <w:numId w:val="16"/>
              </w:numPr>
              <w:spacing w:before="0" w:line="240" w:lineRule="auto"/>
              <w:ind w:left="309" w:hanging="270"/>
              <w:contextualSpacing/>
              <w:jc w:val="left"/>
            </w:pPr>
            <w:r>
              <w:t xml:space="preserve"> velké kvalitativní rozdíly v úrovni výuky a výzkumu mezi vysokými školami i mezi jejich jednotlivými fakultami</w:t>
            </w:r>
          </w:p>
          <w:p w:rsidR="00053B1D" w:rsidRPr="00F1526D" w:rsidRDefault="54923E25" w:rsidP="00254F4C">
            <w:pPr>
              <w:numPr>
                <w:ilvl w:val="0"/>
                <w:numId w:val="16"/>
              </w:numPr>
              <w:spacing w:before="0" w:line="240" w:lineRule="auto"/>
              <w:ind w:left="309" w:hanging="270"/>
              <w:contextualSpacing/>
              <w:jc w:val="left"/>
            </w:pPr>
            <w:r>
              <w:t>obsah</w:t>
            </w:r>
            <w:r w:rsidR="00886DBD">
              <w:t xml:space="preserve"> </w:t>
            </w:r>
            <w:r>
              <w:t xml:space="preserve">a metody výuky </w:t>
            </w:r>
            <w:r w:rsidR="00886DBD">
              <w:t>neodpovídající potřebám 21. století</w:t>
            </w:r>
          </w:p>
          <w:p w:rsidR="00053B1D" w:rsidRPr="00F1526D" w:rsidRDefault="00053B1D" w:rsidP="00254F4C">
            <w:pPr>
              <w:numPr>
                <w:ilvl w:val="0"/>
                <w:numId w:val="16"/>
              </w:numPr>
              <w:spacing w:before="0" w:line="240" w:lineRule="auto"/>
              <w:ind w:left="309" w:hanging="270"/>
              <w:contextualSpacing/>
              <w:jc w:val="left"/>
            </w:pPr>
            <w:r w:rsidRPr="00F1526D">
              <w:t>malá motivace pracovníků VŠ ke spolupráci s aplikační sférou, zejm. s firmami</w:t>
            </w:r>
          </w:p>
          <w:p w:rsidR="00053B1D" w:rsidRDefault="00053B1D" w:rsidP="00254F4C">
            <w:pPr>
              <w:numPr>
                <w:ilvl w:val="0"/>
                <w:numId w:val="16"/>
              </w:numPr>
              <w:spacing w:before="0" w:line="240" w:lineRule="auto"/>
              <w:ind w:left="309" w:hanging="270"/>
              <w:contextualSpacing/>
              <w:jc w:val="left"/>
            </w:pPr>
            <w:r w:rsidRPr="00F1526D">
              <w:t>nízký důraz na výuku klíčových kompetencí</w:t>
            </w:r>
          </w:p>
          <w:p w:rsidR="009329EA" w:rsidRPr="00BD2246" w:rsidRDefault="009329EA" w:rsidP="00254F4C">
            <w:pPr>
              <w:numPr>
                <w:ilvl w:val="0"/>
                <w:numId w:val="16"/>
              </w:numPr>
              <w:spacing w:before="0" w:line="240" w:lineRule="auto"/>
              <w:ind w:left="309" w:hanging="270"/>
              <w:contextualSpacing/>
              <w:jc w:val="left"/>
            </w:pPr>
            <w:r w:rsidRPr="00BD2246">
              <w:rPr>
                <w:rFonts w:eastAsia="Times New Roman"/>
                <w:sz w:val="18"/>
                <w:szCs w:val="18"/>
                <w:lang w:eastAsia="ar-SA"/>
              </w:rPr>
              <w:t xml:space="preserve"> </w:t>
            </w:r>
            <w:r w:rsidR="0054457B">
              <w:t>menší</w:t>
            </w:r>
            <w:r w:rsidR="0054457B" w:rsidRPr="00BD2246">
              <w:t xml:space="preserve"> </w:t>
            </w:r>
            <w:r w:rsidRPr="00BD2246">
              <w:t xml:space="preserve">provázanost </w:t>
            </w:r>
            <w:r w:rsidR="0054457B">
              <w:t>odborného vzdělávání s praxí</w:t>
            </w:r>
          </w:p>
          <w:p w:rsidR="009329EA" w:rsidRPr="009329EA" w:rsidRDefault="009329EA" w:rsidP="00254F4C">
            <w:pPr>
              <w:numPr>
                <w:ilvl w:val="0"/>
                <w:numId w:val="16"/>
              </w:numPr>
              <w:spacing w:before="0" w:line="240" w:lineRule="auto"/>
              <w:ind w:left="309" w:hanging="270"/>
              <w:contextualSpacing/>
              <w:jc w:val="left"/>
            </w:pPr>
            <w:r w:rsidRPr="00BD2246">
              <w:t>nízká úroveň práce s talentovanými žáky a studenty</w:t>
            </w:r>
          </w:p>
          <w:p w:rsidR="00053B1D" w:rsidRPr="00F1526D" w:rsidRDefault="00053B1D" w:rsidP="003D45AD">
            <w:pPr>
              <w:jc w:val="left"/>
              <w:rPr>
                <w:b/>
                <w:u w:val="single"/>
              </w:rPr>
            </w:pPr>
            <w:r w:rsidRPr="00F1526D">
              <w:rPr>
                <w:b/>
                <w:u w:val="single"/>
              </w:rPr>
              <w:t>Sociální začleňování, boj s chudobou a péče o zdraví</w:t>
            </w:r>
          </w:p>
          <w:p w:rsidR="00053B1D" w:rsidRPr="00F1526D" w:rsidRDefault="00053B1D" w:rsidP="00254F4C">
            <w:pPr>
              <w:numPr>
                <w:ilvl w:val="0"/>
                <w:numId w:val="18"/>
              </w:numPr>
              <w:spacing w:before="0" w:line="240" w:lineRule="auto"/>
              <w:ind w:left="306" w:hanging="273"/>
              <w:contextualSpacing/>
              <w:jc w:val="left"/>
            </w:pPr>
            <w:r w:rsidRPr="00F1526D">
              <w:t>mimořádně vysoký podíl obyvatel v dluhové pasti</w:t>
            </w:r>
          </w:p>
          <w:p w:rsidR="00C97121" w:rsidRPr="00F1526D" w:rsidRDefault="00C97121" w:rsidP="00254F4C">
            <w:pPr>
              <w:numPr>
                <w:ilvl w:val="0"/>
                <w:numId w:val="18"/>
              </w:numPr>
              <w:spacing w:before="0" w:line="240" w:lineRule="auto"/>
              <w:ind w:left="306" w:hanging="273"/>
              <w:contextualSpacing/>
              <w:jc w:val="left"/>
            </w:pPr>
            <w:r>
              <w:t>stárnutí společnosti</w:t>
            </w:r>
          </w:p>
          <w:p w:rsidR="00053B1D" w:rsidRPr="00F1526D" w:rsidRDefault="00053B1D" w:rsidP="00254F4C">
            <w:pPr>
              <w:numPr>
                <w:ilvl w:val="0"/>
                <w:numId w:val="18"/>
              </w:numPr>
              <w:spacing w:before="0" w:line="240" w:lineRule="auto"/>
              <w:ind w:left="306" w:hanging="273"/>
              <w:contextualSpacing/>
              <w:jc w:val="left"/>
            </w:pPr>
            <w:r w:rsidRPr="00F1526D">
              <w:t>vysoká zátěž obyvatel zdravotně rizikovými látkami (nadlimitní znečištění ovzduší, kouření, alkohol aj.)</w:t>
            </w:r>
          </w:p>
          <w:p w:rsidR="00053B1D" w:rsidRPr="00F1526D" w:rsidRDefault="00053B1D" w:rsidP="00254F4C">
            <w:pPr>
              <w:numPr>
                <w:ilvl w:val="0"/>
                <w:numId w:val="18"/>
              </w:numPr>
              <w:spacing w:before="0" w:line="240" w:lineRule="auto"/>
              <w:ind w:left="306" w:hanging="273"/>
              <w:contextualSpacing/>
              <w:jc w:val="left"/>
            </w:pPr>
            <w:r w:rsidRPr="00F1526D">
              <w:t>nepropojenost systému sociálních a zdravotních služeb</w:t>
            </w:r>
          </w:p>
          <w:p w:rsidR="00DF60B2" w:rsidRPr="00F1526D" w:rsidRDefault="00DF60B2" w:rsidP="00254F4C">
            <w:pPr>
              <w:numPr>
                <w:ilvl w:val="0"/>
                <w:numId w:val="18"/>
              </w:numPr>
              <w:spacing w:before="0" w:line="240" w:lineRule="auto"/>
              <w:ind w:left="306" w:hanging="273"/>
              <w:contextualSpacing/>
              <w:jc w:val="left"/>
            </w:pPr>
            <w:r>
              <w:t>nedostatečná kapacita soc. služeb v některých regionech</w:t>
            </w:r>
          </w:p>
          <w:p w:rsidR="00053B1D" w:rsidRPr="00F1526D" w:rsidRDefault="00053B1D" w:rsidP="00254F4C">
            <w:pPr>
              <w:numPr>
                <w:ilvl w:val="0"/>
                <w:numId w:val="18"/>
              </w:numPr>
              <w:spacing w:before="0" w:line="240" w:lineRule="auto"/>
              <w:ind w:left="306" w:hanging="273"/>
              <w:contextualSpacing/>
              <w:jc w:val="left"/>
            </w:pPr>
            <w:r w:rsidRPr="00F1526D">
              <w:t>absence přesných dat o sociálně vyloučené populaci</w:t>
            </w:r>
          </w:p>
          <w:p w:rsidR="00053B1D" w:rsidRPr="00F1526D" w:rsidRDefault="00053B1D" w:rsidP="00254F4C">
            <w:pPr>
              <w:numPr>
                <w:ilvl w:val="0"/>
                <w:numId w:val="18"/>
              </w:numPr>
              <w:spacing w:before="0" w:line="240" w:lineRule="auto"/>
              <w:ind w:left="306" w:hanging="273"/>
              <w:contextualSpacing/>
              <w:jc w:val="left"/>
            </w:pPr>
            <w:r w:rsidRPr="00F1526D">
              <w:t>nedostatečné kapacity sociálního bydlení</w:t>
            </w:r>
          </w:p>
          <w:p w:rsidR="00053B1D" w:rsidRPr="00977260" w:rsidRDefault="00053B1D" w:rsidP="003D45AD">
            <w:pPr>
              <w:pStyle w:val="P4odrkapuntk"/>
              <w:pBdr>
                <w:top w:val="none" w:sz="0" w:space="0" w:color="auto"/>
                <w:left w:val="none" w:sz="0" w:space="0" w:color="auto"/>
                <w:bottom w:val="none" w:sz="0" w:space="0" w:color="auto"/>
                <w:right w:val="none" w:sz="0" w:space="0" w:color="auto"/>
              </w:pBdr>
              <w:spacing w:before="0"/>
              <w:jc w:val="left"/>
              <w:rPr>
                <w:rFonts w:ascii="Arial" w:hAnsi="Arial" w:cs="Arial"/>
                <w:sz w:val="20"/>
                <w:szCs w:val="20"/>
              </w:rPr>
            </w:pPr>
          </w:p>
        </w:tc>
      </w:tr>
      <w:tr w:rsidR="004E212B" w:rsidRPr="00F1526D" w:rsidTr="26A3AA47">
        <w:tc>
          <w:tcPr>
            <w:tcW w:w="2427"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Silné stránky</w:t>
            </w:r>
          </w:p>
        </w:tc>
        <w:tc>
          <w:tcPr>
            <w:tcW w:w="2573"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Slabé stránky</w:t>
            </w:r>
          </w:p>
        </w:tc>
      </w:tr>
      <w:tr w:rsidR="004E212B" w:rsidRPr="00F1526D" w:rsidTr="003C1DEA">
        <w:tc>
          <w:tcPr>
            <w:tcW w:w="2427" w:type="pct"/>
            <w:shd w:val="clear" w:color="auto" w:fill="auto"/>
          </w:tcPr>
          <w:p w:rsidR="004E212B" w:rsidRPr="0005558F" w:rsidRDefault="004E212B" w:rsidP="004E212B">
            <w:pPr>
              <w:jc w:val="left"/>
              <w:rPr>
                <w:b/>
                <w:u w:val="single"/>
              </w:rPr>
            </w:pPr>
            <w:r w:rsidRPr="0005558F">
              <w:rPr>
                <w:b/>
                <w:u w:val="single"/>
              </w:rPr>
              <w:t>Podpora podnikání a průmyslu</w:t>
            </w:r>
          </w:p>
          <w:p w:rsidR="004E212B" w:rsidRPr="00F1526D" w:rsidRDefault="004E212B" w:rsidP="00254F4C">
            <w:pPr>
              <w:numPr>
                <w:ilvl w:val="0"/>
                <w:numId w:val="16"/>
              </w:numPr>
              <w:spacing w:before="0" w:line="240" w:lineRule="auto"/>
              <w:ind w:left="309" w:hanging="270"/>
              <w:contextualSpacing/>
              <w:jc w:val="left"/>
            </w:pPr>
            <w:r w:rsidRPr="00F1526D">
              <w:t>vysoký podíl průmyslu na HPH</w:t>
            </w:r>
          </w:p>
          <w:p w:rsidR="004E212B" w:rsidRPr="00F1526D" w:rsidRDefault="004E212B" w:rsidP="00254F4C">
            <w:pPr>
              <w:numPr>
                <w:ilvl w:val="0"/>
                <w:numId w:val="16"/>
              </w:numPr>
              <w:spacing w:before="0" w:line="240" w:lineRule="auto"/>
              <w:ind w:left="309" w:hanging="270"/>
              <w:contextualSpacing/>
              <w:jc w:val="left"/>
            </w:pPr>
            <w:r w:rsidRPr="00F1526D">
              <w:t>stabilní růst průmyslové výroby</w:t>
            </w:r>
          </w:p>
          <w:p w:rsidR="004E212B" w:rsidRPr="00F1526D" w:rsidRDefault="004E212B" w:rsidP="00254F4C">
            <w:pPr>
              <w:numPr>
                <w:ilvl w:val="0"/>
                <w:numId w:val="16"/>
              </w:numPr>
              <w:spacing w:before="0" w:line="240" w:lineRule="auto"/>
              <w:ind w:left="309" w:hanging="270"/>
              <w:contextualSpacing/>
              <w:jc w:val="left"/>
            </w:pPr>
            <w:r w:rsidRPr="00F1526D">
              <w:t>úzká provázanost českých podniků s globálními technologickými lídry, a to nejen evropskými</w:t>
            </w:r>
          </w:p>
          <w:p w:rsidR="004E212B" w:rsidRPr="00F1526D" w:rsidRDefault="004E212B" w:rsidP="00254F4C">
            <w:pPr>
              <w:numPr>
                <w:ilvl w:val="0"/>
                <w:numId w:val="16"/>
              </w:numPr>
              <w:spacing w:before="0" w:line="240" w:lineRule="auto"/>
              <w:ind w:left="309" w:hanging="270"/>
              <w:contextualSpacing/>
              <w:jc w:val="left"/>
            </w:pPr>
            <w:r w:rsidRPr="00F1526D">
              <w:t>flexibilita malých a středních firem v oblasti strategického rozhodování, schopnost přebírat a rychle aplikovat „best practices“</w:t>
            </w:r>
          </w:p>
          <w:p w:rsidR="004E212B" w:rsidRDefault="004E212B" w:rsidP="00254F4C">
            <w:pPr>
              <w:numPr>
                <w:ilvl w:val="0"/>
                <w:numId w:val="16"/>
              </w:numPr>
              <w:spacing w:before="0" w:line="240" w:lineRule="auto"/>
              <w:ind w:left="309" w:hanging="270"/>
              <w:contextualSpacing/>
              <w:jc w:val="left"/>
            </w:pPr>
            <w:r w:rsidRPr="00F1526D">
              <w:t xml:space="preserve">průmyslová a technická tradice spojená s technickou kreativitou podporující technické inkrementální inovace </w:t>
            </w:r>
          </w:p>
          <w:p w:rsidR="004E212B" w:rsidRPr="00F1526D" w:rsidRDefault="004E212B" w:rsidP="00254F4C">
            <w:pPr>
              <w:numPr>
                <w:ilvl w:val="0"/>
                <w:numId w:val="16"/>
              </w:numPr>
              <w:spacing w:before="0" w:line="240" w:lineRule="auto"/>
              <w:ind w:left="309" w:hanging="270"/>
              <w:contextualSpacing/>
              <w:jc w:val="left"/>
            </w:pPr>
            <w:r>
              <w:t>kvalitní tržní služby</w:t>
            </w:r>
            <w:r w:rsidR="009256FC">
              <w:t>, rostoucí význam služeb</w:t>
            </w:r>
          </w:p>
          <w:p w:rsidR="004E212B" w:rsidRPr="0005558F" w:rsidRDefault="004E212B" w:rsidP="004E212B">
            <w:pPr>
              <w:jc w:val="left"/>
              <w:rPr>
                <w:b/>
                <w:u w:val="single"/>
              </w:rPr>
            </w:pPr>
            <w:r w:rsidRPr="0005558F">
              <w:rPr>
                <w:b/>
                <w:u w:val="single"/>
              </w:rPr>
              <w:t>Doprava</w:t>
            </w:r>
          </w:p>
          <w:p w:rsidR="004E212B" w:rsidRPr="00F1526D" w:rsidRDefault="00A924C9" w:rsidP="00254F4C">
            <w:pPr>
              <w:numPr>
                <w:ilvl w:val="0"/>
                <w:numId w:val="16"/>
              </w:numPr>
              <w:spacing w:before="0" w:line="240" w:lineRule="auto"/>
              <w:ind w:left="309" w:hanging="270"/>
              <w:contextualSpacing/>
              <w:jc w:val="left"/>
            </w:pPr>
            <w:r>
              <w:t xml:space="preserve">výhodná </w:t>
            </w:r>
            <w:r w:rsidR="004E212B" w:rsidRPr="00F1526D">
              <w:t>geografická poloha</w:t>
            </w:r>
          </w:p>
          <w:p w:rsidR="004E212B" w:rsidRPr="00F1526D" w:rsidRDefault="004E212B" w:rsidP="00254F4C">
            <w:pPr>
              <w:numPr>
                <w:ilvl w:val="0"/>
                <w:numId w:val="16"/>
              </w:numPr>
              <w:spacing w:before="0" w:line="240" w:lineRule="auto"/>
              <w:ind w:left="309" w:hanging="270"/>
              <w:contextualSpacing/>
              <w:jc w:val="left"/>
            </w:pPr>
            <w:r w:rsidRPr="00F1526D">
              <w:t>rozsáhlá dopravní síť</w:t>
            </w:r>
          </w:p>
          <w:p w:rsidR="004E212B" w:rsidRPr="0005558F" w:rsidRDefault="004E212B" w:rsidP="004E212B">
            <w:pPr>
              <w:jc w:val="left"/>
              <w:rPr>
                <w:b/>
                <w:u w:val="single"/>
              </w:rPr>
            </w:pPr>
            <w:r w:rsidRPr="0005558F">
              <w:rPr>
                <w:b/>
                <w:u w:val="single"/>
              </w:rPr>
              <w:t>Posun k nízkouhlíkovému hospodářství</w:t>
            </w:r>
          </w:p>
          <w:p w:rsidR="004E212B" w:rsidRPr="00F1526D" w:rsidRDefault="004E212B" w:rsidP="00254F4C">
            <w:pPr>
              <w:numPr>
                <w:ilvl w:val="0"/>
                <w:numId w:val="16"/>
              </w:numPr>
              <w:spacing w:before="0" w:line="240" w:lineRule="auto"/>
              <w:ind w:left="309" w:hanging="270"/>
              <w:contextualSpacing/>
              <w:jc w:val="left"/>
            </w:pPr>
            <w:r w:rsidRPr="00F1526D">
              <w:t>vysoká kvalita a spolehlivost dodávek energie</w:t>
            </w:r>
          </w:p>
          <w:p w:rsidR="004E212B" w:rsidRPr="00F1526D" w:rsidRDefault="004E212B" w:rsidP="00254F4C">
            <w:pPr>
              <w:numPr>
                <w:ilvl w:val="0"/>
                <w:numId w:val="16"/>
              </w:numPr>
              <w:spacing w:before="0" w:line="240" w:lineRule="auto"/>
              <w:ind w:left="309" w:hanging="270"/>
              <w:contextualSpacing/>
              <w:jc w:val="left"/>
            </w:pPr>
            <w:r w:rsidRPr="00F1526D">
              <w:t>zahájení transformace výrobní základny v elektroenergetice za účelem zachování její stability a dostatečné kapacity</w:t>
            </w:r>
          </w:p>
          <w:p w:rsidR="004E212B" w:rsidRDefault="004E212B" w:rsidP="00254F4C">
            <w:pPr>
              <w:numPr>
                <w:ilvl w:val="0"/>
                <w:numId w:val="16"/>
              </w:numPr>
              <w:spacing w:before="0" w:line="240" w:lineRule="auto"/>
              <w:ind w:left="309" w:hanging="270"/>
              <w:contextualSpacing/>
              <w:jc w:val="left"/>
            </w:pPr>
            <w:r w:rsidRPr="00F1526D">
              <w:t>plná soběstačnost ve výrobě elektřiny a tepla</w:t>
            </w:r>
          </w:p>
          <w:p w:rsidR="00D4568E" w:rsidRPr="00F1526D" w:rsidRDefault="00D4568E" w:rsidP="00254F4C">
            <w:pPr>
              <w:numPr>
                <w:ilvl w:val="0"/>
                <w:numId w:val="16"/>
              </w:numPr>
              <w:spacing w:before="0" w:line="240" w:lineRule="auto"/>
              <w:ind w:left="309" w:hanging="270"/>
              <w:contextualSpacing/>
              <w:jc w:val="left"/>
            </w:pPr>
            <w:r w:rsidRPr="00590FD1">
              <w:t xml:space="preserve"> recyklace odpadů může pomoci při zajišťování části surovinových vstupů do výroby bez zvyšování závislosti na dovozech ze zahraničí</w:t>
            </w:r>
          </w:p>
          <w:p w:rsidR="004E212B" w:rsidRPr="0005558F" w:rsidRDefault="004E212B" w:rsidP="004E212B">
            <w:pPr>
              <w:jc w:val="left"/>
              <w:rPr>
                <w:b/>
                <w:u w:val="single"/>
              </w:rPr>
            </w:pPr>
            <w:r w:rsidRPr="0005558F">
              <w:rPr>
                <w:b/>
                <w:u w:val="single"/>
              </w:rPr>
              <w:t>Ochrana životního prostředí a oběhové hospodářství</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vytvořený systém institucionální péče o životní prostředí</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vysoká pestrost krajinných typů daná rozmanitostí přírodních podmínek i historickými způsoby hospodaření</w:t>
            </w:r>
          </w:p>
          <w:p w:rsidR="004E212B" w:rsidRPr="0005558F" w:rsidRDefault="004E212B" w:rsidP="004E212B">
            <w:pPr>
              <w:jc w:val="left"/>
              <w:rPr>
                <w:b/>
                <w:u w:val="single"/>
              </w:rPr>
            </w:pPr>
            <w:r w:rsidRPr="0005558F">
              <w:rPr>
                <w:b/>
                <w:u w:val="single"/>
              </w:rPr>
              <w:t>Kultura</w:t>
            </w:r>
          </w:p>
          <w:p w:rsidR="004E212B" w:rsidRPr="00F1526D" w:rsidRDefault="004E212B" w:rsidP="00254F4C">
            <w:pPr>
              <w:numPr>
                <w:ilvl w:val="0"/>
                <w:numId w:val="16"/>
              </w:numPr>
              <w:pBdr>
                <w:bar w:val="none" w:sz="0" w:color="000000"/>
              </w:pBdr>
              <w:spacing w:before="0" w:after="160" w:line="259" w:lineRule="auto"/>
              <w:ind w:left="309" w:hanging="270"/>
              <w:contextualSpacing/>
              <w:jc w:val="left"/>
            </w:pPr>
            <w:r w:rsidRPr="00F1526D">
              <w:t xml:space="preserve">unikátnost </w:t>
            </w:r>
            <w:r w:rsidR="00B76222">
              <w:t xml:space="preserve">a rozsáhlost </w:t>
            </w:r>
            <w:r w:rsidRPr="00F1526D">
              <w:t>kulturního dědictví ČR</w:t>
            </w:r>
          </w:p>
          <w:p w:rsidR="004E212B" w:rsidRPr="00F1526D" w:rsidRDefault="004E212B" w:rsidP="00254F4C">
            <w:pPr>
              <w:numPr>
                <w:ilvl w:val="0"/>
                <w:numId w:val="16"/>
              </w:numPr>
              <w:pBdr>
                <w:bar w:val="none" w:sz="0" w:color="000000"/>
              </w:pBdr>
              <w:spacing w:before="0" w:after="160" w:line="259" w:lineRule="auto"/>
              <w:ind w:left="309" w:hanging="270"/>
              <w:contextualSpacing/>
              <w:jc w:val="left"/>
            </w:pPr>
            <w:r w:rsidRPr="00F1526D">
              <w:rPr>
                <w:lang w:eastAsia="cs-CZ"/>
              </w:rPr>
              <w:t xml:space="preserve">hustá síť </w:t>
            </w:r>
            <w:r w:rsidRPr="00F1526D">
              <w:t>institucí</w:t>
            </w:r>
            <w:r w:rsidRPr="00F1526D">
              <w:rPr>
                <w:lang w:eastAsia="cs-CZ"/>
              </w:rPr>
              <w:t xml:space="preserve"> na území ČR</w:t>
            </w:r>
          </w:p>
          <w:p w:rsidR="009E0E1C" w:rsidRDefault="004E212B" w:rsidP="00254F4C">
            <w:pPr>
              <w:numPr>
                <w:ilvl w:val="0"/>
                <w:numId w:val="16"/>
              </w:numPr>
              <w:pBdr>
                <w:bar w:val="none" w:sz="0" w:color="000000"/>
              </w:pBdr>
              <w:spacing w:before="0" w:after="160" w:line="259" w:lineRule="auto"/>
              <w:ind w:left="309" w:hanging="270"/>
              <w:contextualSpacing/>
              <w:jc w:val="left"/>
            </w:pPr>
            <w:r w:rsidRPr="00F1526D">
              <w:t>významný</w:t>
            </w:r>
            <w:r w:rsidRPr="00F1526D">
              <w:rPr>
                <w:lang w:eastAsia="cs-CZ"/>
              </w:rPr>
              <w:t xml:space="preserve"> potenciál původní tradice</w:t>
            </w:r>
          </w:p>
          <w:p w:rsidR="009E0E1C" w:rsidRDefault="004E212B" w:rsidP="00254F4C">
            <w:pPr>
              <w:numPr>
                <w:ilvl w:val="0"/>
                <w:numId w:val="16"/>
              </w:numPr>
              <w:pBdr>
                <w:bar w:val="none" w:sz="0" w:color="000000"/>
              </w:pBdr>
              <w:spacing w:before="0" w:after="160" w:line="259" w:lineRule="auto"/>
              <w:ind w:left="309" w:hanging="270"/>
              <w:contextualSpacing/>
              <w:jc w:val="left"/>
            </w:pPr>
            <w:r w:rsidRPr="72755F4C">
              <w:rPr>
                <w:lang w:eastAsia="cs-CZ"/>
              </w:rPr>
              <w:t xml:space="preserve">vysoká </w:t>
            </w:r>
            <w:r w:rsidRPr="72755F4C">
              <w:t>technologická</w:t>
            </w:r>
            <w:r w:rsidRPr="72755F4C">
              <w:rPr>
                <w:lang w:eastAsia="cs-CZ"/>
              </w:rPr>
              <w:t xml:space="preserve"> i kreativní kompetence lidských zdrojů v ČR, často vázaná na specifické území</w:t>
            </w:r>
          </w:p>
          <w:p w:rsidR="004E212B" w:rsidRDefault="004E212B" w:rsidP="00254F4C">
            <w:pPr>
              <w:numPr>
                <w:ilvl w:val="0"/>
                <w:numId w:val="16"/>
              </w:numPr>
              <w:pBdr>
                <w:bar w:val="none" w:sz="0" w:color="000000"/>
              </w:pBdr>
              <w:spacing w:before="0" w:after="160" w:line="259" w:lineRule="auto"/>
              <w:ind w:left="309" w:hanging="270"/>
              <w:contextualSpacing/>
              <w:jc w:val="left"/>
            </w:pPr>
            <w:r w:rsidRPr="007C202C">
              <w:rPr>
                <w:rFonts w:eastAsia="Arial"/>
              </w:rPr>
              <w:t xml:space="preserve">prezentace kulturního dědictví a kreativních </w:t>
            </w:r>
            <w:r w:rsidRPr="002F08D4">
              <w:t>průmyslů</w:t>
            </w:r>
            <w:r w:rsidRPr="00412C01">
              <w:rPr>
                <w:rFonts w:eastAsia="Arial"/>
              </w:rPr>
              <w:t xml:space="preserve"> skrze odvětví cestovního ruchu</w:t>
            </w:r>
          </w:p>
          <w:p w:rsidR="004E212B" w:rsidRDefault="009A7DB1" w:rsidP="004E212B">
            <w:pPr>
              <w:spacing w:before="60" w:after="60" w:line="259" w:lineRule="auto"/>
              <w:rPr>
                <w:rFonts w:eastAsiaTheme="majorEastAsia"/>
                <w:b/>
              </w:rPr>
            </w:pPr>
            <w:r>
              <w:rPr>
                <w:rFonts w:eastAsiaTheme="majorEastAsia"/>
                <w:b/>
              </w:rPr>
              <w:t xml:space="preserve"> </w:t>
            </w:r>
            <w:r w:rsidR="00FE457D">
              <w:rPr>
                <w:rFonts w:eastAsiaTheme="majorEastAsia"/>
                <w:b/>
              </w:rPr>
              <w:t>Cestovní ruch</w:t>
            </w:r>
          </w:p>
          <w:p w:rsidR="000D7E3C" w:rsidRDefault="00FE457D" w:rsidP="00B76222">
            <w:pPr>
              <w:numPr>
                <w:ilvl w:val="0"/>
                <w:numId w:val="16"/>
              </w:numPr>
              <w:pBdr>
                <w:bar w:val="none" w:sz="0" w:color="000000"/>
              </w:pBdr>
              <w:spacing w:before="0" w:after="160" w:line="259" w:lineRule="auto"/>
              <w:ind w:left="309" w:hanging="270"/>
              <w:contextualSpacing/>
              <w:jc w:val="left"/>
            </w:pPr>
            <w:r>
              <w:t xml:space="preserve">ČR (Praha) jako jedna z populárních evropských </w:t>
            </w:r>
            <w:r w:rsidR="00B76222">
              <w:t>cílů s image bezpečné destinace</w:t>
            </w:r>
          </w:p>
          <w:p w:rsidR="00B76222" w:rsidRDefault="00FE457D" w:rsidP="00B76222">
            <w:pPr>
              <w:numPr>
                <w:ilvl w:val="0"/>
                <w:numId w:val="16"/>
              </w:numPr>
              <w:pBdr>
                <w:bar w:val="none" w:sz="0" w:color="000000"/>
              </w:pBdr>
              <w:spacing w:before="0" w:after="160" w:line="259" w:lineRule="auto"/>
              <w:ind w:left="309" w:hanging="270"/>
              <w:contextualSpacing/>
              <w:jc w:val="left"/>
            </w:pPr>
            <w:r>
              <w:t>velké kulturně-historické bohatství</w:t>
            </w:r>
            <w:r w:rsidR="00B76222">
              <w:t xml:space="preserve">, včetně památek UNESCO </w:t>
            </w:r>
          </w:p>
          <w:p w:rsidR="00B76222" w:rsidRDefault="00B76222" w:rsidP="00B76222">
            <w:pPr>
              <w:numPr>
                <w:ilvl w:val="0"/>
                <w:numId w:val="16"/>
              </w:numPr>
              <w:pBdr>
                <w:bar w:val="none" w:sz="0" w:color="000000"/>
              </w:pBdr>
              <w:spacing w:before="0" w:after="160" w:line="259" w:lineRule="auto"/>
              <w:ind w:left="309" w:hanging="270"/>
              <w:contextualSpacing/>
              <w:jc w:val="left"/>
            </w:pPr>
            <w:r>
              <w:t>jedinečné industriální dědictví</w:t>
            </w:r>
          </w:p>
          <w:p w:rsidR="00B76222" w:rsidRDefault="00B76222" w:rsidP="00B76222">
            <w:pPr>
              <w:numPr>
                <w:ilvl w:val="0"/>
                <w:numId w:val="16"/>
              </w:numPr>
              <w:pBdr>
                <w:bar w:val="none" w:sz="0" w:color="000000"/>
              </w:pBdr>
              <w:spacing w:before="0" w:after="160" w:line="259" w:lineRule="auto"/>
              <w:ind w:left="309" w:hanging="270"/>
              <w:contextualSpacing/>
              <w:jc w:val="left"/>
            </w:pPr>
            <w:r>
              <w:t>unikátní krajinné prvky</w:t>
            </w:r>
          </w:p>
          <w:p w:rsidR="00B76222" w:rsidRDefault="00B76222" w:rsidP="00B76222">
            <w:pPr>
              <w:numPr>
                <w:ilvl w:val="0"/>
                <w:numId w:val="16"/>
              </w:numPr>
              <w:pBdr>
                <w:bar w:val="none" w:sz="0" w:color="000000"/>
              </w:pBdr>
              <w:spacing w:before="0" w:after="160" w:line="259" w:lineRule="auto"/>
              <w:ind w:left="309" w:hanging="270"/>
              <w:contextualSpacing/>
              <w:jc w:val="left"/>
            </w:pPr>
            <w:r>
              <w:t>výrazná gastronomie</w:t>
            </w:r>
          </w:p>
          <w:p w:rsidR="00FE457D" w:rsidRDefault="00B76222" w:rsidP="00B76222">
            <w:pPr>
              <w:numPr>
                <w:ilvl w:val="0"/>
                <w:numId w:val="16"/>
              </w:numPr>
              <w:pBdr>
                <w:bar w:val="none" w:sz="0" w:color="000000"/>
              </w:pBdr>
              <w:spacing w:before="0" w:after="160" w:line="259" w:lineRule="auto"/>
              <w:ind w:left="309" w:hanging="270"/>
              <w:contextualSpacing/>
              <w:jc w:val="left"/>
            </w:pPr>
            <w:r>
              <w:t>profesionální marketing a propagace cestovního ruchu na národní úrovni (aktivity národní centrály cestovního ruchu – agentury CzechTourism</w:t>
            </w:r>
          </w:p>
          <w:p w:rsidR="00FE457D" w:rsidRDefault="004F29FC" w:rsidP="00254F4C">
            <w:pPr>
              <w:numPr>
                <w:ilvl w:val="0"/>
                <w:numId w:val="16"/>
              </w:numPr>
              <w:pBdr>
                <w:bar w:val="none" w:sz="0" w:color="000000"/>
              </w:pBdr>
              <w:spacing w:before="0" w:after="160" w:line="259" w:lineRule="auto"/>
              <w:ind w:left="309" w:hanging="270"/>
              <w:contextualSpacing/>
              <w:jc w:val="left"/>
            </w:pPr>
            <w:r>
              <w:t>r</w:t>
            </w:r>
            <w:r w:rsidR="00FE457D">
              <w:t>elativně cenově dostupné služby</w:t>
            </w:r>
          </w:p>
          <w:p w:rsidR="00FE457D" w:rsidRDefault="004F29FC" w:rsidP="00254F4C">
            <w:pPr>
              <w:numPr>
                <w:ilvl w:val="0"/>
                <w:numId w:val="16"/>
              </w:numPr>
              <w:pBdr>
                <w:bar w:val="none" w:sz="0" w:color="000000"/>
              </w:pBdr>
              <w:spacing w:before="0" w:after="160" w:line="259" w:lineRule="auto"/>
              <w:ind w:left="309" w:hanging="270"/>
              <w:contextualSpacing/>
              <w:jc w:val="left"/>
            </w:pPr>
            <w:r>
              <w:t>r</w:t>
            </w:r>
            <w:r w:rsidR="00FE457D">
              <w:t>elativně krátké vzdálenosti pro návštěvu turistických cílů</w:t>
            </w:r>
          </w:p>
          <w:p w:rsidR="00FE457D" w:rsidRDefault="004F29FC" w:rsidP="00254F4C">
            <w:pPr>
              <w:numPr>
                <w:ilvl w:val="0"/>
                <w:numId w:val="16"/>
              </w:numPr>
              <w:pBdr>
                <w:bar w:val="none" w:sz="0" w:color="000000"/>
              </w:pBdr>
              <w:spacing w:before="0" w:after="160" w:line="259" w:lineRule="auto"/>
              <w:ind w:left="309" w:hanging="270"/>
              <w:contextualSpacing/>
              <w:jc w:val="left"/>
            </w:pPr>
            <w:r>
              <w:t>t</w:t>
            </w:r>
            <w:r w:rsidR="00FE457D">
              <w:t xml:space="preserve">radiční </w:t>
            </w:r>
            <w:r w:rsidR="00B76222">
              <w:t xml:space="preserve">druhy </w:t>
            </w:r>
            <w:r w:rsidR="00FE457D">
              <w:t>cestovního ruchu jako lázeňství a destinace pro zimní sporty (horské oblasti)</w:t>
            </w:r>
          </w:p>
          <w:p w:rsidR="00B76222" w:rsidRPr="00F1526D" w:rsidRDefault="00B76222" w:rsidP="00E93AF0">
            <w:pPr>
              <w:numPr>
                <w:ilvl w:val="0"/>
                <w:numId w:val="16"/>
              </w:numPr>
              <w:pBdr>
                <w:bar w:val="none" w:sz="0" w:color="000000"/>
              </w:pBdr>
              <w:spacing w:before="0" w:after="160" w:line="259" w:lineRule="auto"/>
              <w:ind w:left="309" w:hanging="270"/>
              <w:contextualSpacing/>
              <w:jc w:val="left"/>
            </w:pPr>
            <w:r>
              <w:t>unikátní síť značených turistických tras a stezek</w:t>
            </w:r>
          </w:p>
          <w:p w:rsidR="00FE457D" w:rsidRPr="00F1526D" w:rsidRDefault="00FE457D" w:rsidP="00A9356E">
            <w:pPr>
              <w:pBdr>
                <w:bar w:val="none" w:sz="0" w:color="000000"/>
              </w:pBdr>
              <w:spacing w:before="0" w:after="160" w:line="259" w:lineRule="auto"/>
              <w:ind w:left="39"/>
              <w:contextualSpacing/>
              <w:jc w:val="left"/>
              <w:rPr>
                <w:rFonts w:eastAsiaTheme="majorEastAsia"/>
                <w:b/>
              </w:rPr>
            </w:pPr>
          </w:p>
        </w:tc>
        <w:tc>
          <w:tcPr>
            <w:tcW w:w="2573" w:type="pct"/>
            <w:shd w:val="clear" w:color="auto" w:fill="auto"/>
          </w:tcPr>
          <w:p w:rsidR="004E212B" w:rsidRPr="00F1526D" w:rsidRDefault="004E212B" w:rsidP="004E212B">
            <w:pPr>
              <w:jc w:val="left"/>
              <w:rPr>
                <w:b/>
                <w:u w:val="single"/>
              </w:rPr>
            </w:pPr>
            <w:r w:rsidRPr="00F1526D">
              <w:rPr>
                <w:b/>
                <w:u w:val="single"/>
              </w:rPr>
              <w:t>Veřejná správa a bezpečnost</w:t>
            </w:r>
          </w:p>
          <w:p w:rsidR="004E212B" w:rsidRPr="00F1526D" w:rsidRDefault="004E212B" w:rsidP="00380E13">
            <w:pPr>
              <w:numPr>
                <w:ilvl w:val="0"/>
                <w:numId w:val="18"/>
              </w:numPr>
              <w:spacing w:before="0" w:line="240" w:lineRule="auto"/>
              <w:contextualSpacing/>
              <w:jc w:val="left"/>
            </w:pPr>
            <w:r w:rsidRPr="00F1526D">
              <w:t>vysoká administrativní a regulační zátěž</w:t>
            </w:r>
          </w:p>
          <w:p w:rsidR="004E212B" w:rsidRPr="00F1526D" w:rsidRDefault="004E212B" w:rsidP="00380E13">
            <w:pPr>
              <w:numPr>
                <w:ilvl w:val="0"/>
                <w:numId w:val="18"/>
              </w:numPr>
              <w:spacing w:before="0" w:line="240" w:lineRule="auto"/>
              <w:contextualSpacing/>
              <w:jc w:val="left"/>
            </w:pPr>
            <w:r w:rsidRPr="00442F1B">
              <w:t>nedostatky v managementu a koordinaci veřejné správy</w:t>
            </w:r>
            <w:r w:rsidR="00044961">
              <w:t>,</w:t>
            </w:r>
            <w:r w:rsidRPr="00442F1B" w:rsidDel="00442F1B">
              <w:t xml:space="preserve"> </w:t>
            </w:r>
            <w:r w:rsidRPr="00F1526D">
              <w:t xml:space="preserve">nízká orientace na výsledky </w:t>
            </w:r>
          </w:p>
          <w:p w:rsidR="004E212B" w:rsidRPr="00B1074B" w:rsidRDefault="004E212B" w:rsidP="00380E13">
            <w:pPr>
              <w:numPr>
                <w:ilvl w:val="0"/>
                <w:numId w:val="18"/>
              </w:numPr>
              <w:spacing w:before="0" w:line="240" w:lineRule="auto"/>
              <w:contextualSpacing/>
              <w:jc w:val="left"/>
            </w:pPr>
            <w:r w:rsidRPr="00B1074B">
              <w:t>nízká míra občanské participace</w:t>
            </w:r>
          </w:p>
          <w:p w:rsidR="00044961" w:rsidRPr="00590FD1" w:rsidRDefault="00044961" w:rsidP="00380E13">
            <w:pPr>
              <w:numPr>
                <w:ilvl w:val="0"/>
                <w:numId w:val="18"/>
              </w:numPr>
              <w:spacing w:before="0" w:line="240" w:lineRule="auto"/>
              <w:contextualSpacing/>
              <w:jc w:val="left"/>
            </w:pPr>
            <w:r w:rsidRPr="00590FD1">
              <w:t>nedostatečná míra evidence-informed rozhodování, malé povědomí o sbíraných datech, jejich nedostatečné sdílení a vyhodnocován</w:t>
            </w:r>
          </w:p>
          <w:p w:rsidR="00044961" w:rsidRDefault="00044961" w:rsidP="00380E13">
            <w:pPr>
              <w:numPr>
                <w:ilvl w:val="0"/>
                <w:numId w:val="18"/>
              </w:numPr>
              <w:spacing w:before="0" w:line="240" w:lineRule="auto"/>
              <w:jc w:val="left"/>
            </w:pPr>
          </w:p>
          <w:p w:rsidR="00380E13" w:rsidRPr="00EA561E" w:rsidRDefault="00380E13" w:rsidP="00590FD1">
            <w:pPr>
              <w:numPr>
                <w:ilvl w:val="0"/>
                <w:numId w:val="18"/>
              </w:numPr>
              <w:spacing w:before="0" w:line="240" w:lineRule="auto"/>
              <w:contextualSpacing/>
              <w:jc w:val="left"/>
            </w:pPr>
            <w:r w:rsidRPr="00380E13">
              <w:t xml:space="preserve">absence systémového uchopení </w:t>
            </w:r>
            <w:r w:rsidRPr="00EA561E">
              <w:t>inovací ve veřejné správě a reakce na nové trendy </w:t>
            </w:r>
          </w:p>
          <w:p w:rsidR="00380E13" w:rsidRPr="00590FD1" w:rsidRDefault="00380E13" w:rsidP="00590FD1">
            <w:pPr>
              <w:numPr>
                <w:ilvl w:val="0"/>
                <w:numId w:val="18"/>
              </w:numPr>
              <w:spacing w:before="0" w:line="240" w:lineRule="auto"/>
              <w:contextualSpacing/>
              <w:jc w:val="left"/>
            </w:pPr>
            <w:r w:rsidRPr="00590FD1">
              <w:t>nedostatečně pro-klientský přístup veřejné správy </w:t>
            </w:r>
          </w:p>
          <w:p w:rsidR="00380E13" w:rsidRPr="00590FD1" w:rsidRDefault="00380E13" w:rsidP="00590FD1">
            <w:pPr>
              <w:numPr>
                <w:ilvl w:val="0"/>
                <w:numId w:val="18"/>
              </w:numPr>
              <w:spacing w:before="0" w:line="240" w:lineRule="auto"/>
              <w:contextualSpacing/>
              <w:jc w:val="left"/>
            </w:pPr>
            <w:r w:rsidRPr="00590FD1">
              <w:t>neefektivní rozvrstvení výkonu přenesené působnosti v území </w:t>
            </w:r>
          </w:p>
          <w:p w:rsidR="00380E13" w:rsidRDefault="00380E13" w:rsidP="00380E13">
            <w:pPr>
              <w:numPr>
                <w:ilvl w:val="0"/>
                <w:numId w:val="18"/>
              </w:numPr>
              <w:spacing w:before="0" w:line="240" w:lineRule="auto"/>
              <w:contextualSpacing/>
              <w:jc w:val="left"/>
            </w:pPr>
            <w:r w:rsidRPr="00590FD1">
              <w:t>neefektivní výkon veřejné správy v aglomeracích </w:t>
            </w:r>
          </w:p>
          <w:p w:rsidR="00DF60B2" w:rsidRDefault="00DF60B2" w:rsidP="00380E13">
            <w:pPr>
              <w:numPr>
                <w:ilvl w:val="0"/>
                <w:numId w:val="18"/>
              </w:numPr>
              <w:spacing w:before="0" w:line="240" w:lineRule="auto"/>
              <w:contextualSpacing/>
              <w:jc w:val="left"/>
            </w:pPr>
            <w:r>
              <w:t>nízká míra digitální komunikace veřejné správy</w:t>
            </w:r>
          </w:p>
          <w:p w:rsidR="004E212B" w:rsidRPr="00830FBE" w:rsidRDefault="004E212B" w:rsidP="00380E13">
            <w:pPr>
              <w:numPr>
                <w:ilvl w:val="0"/>
                <w:numId w:val="18"/>
              </w:numPr>
              <w:spacing w:before="0" w:line="240" w:lineRule="auto"/>
              <w:jc w:val="left"/>
            </w:pPr>
            <w:r w:rsidRPr="00830FBE">
              <w:t>n</w:t>
            </w:r>
            <w:r w:rsidRPr="00BD2246">
              <w:t>edostatečná vybavenost</w:t>
            </w:r>
            <w:r w:rsidR="0089589F">
              <w:t>/hmotné podmínky</w:t>
            </w:r>
            <w:r w:rsidRPr="00BD2246">
              <w:t xml:space="preserve"> složek IZS pro zajištění ochrany obyvatelstva a veřejného pořádku a prevence kriminality, včetně adekvátní reakce na boj proti nelegální migraci, terorismu, extremismu</w:t>
            </w:r>
            <w:r w:rsidR="0089589F">
              <w:t>,</w:t>
            </w:r>
            <w:r w:rsidRPr="00BD2246">
              <w:t xml:space="preserve"> kyber</w:t>
            </w:r>
            <w:r>
              <w:t>-</w:t>
            </w:r>
            <w:r w:rsidRPr="00BD2246">
              <w:t>kriminalitě</w:t>
            </w:r>
            <w:r w:rsidR="0089589F">
              <w:t xml:space="preserve"> a přizpůsobení se změnám klimatu</w:t>
            </w:r>
          </w:p>
          <w:p w:rsidR="004E212B" w:rsidRPr="00B1074B" w:rsidRDefault="004E212B" w:rsidP="00380E13">
            <w:pPr>
              <w:numPr>
                <w:ilvl w:val="0"/>
                <w:numId w:val="18"/>
              </w:numPr>
              <w:spacing w:before="0" w:line="240" w:lineRule="auto"/>
              <w:jc w:val="left"/>
            </w:pPr>
            <w:r w:rsidRPr="00B1074B">
              <w:rPr>
                <w:rFonts w:eastAsia="Arial"/>
              </w:rPr>
              <w:t>nízká úroveň vybavení novými technologiemi a prostředky pro nové formy vznikajících mimořádných událostí</w:t>
            </w:r>
            <w:r w:rsidR="0089589F">
              <w:rPr>
                <w:rFonts w:eastAsia="Arial"/>
              </w:rPr>
              <w:t xml:space="preserve"> především z nových hrozeb a změn klimatu</w:t>
            </w:r>
            <w:r w:rsidRPr="00B1074B">
              <w:rPr>
                <w:rFonts w:eastAsia="Arial"/>
              </w:rPr>
              <w:t xml:space="preserve"> a pro zajištění následné dlouhodobé evakuace obyvatelstva s nouzovým přežitím</w:t>
            </w:r>
          </w:p>
          <w:p w:rsidR="0089589F" w:rsidRDefault="0089589F" w:rsidP="00380E13">
            <w:pPr>
              <w:numPr>
                <w:ilvl w:val="0"/>
                <w:numId w:val="18"/>
              </w:numPr>
              <w:spacing w:before="0" w:line="240" w:lineRule="auto"/>
              <w:jc w:val="left"/>
            </w:pPr>
            <w:r>
              <w:t>nedostatečná implementace nových trendů ve vzdělávání občanů k sebeochraně před novými hrozbami</w:t>
            </w:r>
          </w:p>
          <w:p w:rsidR="00210DF4" w:rsidRPr="00FE1271" w:rsidRDefault="00210DF4" w:rsidP="00380E13">
            <w:pPr>
              <w:numPr>
                <w:ilvl w:val="0"/>
                <w:numId w:val="18"/>
              </w:numPr>
              <w:spacing w:before="0" w:line="240" w:lineRule="auto"/>
              <w:jc w:val="left"/>
            </w:pPr>
            <w:r>
              <w:t>n</w:t>
            </w:r>
            <w:r w:rsidRPr="00590FD1">
              <w:rPr>
                <w:rFonts w:eastAsia="Arial"/>
              </w:rPr>
              <w:t>ízká připravenost složek IZS na zabezpečení ochrany kritické infrastruktury a kyberbezpečnosti s důrazem na ochranu jejich informačních a komunikačních systémů</w:t>
            </w:r>
          </w:p>
          <w:p w:rsidR="00FE1271" w:rsidRPr="00B1074B" w:rsidRDefault="00FE1271" w:rsidP="00380E13">
            <w:pPr>
              <w:numPr>
                <w:ilvl w:val="0"/>
                <w:numId w:val="18"/>
              </w:numPr>
              <w:spacing w:before="0" w:line="240" w:lineRule="auto"/>
              <w:jc w:val="left"/>
            </w:pPr>
            <w:r>
              <w:t>nepropojené jednotlivé informační systémy VS</w:t>
            </w:r>
          </w:p>
          <w:p w:rsidR="004E212B" w:rsidRPr="0005558F" w:rsidRDefault="004E212B" w:rsidP="004E212B">
            <w:pPr>
              <w:jc w:val="left"/>
              <w:rPr>
                <w:b/>
                <w:u w:val="single"/>
              </w:rPr>
            </w:pPr>
            <w:r w:rsidRPr="0005558F">
              <w:rPr>
                <w:b/>
                <w:u w:val="single"/>
              </w:rPr>
              <w:t>Výzkumný a inovační systém</w:t>
            </w:r>
          </w:p>
          <w:p w:rsidR="004E212B" w:rsidRPr="00F1526D" w:rsidRDefault="003E3E0B" w:rsidP="00380E13">
            <w:pPr>
              <w:numPr>
                <w:ilvl w:val="0"/>
                <w:numId w:val="18"/>
              </w:numPr>
              <w:spacing w:before="0" w:line="240" w:lineRule="auto"/>
              <w:contextualSpacing/>
              <w:jc w:val="left"/>
            </w:pPr>
            <w:r>
              <w:t>nedostatečná otevřenost</w:t>
            </w:r>
            <w:r w:rsidRPr="00F1526D">
              <w:t xml:space="preserve"> </w:t>
            </w:r>
            <w:r w:rsidR="004E212B" w:rsidRPr="00F1526D">
              <w:t>výzkumného systému mezinárodní spolupráci</w:t>
            </w:r>
          </w:p>
          <w:p w:rsidR="004E212B" w:rsidRPr="00F1526D" w:rsidRDefault="003C6AA8" w:rsidP="00380E13">
            <w:pPr>
              <w:numPr>
                <w:ilvl w:val="0"/>
                <w:numId w:val="18"/>
              </w:numPr>
              <w:spacing w:before="0" w:line="240" w:lineRule="auto"/>
              <w:contextualSpacing/>
              <w:jc w:val="left"/>
            </w:pPr>
            <w:r>
              <w:t xml:space="preserve">ve světovém měřítku </w:t>
            </w:r>
            <w:r w:rsidR="004E212B" w:rsidRPr="00F1526D">
              <w:t>omezený počet excelentních výzkumných pracovišť</w:t>
            </w:r>
          </w:p>
          <w:p w:rsidR="004E212B" w:rsidRPr="00F1526D" w:rsidRDefault="004E212B" w:rsidP="00380E13">
            <w:pPr>
              <w:numPr>
                <w:ilvl w:val="0"/>
                <w:numId w:val="18"/>
              </w:numPr>
              <w:spacing w:before="0" w:line="240" w:lineRule="auto"/>
              <w:contextualSpacing/>
              <w:jc w:val="left"/>
            </w:pPr>
            <w:r w:rsidRPr="00F1526D">
              <w:t>dominance podniků se zahraniční účastí ve výzkumných aktivitách podnikatelského sektoru</w:t>
            </w:r>
          </w:p>
          <w:p w:rsidR="004E212B" w:rsidRPr="00F1526D" w:rsidRDefault="004E212B" w:rsidP="00380E13">
            <w:pPr>
              <w:numPr>
                <w:ilvl w:val="0"/>
                <w:numId w:val="18"/>
              </w:numPr>
              <w:spacing w:before="0" w:line="240" w:lineRule="auto"/>
              <w:contextualSpacing/>
              <w:jc w:val="left"/>
            </w:pPr>
            <w:r w:rsidRPr="00F1526D">
              <w:t>většina výdajů na VaV je realizována v odvětvích se střední a nižší technologickou náročností</w:t>
            </w:r>
          </w:p>
          <w:p w:rsidR="004E212B" w:rsidRPr="00F1526D" w:rsidRDefault="004E212B" w:rsidP="00380E13">
            <w:pPr>
              <w:numPr>
                <w:ilvl w:val="0"/>
                <w:numId w:val="18"/>
              </w:numPr>
              <w:spacing w:before="0" w:line="240" w:lineRule="auto"/>
              <w:contextualSpacing/>
              <w:jc w:val="left"/>
            </w:pPr>
            <w:r w:rsidRPr="00F1526D">
              <w:t>nedostatečné vazby mezi veřejným výzkumem a podniky</w:t>
            </w:r>
          </w:p>
          <w:p w:rsidR="004E212B" w:rsidRPr="0005558F" w:rsidRDefault="004E212B" w:rsidP="004E212B">
            <w:pPr>
              <w:jc w:val="left"/>
              <w:rPr>
                <w:b/>
                <w:u w:val="single"/>
              </w:rPr>
            </w:pPr>
            <w:r w:rsidRPr="0005558F">
              <w:rPr>
                <w:b/>
                <w:u w:val="single"/>
              </w:rPr>
              <w:t>Podpora podnikání a průmyslu</w:t>
            </w:r>
          </w:p>
          <w:p w:rsidR="004E212B" w:rsidRPr="00F1526D" w:rsidRDefault="004E55B9" w:rsidP="00380E13">
            <w:pPr>
              <w:numPr>
                <w:ilvl w:val="0"/>
                <w:numId w:val="18"/>
              </w:numPr>
              <w:spacing w:before="0" w:line="240" w:lineRule="auto"/>
              <w:contextualSpacing/>
              <w:jc w:val="left"/>
            </w:pPr>
            <w:r>
              <w:t>nekvalitní služby veřejného sektoru</w:t>
            </w:r>
          </w:p>
          <w:p w:rsidR="004E212B" w:rsidRPr="00F1526D" w:rsidRDefault="004E212B" w:rsidP="00380E13">
            <w:pPr>
              <w:numPr>
                <w:ilvl w:val="0"/>
                <w:numId w:val="18"/>
              </w:numPr>
              <w:spacing w:before="0" w:line="240" w:lineRule="auto"/>
              <w:contextualSpacing/>
              <w:jc w:val="left"/>
            </w:pPr>
            <w:r w:rsidRPr="00F1526D">
              <w:t>nízká produktivita práce</w:t>
            </w:r>
          </w:p>
          <w:p w:rsidR="004E212B" w:rsidRPr="00F1526D" w:rsidRDefault="004E212B" w:rsidP="00380E13">
            <w:pPr>
              <w:numPr>
                <w:ilvl w:val="0"/>
                <w:numId w:val="18"/>
              </w:numPr>
              <w:spacing w:before="0" w:line="240" w:lineRule="auto"/>
              <w:contextualSpacing/>
              <w:jc w:val="left"/>
            </w:pPr>
            <w:r w:rsidRPr="00F1526D">
              <w:t>nízká přidaná hodnota ekonomických aktivit</w:t>
            </w:r>
          </w:p>
          <w:p w:rsidR="004E212B" w:rsidRPr="00F1526D" w:rsidRDefault="004E212B" w:rsidP="00380E13">
            <w:pPr>
              <w:numPr>
                <w:ilvl w:val="0"/>
                <w:numId w:val="18"/>
              </w:numPr>
              <w:spacing w:before="0" w:line="240" w:lineRule="auto"/>
              <w:contextualSpacing/>
              <w:jc w:val="left"/>
            </w:pPr>
            <w:r w:rsidRPr="00F1526D">
              <w:t xml:space="preserve">vysoká závislost na zahraničních investorech a s tím související odliv kapitálu a dividend </w:t>
            </w:r>
          </w:p>
          <w:p w:rsidR="004E212B" w:rsidRPr="00F1526D" w:rsidRDefault="004E212B" w:rsidP="00380E13">
            <w:pPr>
              <w:numPr>
                <w:ilvl w:val="0"/>
                <w:numId w:val="18"/>
              </w:numPr>
              <w:spacing w:before="0" w:line="240" w:lineRule="auto"/>
              <w:contextualSpacing/>
              <w:jc w:val="left"/>
            </w:pPr>
            <w:r w:rsidRPr="00F1526D">
              <w:t>nízká dostupnost financování MSP s absencí rizikového kapitálu</w:t>
            </w:r>
          </w:p>
          <w:p w:rsidR="004E212B" w:rsidRPr="00ED0665" w:rsidRDefault="004E212B" w:rsidP="00380E13">
            <w:pPr>
              <w:numPr>
                <w:ilvl w:val="0"/>
                <w:numId w:val="18"/>
              </w:numPr>
              <w:spacing w:before="0" w:line="240" w:lineRule="auto"/>
              <w:contextualSpacing/>
              <w:jc w:val="left"/>
            </w:pPr>
            <w:r w:rsidRPr="00F1526D">
              <w:t xml:space="preserve">velmi omezené povědomí o zásadách a </w:t>
            </w:r>
            <w:r w:rsidRPr="00ED0665">
              <w:t>dopadech Průmyslu 4.0 v průmyslové sféře a hlavně mimo ni</w:t>
            </w:r>
          </w:p>
          <w:p w:rsidR="004E212B" w:rsidRDefault="004E212B" w:rsidP="00380E13">
            <w:pPr>
              <w:numPr>
                <w:ilvl w:val="0"/>
                <w:numId w:val="18"/>
              </w:numPr>
              <w:spacing w:before="0" w:line="240" w:lineRule="auto"/>
              <w:contextualSpacing/>
              <w:jc w:val="left"/>
            </w:pPr>
            <w:r w:rsidRPr="00ED0665">
              <w:t>nedostatečné chápání interdisciplinarity – převládá tradiční pohled na řemesla a technické i netechnické obory</w:t>
            </w:r>
          </w:p>
          <w:p w:rsidR="00AB4B07" w:rsidRPr="00ED0665" w:rsidRDefault="00AB4B07" w:rsidP="00380E13">
            <w:pPr>
              <w:numPr>
                <w:ilvl w:val="0"/>
                <w:numId w:val="18"/>
              </w:numPr>
              <w:spacing w:before="0" w:line="240" w:lineRule="auto"/>
              <w:contextualSpacing/>
              <w:jc w:val="left"/>
            </w:pPr>
            <w:r>
              <w:t>podhodnocení významu odvětví služeb</w:t>
            </w:r>
          </w:p>
          <w:p w:rsidR="004E212B" w:rsidRPr="00ED0665" w:rsidRDefault="004E212B" w:rsidP="004E212B">
            <w:pPr>
              <w:jc w:val="left"/>
              <w:rPr>
                <w:b/>
                <w:u w:val="single"/>
              </w:rPr>
            </w:pPr>
            <w:r w:rsidRPr="00ED0665">
              <w:rPr>
                <w:b/>
                <w:u w:val="single"/>
              </w:rPr>
              <w:t>Doprava</w:t>
            </w:r>
          </w:p>
          <w:p w:rsidR="004E212B" w:rsidRPr="00ED0665" w:rsidRDefault="004E212B" w:rsidP="00380E13">
            <w:pPr>
              <w:numPr>
                <w:ilvl w:val="0"/>
                <w:numId w:val="18"/>
              </w:numPr>
              <w:spacing w:before="0" w:line="240" w:lineRule="auto"/>
              <w:contextualSpacing/>
              <w:jc w:val="left"/>
              <w:rPr>
                <w:sz w:val="22"/>
              </w:rPr>
            </w:pPr>
            <w:r w:rsidRPr="00ED0665">
              <w:t>pod</w:t>
            </w:r>
            <w:r>
              <w:t>-</w:t>
            </w:r>
            <w:r w:rsidRPr="00ED0665">
              <w:t>investovaná dopravní infrastruktura</w:t>
            </w:r>
          </w:p>
          <w:p w:rsidR="004E212B" w:rsidRPr="00ED0665" w:rsidRDefault="004E212B" w:rsidP="00380E13">
            <w:pPr>
              <w:numPr>
                <w:ilvl w:val="0"/>
                <w:numId w:val="18"/>
              </w:numPr>
              <w:spacing w:before="0" w:line="240" w:lineRule="auto"/>
              <w:contextualSpacing/>
              <w:jc w:val="left"/>
              <w:rPr>
                <w:sz w:val="22"/>
              </w:rPr>
            </w:pPr>
            <w:r w:rsidRPr="00ED0665">
              <w:rPr>
                <w:szCs w:val="18"/>
              </w:rPr>
              <w:t>nedostatečné napojení některých regionů na páteřní síť</w:t>
            </w:r>
          </w:p>
          <w:p w:rsidR="004E212B" w:rsidRPr="00F1526D" w:rsidRDefault="004E212B" w:rsidP="00380E13">
            <w:pPr>
              <w:numPr>
                <w:ilvl w:val="0"/>
                <w:numId w:val="18"/>
              </w:numPr>
              <w:spacing w:before="0" w:line="240" w:lineRule="auto"/>
              <w:contextualSpacing/>
              <w:jc w:val="left"/>
            </w:pPr>
            <w:r w:rsidRPr="00ED0665">
              <w:t xml:space="preserve">slabé dopravní spojení na ekonomická a populační dopravní centra </w:t>
            </w:r>
            <w:r w:rsidRPr="00F1526D">
              <w:t>sousedních států</w:t>
            </w:r>
            <w:r w:rsidR="00B76222">
              <w:t>, i v rámci vnitřních periferií</w:t>
            </w:r>
            <w:r w:rsidRPr="00F1526D">
              <w:t xml:space="preserve"> </w:t>
            </w:r>
          </w:p>
          <w:p w:rsidR="004E212B" w:rsidRDefault="004E212B" w:rsidP="00380E13">
            <w:pPr>
              <w:numPr>
                <w:ilvl w:val="0"/>
                <w:numId w:val="18"/>
              </w:numPr>
              <w:spacing w:before="0" w:line="240" w:lineRule="auto"/>
              <w:contextualSpacing/>
              <w:jc w:val="left"/>
            </w:pPr>
            <w:r>
              <w:t>nízká</w:t>
            </w:r>
            <w:r w:rsidRPr="00F1526D">
              <w:t xml:space="preserve"> kvalita dopravní infrastruktury v jednotlivých částech ČR</w:t>
            </w:r>
          </w:p>
          <w:p w:rsidR="004E212B" w:rsidRDefault="004E212B" w:rsidP="00380E13">
            <w:pPr>
              <w:numPr>
                <w:ilvl w:val="0"/>
                <w:numId w:val="18"/>
              </w:numPr>
              <w:spacing w:before="0" w:line="240" w:lineRule="auto"/>
              <w:contextualSpacing/>
              <w:jc w:val="left"/>
            </w:pPr>
            <w:r w:rsidRPr="00F1526D">
              <w:t xml:space="preserve">chybějící </w:t>
            </w:r>
            <w:r>
              <w:t xml:space="preserve">železniční </w:t>
            </w:r>
            <w:r w:rsidRPr="00F1526D">
              <w:t>vysokorychlostní spojení</w:t>
            </w:r>
          </w:p>
          <w:p w:rsidR="00B76222" w:rsidRDefault="00B76222" w:rsidP="00380E13">
            <w:pPr>
              <w:numPr>
                <w:ilvl w:val="0"/>
                <w:numId w:val="18"/>
              </w:numPr>
              <w:spacing w:before="0" w:line="240" w:lineRule="auto"/>
              <w:contextualSpacing/>
              <w:jc w:val="left"/>
            </w:pPr>
            <w:r>
              <w:t xml:space="preserve">chybějící dopravní obslužnost venkova a vnitřních periferií </w:t>
            </w:r>
          </w:p>
          <w:p w:rsidR="00B76222" w:rsidRDefault="00B76222" w:rsidP="00380E13">
            <w:pPr>
              <w:numPr>
                <w:ilvl w:val="0"/>
                <w:numId w:val="18"/>
              </w:numPr>
              <w:spacing w:before="0" w:line="240" w:lineRule="auto"/>
              <w:contextualSpacing/>
              <w:jc w:val="left"/>
            </w:pPr>
            <w:r>
              <w:t>slabá provázanost regionů a jejich zázemí</w:t>
            </w:r>
          </w:p>
          <w:p w:rsidR="00BC3A12" w:rsidRDefault="00BC3A12" w:rsidP="00380E13">
            <w:pPr>
              <w:numPr>
                <w:ilvl w:val="0"/>
                <w:numId w:val="18"/>
              </w:numPr>
              <w:spacing w:before="0" w:line="240" w:lineRule="auto"/>
              <w:contextualSpacing/>
              <w:jc w:val="left"/>
            </w:pPr>
            <w:r w:rsidRPr="00590FD1">
              <w:t>nedostatečná infrastruktura pro rozvoj dopravy na alternativní paliva</w:t>
            </w:r>
          </w:p>
          <w:p w:rsidR="00B76222" w:rsidRDefault="00B76222" w:rsidP="00380E13">
            <w:pPr>
              <w:numPr>
                <w:ilvl w:val="0"/>
                <w:numId w:val="18"/>
              </w:numPr>
              <w:spacing w:before="0" w:line="240" w:lineRule="auto"/>
              <w:contextualSpacing/>
              <w:jc w:val="left"/>
            </w:pPr>
            <w:r>
              <w:t xml:space="preserve">nedostatečné využívání ekologicky šetrných </w:t>
            </w:r>
            <w:r w:rsidR="00892A60">
              <w:t xml:space="preserve">dopravních </w:t>
            </w:r>
            <w:r>
              <w:t>prostředků</w:t>
            </w:r>
          </w:p>
          <w:p w:rsidR="00B76222" w:rsidRPr="00F1526D" w:rsidRDefault="00B76222" w:rsidP="00380E13">
            <w:pPr>
              <w:numPr>
                <w:ilvl w:val="0"/>
                <w:numId w:val="18"/>
              </w:numPr>
              <w:spacing w:before="0" w:line="240" w:lineRule="auto"/>
              <w:contextualSpacing/>
              <w:jc w:val="left"/>
            </w:pPr>
            <w:r>
              <w:t>neřešení dopravy v klidu v exponovaných oblastech (např.</w:t>
            </w:r>
            <w:r w:rsidR="00A924C9">
              <w:t xml:space="preserve"> na sídlištích a</w:t>
            </w:r>
            <w:r>
              <w:t xml:space="preserve"> v destinacích cestovního ruchu)</w:t>
            </w:r>
          </w:p>
          <w:p w:rsidR="00876FB0" w:rsidRPr="00F1526D" w:rsidRDefault="00876FB0" w:rsidP="00380E13">
            <w:pPr>
              <w:numPr>
                <w:ilvl w:val="0"/>
                <w:numId w:val="18"/>
              </w:numPr>
              <w:spacing w:before="0" w:line="240" w:lineRule="auto"/>
              <w:contextualSpacing/>
              <w:jc w:val="left"/>
            </w:pPr>
            <w:r>
              <w:t>n</w:t>
            </w:r>
            <w:r w:rsidRPr="00183043">
              <w:t>ízká úroveň rozvoje a propojenosti infrastruktury pro nemotorovou dopravu</w:t>
            </w:r>
          </w:p>
          <w:p w:rsidR="004E212B" w:rsidRPr="0005558F" w:rsidRDefault="004E212B" w:rsidP="004E212B">
            <w:pPr>
              <w:jc w:val="left"/>
              <w:rPr>
                <w:b/>
                <w:u w:val="single"/>
              </w:rPr>
            </w:pPr>
            <w:r w:rsidRPr="0005558F">
              <w:rPr>
                <w:b/>
                <w:u w:val="single"/>
              </w:rPr>
              <w:t>Posun k nízkouhlíkovému hospodářství</w:t>
            </w:r>
          </w:p>
          <w:p w:rsidR="004E212B" w:rsidRPr="00F1526D" w:rsidRDefault="004E212B" w:rsidP="00380E13">
            <w:pPr>
              <w:numPr>
                <w:ilvl w:val="0"/>
                <w:numId w:val="18"/>
              </w:numPr>
              <w:spacing w:before="0" w:line="240" w:lineRule="auto"/>
              <w:contextualSpacing/>
              <w:jc w:val="left"/>
            </w:pPr>
            <w:r w:rsidRPr="00F1526D">
              <w:t>vysoká náročnost produktu na spotřebu energie</w:t>
            </w:r>
          </w:p>
          <w:p w:rsidR="004E212B" w:rsidRPr="00F1526D" w:rsidRDefault="004E212B" w:rsidP="00380E13">
            <w:pPr>
              <w:numPr>
                <w:ilvl w:val="0"/>
                <w:numId w:val="18"/>
              </w:numPr>
              <w:spacing w:before="0" w:line="240" w:lineRule="auto"/>
              <w:contextualSpacing/>
              <w:jc w:val="left"/>
            </w:pPr>
            <w:r w:rsidRPr="00F1526D">
              <w:t>vysoká náročnost produktu na spotřebu materiálu a emise skleníkových plynů</w:t>
            </w:r>
          </w:p>
          <w:p w:rsidR="004E212B" w:rsidRPr="00F1526D" w:rsidRDefault="00A475AF" w:rsidP="00380E13">
            <w:pPr>
              <w:numPr>
                <w:ilvl w:val="0"/>
                <w:numId w:val="18"/>
              </w:numPr>
              <w:spacing w:before="0" w:line="240" w:lineRule="auto"/>
              <w:contextualSpacing/>
              <w:jc w:val="left"/>
            </w:pPr>
            <w:r>
              <w:t>podhodnocený</w:t>
            </w:r>
            <w:r w:rsidRPr="00F1526D">
              <w:t xml:space="preserve"> </w:t>
            </w:r>
            <w:r w:rsidR="004E212B" w:rsidRPr="00F1526D">
              <w:t xml:space="preserve">potenciál pro </w:t>
            </w:r>
            <w:r>
              <w:t xml:space="preserve">využití </w:t>
            </w:r>
            <w:r w:rsidR="004E212B" w:rsidRPr="00F1526D">
              <w:t>obnovitelných zdrojů</w:t>
            </w:r>
          </w:p>
          <w:p w:rsidR="004E212B" w:rsidRDefault="004E212B" w:rsidP="00380E13">
            <w:pPr>
              <w:numPr>
                <w:ilvl w:val="0"/>
                <w:numId w:val="18"/>
              </w:numPr>
              <w:spacing w:before="0" w:line="240" w:lineRule="auto"/>
              <w:contextualSpacing/>
              <w:jc w:val="left"/>
            </w:pPr>
            <w:r w:rsidRPr="00F1526D">
              <w:t>vysoký podíl lokálních zdrojů využívajících nekvalitní paliva s vysokou emisí znečišťujících látek do ovzduší, zejména v imisně zatížených oblastech</w:t>
            </w:r>
          </w:p>
          <w:p w:rsidR="00847118" w:rsidRDefault="00847118" w:rsidP="00380E13">
            <w:pPr>
              <w:numPr>
                <w:ilvl w:val="0"/>
                <w:numId w:val="18"/>
              </w:numPr>
              <w:spacing w:before="0" w:line="240" w:lineRule="auto"/>
              <w:contextualSpacing/>
              <w:jc w:val="left"/>
            </w:pPr>
            <w:r w:rsidRPr="00590FD1">
              <w:t>pomalé a nedostatečné využívání potenciálu úspor energie v</w:t>
            </w:r>
            <w:r>
              <w:t> </w:t>
            </w:r>
            <w:r w:rsidRPr="00590FD1">
              <w:t>ČR</w:t>
            </w:r>
          </w:p>
          <w:p w:rsidR="00847118" w:rsidRDefault="00847118" w:rsidP="00380E13">
            <w:pPr>
              <w:numPr>
                <w:ilvl w:val="0"/>
                <w:numId w:val="18"/>
              </w:numPr>
              <w:spacing w:before="0" w:line="240" w:lineRule="auto"/>
              <w:contextualSpacing/>
              <w:jc w:val="left"/>
            </w:pPr>
            <w:r w:rsidRPr="00590FD1">
              <w:t>vysoký podíl uhlíkatých paliv v energetickém mixu</w:t>
            </w:r>
          </w:p>
          <w:p w:rsidR="00F412B1" w:rsidRPr="002F08D4" w:rsidRDefault="00F412B1" w:rsidP="00380E13">
            <w:pPr>
              <w:numPr>
                <w:ilvl w:val="0"/>
                <w:numId w:val="18"/>
              </w:numPr>
              <w:spacing w:before="0" w:line="240" w:lineRule="auto"/>
              <w:contextualSpacing/>
              <w:jc w:val="left"/>
            </w:pPr>
            <w:r w:rsidRPr="00CB4F93">
              <w:t>nízká připravenost na dopady klimatických změn (především dopady sucha), především pokud jde o budoucí energetický mix ČR</w:t>
            </w:r>
          </w:p>
        </w:tc>
      </w:tr>
      <w:tr w:rsidR="004E212B" w:rsidRPr="00F1526D" w:rsidTr="26A3AA47">
        <w:tc>
          <w:tcPr>
            <w:tcW w:w="2427"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Silné stránky</w:t>
            </w:r>
          </w:p>
        </w:tc>
        <w:tc>
          <w:tcPr>
            <w:tcW w:w="2573"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Slabé stránky</w:t>
            </w:r>
          </w:p>
        </w:tc>
      </w:tr>
      <w:tr w:rsidR="004E212B" w:rsidRPr="00F1526D" w:rsidTr="003C1DEA">
        <w:tc>
          <w:tcPr>
            <w:tcW w:w="2427" w:type="pct"/>
            <w:shd w:val="clear" w:color="auto" w:fill="auto"/>
          </w:tcPr>
          <w:p w:rsidR="004E212B" w:rsidRPr="00F1526D" w:rsidRDefault="004E212B" w:rsidP="004E212B">
            <w:pPr>
              <w:spacing w:before="60" w:after="60" w:line="259" w:lineRule="auto"/>
              <w:rPr>
                <w:rFonts w:eastAsiaTheme="majorEastAsia"/>
                <w:b/>
              </w:rPr>
            </w:pPr>
          </w:p>
        </w:tc>
        <w:tc>
          <w:tcPr>
            <w:tcW w:w="2573" w:type="pct"/>
            <w:shd w:val="clear" w:color="auto" w:fill="auto"/>
          </w:tcPr>
          <w:p w:rsidR="004E212B" w:rsidRPr="0005558F" w:rsidRDefault="004E212B" w:rsidP="004E212B">
            <w:pPr>
              <w:jc w:val="left"/>
              <w:rPr>
                <w:b/>
                <w:u w:val="single"/>
              </w:rPr>
            </w:pPr>
            <w:r w:rsidRPr="0005558F">
              <w:rPr>
                <w:b/>
                <w:u w:val="single"/>
              </w:rPr>
              <w:t>Ochrana životního prostředí a oběhové hospodářství</w:t>
            </w:r>
          </w:p>
          <w:p w:rsidR="004E212B" w:rsidRPr="00F1526D" w:rsidRDefault="004E212B" w:rsidP="00254F4C">
            <w:pPr>
              <w:numPr>
                <w:ilvl w:val="0"/>
                <w:numId w:val="16"/>
              </w:numPr>
              <w:spacing w:before="0" w:after="160" w:line="259" w:lineRule="auto"/>
              <w:ind w:left="309" w:hanging="270"/>
              <w:contextualSpacing/>
              <w:jc w:val="left"/>
            </w:pPr>
            <w:r w:rsidRPr="00F1526D">
              <w:t xml:space="preserve">zhoršování </w:t>
            </w:r>
            <w:r>
              <w:t>stavu</w:t>
            </w:r>
            <w:r w:rsidRPr="00F1526D">
              <w:t xml:space="preserve"> krajiny fragmentací liniovými stavbami, suburbanizací a velkoplošným zemědělstvím</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vysoký podíl orné půdy náchylné k erozi na celkové rozloze ČR</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 xml:space="preserve">zhoršování kvality zemědělské i lesní půdy </w:t>
            </w:r>
            <w:r>
              <w:t>příčinou</w:t>
            </w:r>
            <w:r w:rsidRPr="00F1526D">
              <w:t xml:space="preserve"> nevhodného hospodaření</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 xml:space="preserve">špatný stav mnohých přírodních stanovišť a nízká životaschopnost populací řady biologických druhů </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 xml:space="preserve">nevyhovující </w:t>
            </w:r>
            <w:r w:rsidR="003C6AA8">
              <w:t xml:space="preserve">druhová skladba i věková a prostorová </w:t>
            </w:r>
            <w:r w:rsidRPr="00F1526D">
              <w:t>struktura lesů</w:t>
            </w:r>
          </w:p>
          <w:p w:rsidR="004E212B" w:rsidRPr="00BD2246" w:rsidRDefault="004E212B" w:rsidP="00254F4C">
            <w:pPr>
              <w:numPr>
                <w:ilvl w:val="0"/>
                <w:numId w:val="16"/>
              </w:numPr>
              <w:spacing w:before="0" w:after="160" w:line="259" w:lineRule="auto"/>
              <w:ind w:left="309" w:hanging="270"/>
              <w:contextualSpacing/>
              <w:jc w:val="left"/>
              <w:rPr>
                <w:rFonts w:eastAsiaTheme="minorEastAsia"/>
              </w:rPr>
            </w:pPr>
            <w:r>
              <w:t>nízká retence vody v krajině</w:t>
            </w:r>
          </w:p>
          <w:p w:rsidR="004E212B" w:rsidRPr="00BD2246" w:rsidRDefault="004E212B" w:rsidP="00254F4C">
            <w:pPr>
              <w:numPr>
                <w:ilvl w:val="0"/>
                <w:numId w:val="16"/>
              </w:numPr>
              <w:spacing w:before="0" w:after="160" w:line="259" w:lineRule="auto"/>
              <w:ind w:left="309" w:hanging="270"/>
              <w:contextualSpacing/>
              <w:jc w:val="left"/>
            </w:pPr>
            <w:r w:rsidRPr="00BD2246">
              <w:t>eutrofizace povrchových vod následkem zatížení živinami ze zemědělské půdy a bodových zdrojů znečištění</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nevyužívání brownfieldů přispívající k extenzivnímu rozvoji měst a obcí</w:t>
            </w:r>
          </w:p>
          <w:p w:rsidR="004E212B" w:rsidRPr="00F1526D" w:rsidRDefault="004E212B" w:rsidP="00254F4C">
            <w:pPr>
              <w:numPr>
                <w:ilvl w:val="0"/>
                <w:numId w:val="16"/>
              </w:numPr>
              <w:spacing w:before="0" w:after="160" w:line="259" w:lineRule="auto"/>
              <w:ind w:left="309" w:hanging="270"/>
              <w:contextualSpacing/>
              <w:jc w:val="left"/>
              <w:rPr>
                <w:rFonts w:eastAsiaTheme="minorHAnsi"/>
              </w:rPr>
            </w:pPr>
            <w:r w:rsidRPr="00F1526D">
              <w:t xml:space="preserve">vysoká míra skládkování komunálního odpadu  </w:t>
            </w:r>
          </w:p>
          <w:p w:rsidR="004E212B" w:rsidRPr="00F1526D" w:rsidRDefault="004E212B" w:rsidP="00254F4C">
            <w:pPr>
              <w:numPr>
                <w:ilvl w:val="0"/>
                <w:numId w:val="16"/>
              </w:numPr>
              <w:spacing w:before="0" w:after="160" w:line="259" w:lineRule="auto"/>
              <w:ind w:hanging="338"/>
              <w:contextualSpacing/>
              <w:jc w:val="left"/>
              <w:rPr>
                <w:rFonts w:eastAsiaTheme="minorHAnsi"/>
              </w:rPr>
            </w:pPr>
            <w:r w:rsidRPr="00F1526D">
              <w:t>rezervy ve využívání stávající infrastruktury zemního plynu pro vytápění domácností (vysoký počet „mrtvých“ přípojek)</w:t>
            </w:r>
          </w:p>
          <w:p w:rsidR="004E212B" w:rsidRPr="00F1526D" w:rsidRDefault="004E212B" w:rsidP="00254F4C">
            <w:pPr>
              <w:numPr>
                <w:ilvl w:val="0"/>
                <w:numId w:val="16"/>
              </w:numPr>
              <w:spacing w:before="0" w:after="160" w:line="259" w:lineRule="auto"/>
              <w:contextualSpacing/>
              <w:jc w:val="left"/>
              <w:rPr>
                <w:rFonts w:eastAsiaTheme="minorEastAsia"/>
              </w:rPr>
            </w:pPr>
            <w:r>
              <w:t>nedostatečná síť imisního monitoringu a neúplná bilance emisí (zejména v případě fugitivních emisí tuhých znečišťujících látek a reemisí)</w:t>
            </w:r>
          </w:p>
          <w:p w:rsidR="004E212B" w:rsidRPr="00F1526D" w:rsidRDefault="004E212B" w:rsidP="00254F4C">
            <w:pPr>
              <w:numPr>
                <w:ilvl w:val="0"/>
                <w:numId w:val="16"/>
              </w:numPr>
              <w:spacing w:before="0" w:after="160" w:line="256" w:lineRule="auto"/>
              <w:contextualSpacing/>
              <w:jc w:val="left"/>
              <w:rPr>
                <w:rFonts w:eastAsiaTheme="minorHAnsi"/>
              </w:rPr>
            </w:pPr>
            <w:r w:rsidRPr="00F1526D">
              <w:t>nízké povědomí veřejnosti o dopadech kvality ovzduší na zdraví a její malé zapojení do procesu zlepšování kvality ovzduší</w:t>
            </w:r>
          </w:p>
          <w:p w:rsidR="004E212B" w:rsidRPr="0005558F" w:rsidRDefault="004E212B" w:rsidP="004E212B">
            <w:pPr>
              <w:jc w:val="left"/>
              <w:rPr>
                <w:b/>
                <w:u w:val="single"/>
              </w:rPr>
            </w:pPr>
            <w:r w:rsidRPr="0005558F">
              <w:rPr>
                <w:b/>
                <w:u w:val="single"/>
              </w:rPr>
              <w:t>Kultura</w:t>
            </w:r>
          </w:p>
          <w:p w:rsidR="004E212B" w:rsidRDefault="004E212B" w:rsidP="00254F4C">
            <w:pPr>
              <w:numPr>
                <w:ilvl w:val="0"/>
                <w:numId w:val="16"/>
              </w:numPr>
              <w:pBdr>
                <w:bar w:val="none" w:sz="0" w:color="000000"/>
              </w:pBdr>
              <w:spacing w:before="0" w:after="160" w:line="256" w:lineRule="auto"/>
              <w:contextualSpacing/>
              <w:jc w:val="left"/>
            </w:pPr>
            <w:r w:rsidRPr="0052623F">
              <w:t xml:space="preserve">dlouhodobé podfinancování </w:t>
            </w:r>
            <w:r w:rsidR="00B76222">
              <w:t xml:space="preserve">údržby </w:t>
            </w:r>
            <w:r w:rsidRPr="0052623F">
              <w:t>památek</w:t>
            </w:r>
          </w:p>
          <w:p w:rsidR="004E212B" w:rsidRPr="0052623F" w:rsidRDefault="004E212B" w:rsidP="00254F4C">
            <w:pPr>
              <w:numPr>
                <w:ilvl w:val="0"/>
                <w:numId w:val="16"/>
              </w:numPr>
              <w:pBdr>
                <w:bar w:val="none" w:sz="0" w:color="000000"/>
              </w:pBdr>
              <w:spacing w:before="0" w:after="160" w:line="256" w:lineRule="auto"/>
              <w:contextualSpacing/>
              <w:jc w:val="left"/>
            </w:pPr>
            <w:r w:rsidRPr="002F08D4">
              <w:t>nevyužitý potenciál velkého množství památek</w:t>
            </w:r>
          </w:p>
          <w:p w:rsidR="004E212B" w:rsidRDefault="004E212B" w:rsidP="00254F4C">
            <w:pPr>
              <w:numPr>
                <w:ilvl w:val="0"/>
                <w:numId w:val="16"/>
              </w:numPr>
              <w:pBdr>
                <w:bar w:val="none" w:sz="0" w:color="000000"/>
              </w:pBdr>
              <w:spacing w:before="0" w:after="160" w:line="256" w:lineRule="auto"/>
              <w:contextualSpacing/>
              <w:jc w:val="left"/>
            </w:pPr>
            <w:r w:rsidRPr="004B5369">
              <w:t>absence uceleného systému vzdělávání a edukace</w:t>
            </w:r>
          </w:p>
          <w:p w:rsidR="004E212B" w:rsidRDefault="004E212B" w:rsidP="00254F4C">
            <w:pPr>
              <w:numPr>
                <w:ilvl w:val="0"/>
                <w:numId w:val="16"/>
              </w:numPr>
              <w:pBdr>
                <w:bar w:val="none" w:sz="0" w:color="000000"/>
              </w:pBdr>
              <w:spacing w:before="0" w:after="160" w:line="256" w:lineRule="auto"/>
              <w:contextualSpacing/>
              <w:jc w:val="left"/>
            </w:pPr>
            <w:r w:rsidRPr="002F08D4">
              <w:t>konzervativnost a malá mezinárodní zkušenost</w:t>
            </w:r>
            <w:r w:rsidRPr="00412C01">
              <w:rPr>
                <w:lang w:eastAsia="cs-CZ"/>
              </w:rPr>
              <w:t xml:space="preserve"> pracovníků v oblasti kultury</w:t>
            </w:r>
          </w:p>
          <w:p w:rsidR="004E212B" w:rsidRDefault="00C26A47" w:rsidP="00254F4C">
            <w:pPr>
              <w:numPr>
                <w:ilvl w:val="0"/>
                <w:numId w:val="16"/>
              </w:numPr>
              <w:pBdr>
                <w:bar w:val="none" w:sz="0" w:color="000000"/>
              </w:pBdr>
              <w:spacing w:before="0" w:after="160" w:line="256" w:lineRule="auto"/>
              <w:contextualSpacing/>
              <w:jc w:val="left"/>
            </w:pPr>
            <w:r>
              <w:rPr>
                <w:lang w:eastAsia="cs-CZ"/>
              </w:rPr>
              <w:t>nekvalitní</w:t>
            </w:r>
            <w:r w:rsidRPr="007C202C">
              <w:rPr>
                <w:lang w:eastAsia="cs-CZ"/>
              </w:rPr>
              <w:t xml:space="preserve"> </w:t>
            </w:r>
            <w:r w:rsidR="004E212B" w:rsidRPr="007C202C">
              <w:rPr>
                <w:lang w:eastAsia="cs-CZ"/>
              </w:rPr>
              <w:t>plnění role zřizovatelů</w:t>
            </w:r>
          </w:p>
          <w:p w:rsidR="004E212B" w:rsidRDefault="004E212B" w:rsidP="00254F4C">
            <w:pPr>
              <w:numPr>
                <w:ilvl w:val="0"/>
                <w:numId w:val="16"/>
              </w:numPr>
              <w:pBdr>
                <w:bar w:val="none" w:sz="0" w:color="000000"/>
              </w:pBdr>
              <w:spacing w:before="0" w:after="160" w:line="256" w:lineRule="auto"/>
              <w:contextualSpacing/>
              <w:jc w:val="left"/>
            </w:pPr>
            <w:r w:rsidRPr="007C202C">
              <w:rPr>
                <w:lang w:eastAsia="cs-CZ"/>
              </w:rPr>
              <w:t>nekoncepč</w:t>
            </w:r>
            <w:r w:rsidRPr="004F139B">
              <w:rPr>
                <w:lang w:eastAsia="cs-CZ"/>
              </w:rPr>
              <w:t>ní řízení kulturních institucí,</w:t>
            </w:r>
          </w:p>
          <w:p w:rsidR="004E212B" w:rsidRDefault="004E212B" w:rsidP="00254F4C">
            <w:pPr>
              <w:numPr>
                <w:ilvl w:val="0"/>
                <w:numId w:val="16"/>
              </w:numPr>
              <w:pBdr>
                <w:bar w:val="none" w:sz="0" w:color="000000"/>
              </w:pBdr>
              <w:spacing w:before="0" w:after="160" w:line="256" w:lineRule="auto"/>
              <w:contextualSpacing/>
              <w:jc w:val="left"/>
            </w:pPr>
            <w:r w:rsidRPr="007C202C">
              <w:rPr>
                <w:lang w:eastAsia="cs-CZ"/>
              </w:rPr>
              <w:t>preference</w:t>
            </w:r>
            <w:r w:rsidRPr="004F139B">
              <w:rPr>
                <w:lang w:eastAsia="cs-CZ"/>
              </w:rPr>
              <w:t xml:space="preserve"> krátkodobých cílů, před naplňováním dlouhodobých vizí souznících s národní a evropskou strategií</w:t>
            </w:r>
          </w:p>
          <w:p w:rsidR="004E212B" w:rsidRDefault="004E212B" w:rsidP="00254F4C">
            <w:pPr>
              <w:numPr>
                <w:ilvl w:val="0"/>
                <w:numId w:val="16"/>
              </w:numPr>
              <w:pBdr>
                <w:bar w:val="none" w:sz="0" w:color="000000"/>
              </w:pBdr>
              <w:spacing w:before="0" w:after="160" w:line="256" w:lineRule="auto"/>
              <w:contextualSpacing/>
              <w:jc w:val="left"/>
            </w:pPr>
            <w:r w:rsidRPr="007C202C">
              <w:rPr>
                <w:lang w:eastAsia="cs-CZ"/>
              </w:rPr>
              <w:t>ned</w:t>
            </w:r>
            <w:r w:rsidRPr="004F139B">
              <w:rPr>
                <w:lang w:eastAsia="cs-CZ"/>
              </w:rPr>
              <w:t>ostatečné zabezpečení a ochrana</w:t>
            </w:r>
            <w:r w:rsidR="003C6AA8">
              <w:rPr>
                <w:lang w:eastAsia="cs-CZ"/>
              </w:rPr>
              <w:t xml:space="preserve"> památek</w:t>
            </w:r>
          </w:p>
          <w:p w:rsidR="004E212B" w:rsidRDefault="004E212B" w:rsidP="00254F4C">
            <w:pPr>
              <w:numPr>
                <w:ilvl w:val="0"/>
                <w:numId w:val="16"/>
              </w:numPr>
              <w:pBdr>
                <w:bar w:val="none" w:sz="0" w:color="000000"/>
              </w:pBdr>
              <w:spacing w:before="0" w:after="160" w:line="256" w:lineRule="auto"/>
              <w:contextualSpacing/>
              <w:jc w:val="left"/>
            </w:pPr>
            <w:r w:rsidRPr="004E212B">
              <w:rPr>
                <w:lang w:eastAsia="cs-CZ"/>
              </w:rPr>
              <w:t>nedostatečná komunikace role kultury</w:t>
            </w:r>
          </w:p>
          <w:p w:rsidR="00597642" w:rsidRPr="00597642" w:rsidRDefault="00597642" w:rsidP="00D841D7">
            <w:pPr>
              <w:numPr>
                <w:ilvl w:val="0"/>
                <w:numId w:val="16"/>
              </w:numPr>
              <w:pBdr>
                <w:bar w:val="none" w:sz="0" w:color="000000"/>
              </w:pBdr>
              <w:spacing w:before="0" w:after="160" w:line="256" w:lineRule="auto"/>
              <w:contextualSpacing/>
              <w:jc w:val="left"/>
            </w:pPr>
            <w:r w:rsidRPr="00590FD1">
              <w:rPr>
                <w:color w:val="000000" w:themeColor="text1"/>
              </w:rPr>
              <w:t>dlouhodobé podfinancování zaměstnanců lokálních kulturních institucí</w:t>
            </w:r>
          </w:p>
          <w:p w:rsidR="004E212B" w:rsidRDefault="004E212B" w:rsidP="00254F4C">
            <w:pPr>
              <w:numPr>
                <w:ilvl w:val="0"/>
                <w:numId w:val="16"/>
              </w:numPr>
              <w:pBdr>
                <w:bar w:val="none" w:sz="0" w:color="000000"/>
              </w:pBdr>
              <w:spacing w:before="0" w:after="160" w:line="256" w:lineRule="auto"/>
              <w:contextualSpacing/>
              <w:jc w:val="left"/>
            </w:pPr>
            <w:r w:rsidRPr="00F1526D">
              <w:rPr>
                <w:lang w:eastAsia="cs-CZ"/>
              </w:rPr>
              <w:t>neochota mezirezortních řešení problematiky kulturních a kreativních průmyslů</w:t>
            </w:r>
          </w:p>
          <w:p w:rsidR="00FE457D" w:rsidRDefault="00FE457D" w:rsidP="00AA3B81">
            <w:pPr>
              <w:pBdr>
                <w:bar w:val="none" w:sz="0" w:color="000000"/>
              </w:pBdr>
              <w:jc w:val="left"/>
              <w:rPr>
                <w:b/>
                <w:u w:val="single"/>
              </w:rPr>
            </w:pPr>
            <w:r w:rsidRPr="002F08D4">
              <w:rPr>
                <w:b/>
                <w:u w:val="single"/>
              </w:rPr>
              <w:t>Cestovní ruch</w:t>
            </w:r>
          </w:p>
          <w:p w:rsidR="00FE457D" w:rsidRDefault="00B76222" w:rsidP="00254F4C">
            <w:pPr>
              <w:numPr>
                <w:ilvl w:val="0"/>
                <w:numId w:val="16"/>
              </w:numPr>
              <w:pBdr>
                <w:bar w:val="none" w:sz="0" w:color="000000"/>
              </w:pBdr>
              <w:spacing w:before="0" w:after="160" w:line="256" w:lineRule="auto"/>
              <w:contextualSpacing/>
              <w:jc w:val="left"/>
            </w:pPr>
            <w:r>
              <w:t>nedostatečně rozvinuté</w:t>
            </w:r>
            <w:r w:rsidR="001F76AB">
              <w:t xml:space="preserve"> řízení cestovního ruchu </w:t>
            </w:r>
            <w:r>
              <w:t>v regionech</w:t>
            </w:r>
          </w:p>
          <w:p w:rsidR="00B76222" w:rsidRDefault="00B76222" w:rsidP="00B76222">
            <w:pPr>
              <w:numPr>
                <w:ilvl w:val="0"/>
                <w:numId w:val="16"/>
              </w:numPr>
              <w:pBdr>
                <w:bar w:val="none" w:sz="0" w:color="000000"/>
              </w:pBdr>
              <w:spacing w:before="0" w:after="160" w:line="256" w:lineRule="auto"/>
              <w:contextualSpacing/>
              <w:jc w:val="left"/>
            </w:pPr>
            <w:r>
              <w:t>nedostatek kompetentních pracovních sil</w:t>
            </w:r>
          </w:p>
          <w:p w:rsidR="00B76222" w:rsidRDefault="00B76222" w:rsidP="00B76222">
            <w:pPr>
              <w:numPr>
                <w:ilvl w:val="0"/>
                <w:numId w:val="16"/>
              </w:numPr>
              <w:pBdr>
                <w:bar w:val="none" w:sz="0" w:color="000000"/>
              </w:pBdr>
              <w:spacing w:before="0" w:after="160" w:line="256" w:lineRule="auto"/>
              <w:contextualSpacing/>
              <w:jc w:val="left"/>
            </w:pPr>
            <w:r>
              <w:t>rozdílná úroveň nabídky a kvality služeb v regionech</w:t>
            </w:r>
          </w:p>
          <w:p w:rsidR="00B76222" w:rsidRDefault="00B76222" w:rsidP="00B76222">
            <w:pPr>
              <w:numPr>
                <w:ilvl w:val="0"/>
                <w:numId w:val="16"/>
              </w:numPr>
              <w:pBdr>
                <w:bar w:val="none" w:sz="0" w:color="000000"/>
              </w:pBdr>
              <w:spacing w:before="0" w:after="160" w:line="256" w:lineRule="auto"/>
              <w:contextualSpacing/>
              <w:jc w:val="left"/>
            </w:pPr>
            <w:r>
              <w:t>absence systematického výzkumu pro oblast CR</w:t>
            </w:r>
          </w:p>
          <w:p w:rsidR="00B76222" w:rsidRDefault="00B76222" w:rsidP="00B76222">
            <w:pPr>
              <w:numPr>
                <w:ilvl w:val="0"/>
                <w:numId w:val="16"/>
              </w:numPr>
              <w:pBdr>
                <w:bar w:val="none" w:sz="0" w:color="000000"/>
              </w:pBdr>
              <w:spacing w:before="0" w:after="160" w:line="256" w:lineRule="auto"/>
              <w:contextualSpacing/>
              <w:jc w:val="left"/>
            </w:pPr>
            <w:r>
              <w:t>resortismus (CR je průřezová oblast, která má vazbu na činnost mnoha resortů, v kompetenci pouze MMR)</w:t>
            </w:r>
          </w:p>
          <w:p w:rsidR="00B76222" w:rsidRDefault="00B76222" w:rsidP="00E93AF0">
            <w:pPr>
              <w:numPr>
                <w:ilvl w:val="0"/>
                <w:numId w:val="16"/>
              </w:numPr>
              <w:pBdr>
                <w:bar w:val="none" w:sz="0" w:color="000000"/>
              </w:pBdr>
              <w:spacing w:before="0" w:after="160" w:line="256" w:lineRule="auto"/>
              <w:contextualSpacing/>
              <w:jc w:val="left"/>
            </w:pPr>
            <w:r>
              <w:t>Dlouhodobé podfinancování sektoru a nedocenění významu pro národní hospodářství</w:t>
            </w:r>
          </w:p>
          <w:p w:rsidR="001F76AB" w:rsidRDefault="001F76AB" w:rsidP="00254F4C">
            <w:pPr>
              <w:numPr>
                <w:ilvl w:val="0"/>
                <w:numId w:val="16"/>
              </w:numPr>
              <w:pBdr>
                <w:bar w:val="none" w:sz="0" w:color="000000"/>
              </w:pBdr>
              <w:spacing w:before="0" w:after="160" w:line="256" w:lineRule="auto"/>
              <w:contextualSpacing/>
              <w:jc w:val="left"/>
            </w:pPr>
            <w:r>
              <w:t>nízká kvalita služeb v málo rozvinutých destinacích</w:t>
            </w:r>
          </w:p>
          <w:p w:rsidR="001F76AB" w:rsidRDefault="001F76AB" w:rsidP="00254F4C">
            <w:pPr>
              <w:numPr>
                <w:ilvl w:val="0"/>
                <w:numId w:val="16"/>
              </w:numPr>
              <w:pBdr>
                <w:bar w:val="none" w:sz="0" w:color="000000"/>
              </w:pBdr>
              <w:spacing w:before="0" w:after="160" w:line="256" w:lineRule="auto"/>
              <w:contextualSpacing/>
              <w:jc w:val="left"/>
            </w:pPr>
            <w:r>
              <w:t xml:space="preserve">přetíženost </w:t>
            </w:r>
            <w:r w:rsidR="00B76222">
              <w:t>některých částí</w:t>
            </w:r>
            <w:r w:rsidR="00AB4B07">
              <w:t xml:space="preserve"> centra</w:t>
            </w:r>
            <w:r w:rsidR="00B76222">
              <w:t xml:space="preserve"> </w:t>
            </w:r>
            <w:r>
              <w:t>Prahy turismem</w:t>
            </w:r>
          </w:p>
          <w:p w:rsidR="001F76AB" w:rsidRDefault="001F76AB" w:rsidP="00254F4C">
            <w:pPr>
              <w:numPr>
                <w:ilvl w:val="0"/>
                <w:numId w:val="16"/>
              </w:numPr>
              <w:pBdr>
                <w:bar w:val="none" w:sz="0" w:color="000000"/>
              </w:pBdr>
              <w:spacing w:before="0" w:after="160" w:line="256" w:lineRule="auto"/>
              <w:contextualSpacing/>
              <w:jc w:val="left"/>
            </w:pPr>
            <w:r>
              <w:t>konflikty mezi cestovním ruchem a potřebami rezidentů</w:t>
            </w:r>
            <w:r w:rsidR="00B76222">
              <w:t xml:space="preserve"> ve vybraných lokalitách</w:t>
            </w:r>
          </w:p>
          <w:p w:rsidR="001F76AB" w:rsidRDefault="001F76AB" w:rsidP="00254F4C">
            <w:pPr>
              <w:numPr>
                <w:ilvl w:val="0"/>
                <w:numId w:val="16"/>
              </w:numPr>
              <w:pBdr>
                <w:bar w:val="none" w:sz="0" w:color="000000"/>
              </w:pBdr>
              <w:spacing w:before="0" w:after="160" w:line="256" w:lineRule="auto"/>
              <w:contextualSpacing/>
              <w:jc w:val="left"/>
            </w:pPr>
            <w:r>
              <w:t>dopady masového turismu na udržitelnost lokality (hluk, odpady, ekologické škody)</w:t>
            </w:r>
          </w:p>
          <w:p w:rsidR="001F76AB" w:rsidRDefault="001F76AB" w:rsidP="00771E72">
            <w:pPr>
              <w:numPr>
                <w:ilvl w:val="0"/>
                <w:numId w:val="16"/>
              </w:numPr>
              <w:pBdr>
                <w:bar w:val="none" w:sz="0" w:color="000000"/>
              </w:pBdr>
              <w:spacing w:before="0" w:after="160" w:line="256" w:lineRule="auto"/>
              <w:contextualSpacing/>
              <w:jc w:val="left"/>
            </w:pPr>
            <w:r>
              <w:t>nízká kvalita dopravní infrastruktury v destinacích/regionech</w:t>
            </w:r>
          </w:p>
          <w:p w:rsidR="00B76222" w:rsidRPr="002F08D4" w:rsidRDefault="00B76222" w:rsidP="00F41D0E">
            <w:pPr>
              <w:numPr>
                <w:ilvl w:val="0"/>
                <w:numId w:val="16"/>
              </w:numPr>
              <w:pBdr>
                <w:bar w:val="none" w:sz="0" w:color="000000"/>
              </w:pBdr>
              <w:spacing w:before="0" w:after="160" w:line="256" w:lineRule="auto"/>
              <w:contextualSpacing/>
              <w:jc w:val="left"/>
            </w:pPr>
            <w:r>
              <w:t>absence propojení regionálních a lokálních turistických tras a stezek na páteřní a mezinárodní trasy</w:t>
            </w:r>
          </w:p>
        </w:tc>
      </w:tr>
      <w:tr w:rsidR="004E212B" w:rsidRPr="00F1526D" w:rsidTr="26A3AA47">
        <w:tc>
          <w:tcPr>
            <w:tcW w:w="2427"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Příležitosti</w:t>
            </w:r>
          </w:p>
        </w:tc>
        <w:tc>
          <w:tcPr>
            <w:tcW w:w="2573" w:type="pct"/>
            <w:shd w:val="clear" w:color="auto" w:fill="DBE5F1" w:themeFill="accent1" w:themeFillTint="33"/>
          </w:tcPr>
          <w:p w:rsidR="004E212B" w:rsidRPr="00F1526D" w:rsidRDefault="004E212B" w:rsidP="004E212B">
            <w:pPr>
              <w:spacing w:before="60" w:after="60" w:line="259" w:lineRule="auto"/>
              <w:rPr>
                <w:rFonts w:eastAsiaTheme="majorEastAsia"/>
                <w:b/>
              </w:rPr>
            </w:pPr>
            <w:r w:rsidRPr="00F1526D">
              <w:rPr>
                <w:rFonts w:eastAsiaTheme="majorEastAsia"/>
                <w:b/>
              </w:rPr>
              <w:t>Hrozby</w:t>
            </w:r>
          </w:p>
        </w:tc>
      </w:tr>
      <w:tr w:rsidR="00830C90" w:rsidRPr="00F1526D" w:rsidTr="003C1DEA">
        <w:tc>
          <w:tcPr>
            <w:tcW w:w="2427" w:type="pct"/>
            <w:shd w:val="clear" w:color="auto" w:fill="auto"/>
          </w:tcPr>
          <w:p w:rsidR="00830C90" w:rsidRPr="00F1526D" w:rsidRDefault="00830C90" w:rsidP="00830C90">
            <w:pPr>
              <w:jc w:val="left"/>
              <w:rPr>
                <w:b/>
                <w:u w:val="single"/>
              </w:rPr>
            </w:pPr>
            <w:r w:rsidRPr="00F1526D">
              <w:rPr>
                <w:b/>
                <w:u w:val="single"/>
              </w:rPr>
              <w:t xml:space="preserve"> Trh práce a zaměstnanost</w:t>
            </w:r>
          </w:p>
          <w:p w:rsidR="00830C90" w:rsidRPr="00F1526D" w:rsidRDefault="00830C90" w:rsidP="00254F4C">
            <w:pPr>
              <w:numPr>
                <w:ilvl w:val="0"/>
                <w:numId w:val="16"/>
              </w:numPr>
              <w:spacing w:before="0" w:line="240" w:lineRule="auto"/>
              <w:ind w:left="309" w:hanging="270"/>
              <w:contextualSpacing/>
              <w:jc w:val="left"/>
            </w:pPr>
            <w:r w:rsidRPr="00F1526D">
              <w:t>fungující systém dalšího profesního vzdělávání</w:t>
            </w:r>
          </w:p>
          <w:p w:rsidR="00830C90" w:rsidRDefault="00830C90" w:rsidP="00254F4C">
            <w:pPr>
              <w:numPr>
                <w:ilvl w:val="0"/>
                <w:numId w:val="16"/>
              </w:numPr>
              <w:spacing w:before="0" w:line="240" w:lineRule="auto"/>
              <w:ind w:left="309" w:hanging="270"/>
              <w:contextualSpacing/>
              <w:jc w:val="left"/>
            </w:pPr>
            <w:r>
              <w:t>využití práce studentů, seniorů a osob pečujících, jejich začlenění do trhu práce</w:t>
            </w:r>
          </w:p>
          <w:p w:rsidR="00830C90" w:rsidRPr="00F1526D" w:rsidRDefault="00830C90" w:rsidP="00254F4C">
            <w:pPr>
              <w:numPr>
                <w:ilvl w:val="0"/>
                <w:numId w:val="16"/>
              </w:numPr>
              <w:spacing w:before="0" w:line="240" w:lineRule="auto"/>
              <w:ind w:left="309" w:hanging="270"/>
              <w:contextualSpacing/>
              <w:jc w:val="left"/>
            </w:pPr>
            <w:r w:rsidRPr="00F1526D">
              <w:t xml:space="preserve">vliv digitalizace a robotizace na trh práce v souvislosti s Průmyslem 4.0 </w:t>
            </w:r>
            <w:r>
              <w:t>–</w:t>
            </w:r>
            <w:r w:rsidRPr="00F1526D">
              <w:t xml:space="preserve"> </w:t>
            </w:r>
            <w:r>
              <w:t>vznik nových</w:t>
            </w:r>
            <w:r w:rsidRPr="00F1526D">
              <w:t xml:space="preserve"> pracovních míst</w:t>
            </w:r>
          </w:p>
          <w:p w:rsidR="00830C90" w:rsidRPr="00F1526D" w:rsidRDefault="00830C90" w:rsidP="00830C90">
            <w:pPr>
              <w:jc w:val="left"/>
              <w:rPr>
                <w:b/>
                <w:u w:val="single"/>
              </w:rPr>
            </w:pPr>
            <w:r w:rsidRPr="00F1526D">
              <w:rPr>
                <w:b/>
                <w:u w:val="single"/>
              </w:rPr>
              <w:t>Vzdělávání</w:t>
            </w:r>
          </w:p>
          <w:p w:rsidR="00830C90" w:rsidRPr="00F1526D" w:rsidRDefault="00830C90" w:rsidP="00254F4C">
            <w:pPr>
              <w:numPr>
                <w:ilvl w:val="0"/>
                <w:numId w:val="17"/>
              </w:numPr>
              <w:spacing w:before="0" w:line="240" w:lineRule="auto"/>
              <w:ind w:left="313" w:hanging="266"/>
              <w:contextualSpacing/>
              <w:jc w:val="left"/>
            </w:pPr>
            <w:r w:rsidRPr="00F1526D">
              <w:t>dobré předpoklady pro vzdělávání v oborech spojených s ICT</w:t>
            </w:r>
          </w:p>
          <w:p w:rsidR="00830C90" w:rsidRPr="00F1526D" w:rsidRDefault="00830C90" w:rsidP="00254F4C">
            <w:pPr>
              <w:numPr>
                <w:ilvl w:val="0"/>
                <w:numId w:val="17"/>
              </w:numPr>
              <w:spacing w:before="0" w:line="240" w:lineRule="auto"/>
              <w:ind w:left="313" w:hanging="266"/>
              <w:contextualSpacing/>
              <w:jc w:val="left"/>
            </w:pPr>
            <w:r w:rsidRPr="00F1526D">
              <w:t xml:space="preserve">individualizace přístupu k žákům včetně rozvoje žáků a studentů nadaných, rozvoj personalizace vzdělávání  </w:t>
            </w:r>
          </w:p>
          <w:p w:rsidR="00830C90" w:rsidRPr="00F1526D" w:rsidRDefault="00830C90" w:rsidP="00D23C81">
            <w:pPr>
              <w:numPr>
                <w:ilvl w:val="0"/>
                <w:numId w:val="17"/>
              </w:numPr>
              <w:spacing w:before="0" w:line="240" w:lineRule="auto"/>
              <w:ind w:left="313" w:hanging="266"/>
              <w:contextualSpacing/>
              <w:jc w:val="left"/>
            </w:pPr>
            <w:r w:rsidRPr="00F1526D">
              <w:t xml:space="preserve">připravenost škol na společenské změny související s konceptem </w:t>
            </w:r>
            <w:r>
              <w:t xml:space="preserve">Společnost 4.0 a </w:t>
            </w:r>
            <w:r w:rsidRPr="00F1526D">
              <w:t>Průmysl 4.0</w:t>
            </w:r>
          </w:p>
          <w:p w:rsidR="00830C90" w:rsidRPr="00F1526D" w:rsidRDefault="00830C90" w:rsidP="00830C90">
            <w:pPr>
              <w:jc w:val="left"/>
              <w:rPr>
                <w:b/>
                <w:u w:val="single"/>
              </w:rPr>
            </w:pPr>
            <w:r w:rsidRPr="00F1526D">
              <w:rPr>
                <w:b/>
                <w:u w:val="single"/>
              </w:rPr>
              <w:t>Sociální začleňování, boj s chudobou a péče o zdraví</w:t>
            </w:r>
          </w:p>
          <w:p w:rsidR="00830C90" w:rsidRDefault="00830C90" w:rsidP="00254F4C">
            <w:pPr>
              <w:numPr>
                <w:ilvl w:val="0"/>
                <w:numId w:val="18"/>
              </w:numPr>
              <w:spacing w:before="0" w:line="240" w:lineRule="auto"/>
              <w:ind w:left="306" w:hanging="273"/>
              <w:contextualSpacing/>
              <w:jc w:val="left"/>
            </w:pPr>
            <w:r w:rsidRPr="00F1526D">
              <w:t>zvyšování dostupnosti veřejných služeb v periferních oblastech vedoucí k omezování vylidňování</w:t>
            </w:r>
          </w:p>
          <w:p w:rsidR="00830C90" w:rsidRPr="00F1526D" w:rsidRDefault="00830C90" w:rsidP="00254F4C">
            <w:pPr>
              <w:numPr>
                <w:ilvl w:val="0"/>
                <w:numId w:val="18"/>
              </w:numPr>
              <w:spacing w:before="0" w:line="240" w:lineRule="auto"/>
              <w:ind w:left="306" w:hanging="273"/>
              <w:contextualSpacing/>
              <w:jc w:val="left"/>
            </w:pPr>
            <w:r>
              <w:t>rozvoj sociálního podnikání</w:t>
            </w:r>
          </w:p>
          <w:p w:rsidR="00830C90" w:rsidRPr="00F1526D" w:rsidRDefault="00830C90" w:rsidP="00254F4C">
            <w:pPr>
              <w:numPr>
                <w:ilvl w:val="0"/>
                <w:numId w:val="18"/>
              </w:numPr>
              <w:spacing w:before="0" w:line="240" w:lineRule="auto"/>
              <w:ind w:left="306" w:hanging="273"/>
              <w:contextualSpacing/>
              <w:jc w:val="left"/>
            </w:pPr>
            <w:r w:rsidRPr="00F1526D">
              <w:t>zvyšování personálního zajištění výkonu sociální práce</w:t>
            </w:r>
          </w:p>
          <w:p w:rsidR="00830C90" w:rsidRDefault="00830C90" w:rsidP="00254F4C">
            <w:pPr>
              <w:numPr>
                <w:ilvl w:val="0"/>
                <w:numId w:val="18"/>
              </w:numPr>
              <w:spacing w:before="0" w:line="240" w:lineRule="auto"/>
              <w:ind w:left="306" w:hanging="273"/>
              <w:jc w:val="left"/>
            </w:pPr>
            <w:r>
              <w:t>zavedení pozice sociálního pracovníka ve škole</w:t>
            </w:r>
          </w:p>
          <w:p w:rsidR="00830C90" w:rsidRDefault="00830C90" w:rsidP="00254F4C">
            <w:pPr>
              <w:numPr>
                <w:ilvl w:val="0"/>
                <w:numId w:val="18"/>
              </w:numPr>
              <w:spacing w:before="0" w:line="240" w:lineRule="auto"/>
              <w:ind w:left="306" w:hanging="273"/>
              <w:jc w:val="left"/>
            </w:pPr>
            <w:r w:rsidRPr="2D57A07C">
              <w:rPr>
                <w:rFonts w:eastAsia="Arial"/>
              </w:rPr>
              <w:t>zvýšení dostupnosti a kvality péče a služeb zdravotně-sociálního pomezí</w:t>
            </w:r>
          </w:p>
          <w:p w:rsidR="00830C90" w:rsidRPr="00F1526D" w:rsidRDefault="00830C90" w:rsidP="00830C90">
            <w:pPr>
              <w:jc w:val="left"/>
              <w:rPr>
                <w:b/>
                <w:bCs/>
                <w:u w:val="single"/>
              </w:rPr>
            </w:pPr>
            <w:r w:rsidRPr="2D57A07C">
              <w:rPr>
                <w:b/>
                <w:bCs/>
                <w:u w:val="single"/>
              </w:rPr>
              <w:t>Veřejná správa a bezpečnost</w:t>
            </w:r>
          </w:p>
          <w:p w:rsidR="00830C90" w:rsidRPr="00F1526D" w:rsidRDefault="00830C90" w:rsidP="00254F4C">
            <w:pPr>
              <w:numPr>
                <w:ilvl w:val="0"/>
                <w:numId w:val="18"/>
              </w:numPr>
              <w:spacing w:before="0" w:line="240" w:lineRule="auto"/>
              <w:ind w:left="306" w:hanging="273"/>
              <w:contextualSpacing/>
              <w:jc w:val="left"/>
            </w:pPr>
            <w:r w:rsidRPr="00F1526D">
              <w:t>přívětivý pro klientsky orientovaný přístup</w:t>
            </w:r>
          </w:p>
          <w:p w:rsidR="00830C90" w:rsidRPr="00F1526D" w:rsidRDefault="00830C90" w:rsidP="00254F4C">
            <w:pPr>
              <w:numPr>
                <w:ilvl w:val="0"/>
                <w:numId w:val="18"/>
              </w:numPr>
              <w:spacing w:before="0" w:line="240" w:lineRule="auto"/>
              <w:ind w:left="306" w:hanging="273"/>
              <w:contextualSpacing/>
              <w:jc w:val="left"/>
            </w:pPr>
            <w:r w:rsidRPr="00F1526D">
              <w:t>rozvoj centrálního místa služeb</w:t>
            </w:r>
          </w:p>
          <w:p w:rsidR="00830C90" w:rsidRPr="00F1526D" w:rsidRDefault="00830C90" w:rsidP="00254F4C">
            <w:pPr>
              <w:numPr>
                <w:ilvl w:val="0"/>
                <w:numId w:val="18"/>
              </w:numPr>
              <w:spacing w:before="0" w:line="240" w:lineRule="auto"/>
              <w:ind w:left="306" w:hanging="273"/>
              <w:contextualSpacing/>
              <w:jc w:val="left"/>
            </w:pPr>
            <w:r w:rsidRPr="00F1526D">
              <w:t>realizace funkčních, územních a správních reforem</w:t>
            </w:r>
          </w:p>
          <w:p w:rsidR="00830C90" w:rsidRDefault="00830C90" w:rsidP="00254F4C">
            <w:pPr>
              <w:numPr>
                <w:ilvl w:val="0"/>
                <w:numId w:val="18"/>
              </w:numPr>
              <w:spacing w:before="0" w:line="240" w:lineRule="auto"/>
              <w:ind w:left="306" w:hanging="273"/>
              <w:jc w:val="left"/>
            </w:pPr>
            <w:r w:rsidRPr="00442F1B">
              <w:t xml:space="preserve">zvýšit a zdokonalit využívání nástrojů umožňujících participaci občanů na centrální i lokální úrovni </w:t>
            </w:r>
          </w:p>
          <w:p w:rsidR="00830C90" w:rsidRDefault="00830C90" w:rsidP="00254F4C">
            <w:pPr>
              <w:numPr>
                <w:ilvl w:val="0"/>
                <w:numId w:val="18"/>
              </w:numPr>
              <w:spacing w:before="0" w:line="240" w:lineRule="auto"/>
              <w:ind w:left="306" w:hanging="273"/>
              <w:jc w:val="left"/>
            </w:pPr>
            <w:r w:rsidRPr="00442F1B">
              <w:t>rozšíření rozhodování ve veřejné správě dle principů evidence-informed</w:t>
            </w:r>
          </w:p>
          <w:p w:rsidR="00830C90" w:rsidRDefault="003C6AA8" w:rsidP="00254F4C">
            <w:pPr>
              <w:numPr>
                <w:ilvl w:val="0"/>
                <w:numId w:val="18"/>
              </w:numPr>
              <w:spacing w:before="0" w:line="240" w:lineRule="auto"/>
              <w:ind w:left="306" w:hanging="273"/>
              <w:jc w:val="left"/>
            </w:pPr>
            <w:r>
              <w:t>potlačení úzce resortního přístupu</w:t>
            </w:r>
            <w:r w:rsidR="00380E13">
              <w:t xml:space="preserve"> (např. prostřednictvím vytvoření nového kompetenčního zákona)</w:t>
            </w:r>
            <w:r w:rsidR="00830C90" w:rsidRPr="00442F1B">
              <w:t>, zlepšení řízení přenesené působnosti</w:t>
            </w:r>
          </w:p>
          <w:p w:rsidR="00830C90" w:rsidRDefault="00830C90" w:rsidP="00254F4C">
            <w:pPr>
              <w:numPr>
                <w:ilvl w:val="0"/>
                <w:numId w:val="18"/>
              </w:numPr>
              <w:spacing w:before="0" w:line="240" w:lineRule="auto"/>
              <w:ind w:left="306" w:hanging="273"/>
              <w:jc w:val="left"/>
            </w:pPr>
            <w:r w:rsidRPr="2D57A07C">
              <w:t>posilování akceschopnosti složek IZS</w:t>
            </w:r>
            <w:r w:rsidR="003C6AA8">
              <w:t>,</w:t>
            </w:r>
            <w:r w:rsidRPr="2D57A07C">
              <w:t xml:space="preserve"> nové technické a technologické prostředky</w:t>
            </w:r>
            <w:r w:rsidR="006A3BD6">
              <w:t>/hmotné podmínky</w:t>
            </w:r>
            <w:r w:rsidRPr="2D57A07C">
              <w:t xml:space="preserve"> pro řešení nových forem mimořádných událostí </w:t>
            </w:r>
            <w:r w:rsidR="006A3BD6">
              <w:t xml:space="preserve">především z nových hrozeb a změn klimatu </w:t>
            </w:r>
            <w:r w:rsidRPr="2D57A07C">
              <w:t>a pro zajištění následné dlouhodobé evakuace obyvatelstva s nouzovým přežitím</w:t>
            </w:r>
          </w:p>
          <w:p w:rsidR="00830C90" w:rsidRPr="0005558F" w:rsidRDefault="00830C90" w:rsidP="00830C90">
            <w:pPr>
              <w:jc w:val="left"/>
              <w:rPr>
                <w:b/>
                <w:u w:val="single"/>
              </w:rPr>
            </w:pPr>
            <w:r w:rsidRPr="0005558F">
              <w:rPr>
                <w:b/>
                <w:u w:val="single"/>
              </w:rPr>
              <w:t>Výzkumný a inovační systém</w:t>
            </w:r>
          </w:p>
          <w:p w:rsidR="00830C90" w:rsidRPr="00F1526D" w:rsidRDefault="00830C90" w:rsidP="00254F4C">
            <w:pPr>
              <w:numPr>
                <w:ilvl w:val="0"/>
                <w:numId w:val="16"/>
              </w:numPr>
              <w:spacing w:before="0" w:line="240" w:lineRule="auto"/>
              <w:contextualSpacing/>
              <w:jc w:val="left"/>
            </w:pPr>
            <w:r w:rsidRPr="00F1526D">
              <w:t xml:space="preserve">využití kvalitní a špičkově vybavené výzkumné infrastruktury ve veřejném sektoru pro </w:t>
            </w:r>
            <w:r>
              <w:t>navázání</w:t>
            </w:r>
            <w:r w:rsidRPr="355E9390">
              <w:t xml:space="preserve"> </w:t>
            </w:r>
            <w:r w:rsidRPr="00F1526D">
              <w:t>mezinárodní spolupráce a zvýšení kvality a efektivity veřejného výzkumu</w:t>
            </w:r>
          </w:p>
          <w:p w:rsidR="00830C90" w:rsidRPr="00F1526D" w:rsidRDefault="00830C90" w:rsidP="00254F4C">
            <w:pPr>
              <w:numPr>
                <w:ilvl w:val="0"/>
                <w:numId w:val="16"/>
              </w:numPr>
              <w:spacing w:before="0" w:line="240" w:lineRule="auto"/>
              <w:contextualSpacing/>
              <w:jc w:val="left"/>
            </w:pPr>
            <w:r w:rsidRPr="00F1526D">
              <w:t>využití přítomnosti firem pod zahraniční kontrolou pro rozvoj VaV v segmentu domácích firem (posun v hodnotových řetězcích)</w:t>
            </w:r>
          </w:p>
          <w:p w:rsidR="002602E8" w:rsidRPr="00F1526D" w:rsidRDefault="002602E8" w:rsidP="00254F4C">
            <w:pPr>
              <w:numPr>
                <w:ilvl w:val="0"/>
                <w:numId w:val="16"/>
              </w:numPr>
              <w:spacing w:before="0" w:line="240" w:lineRule="auto"/>
              <w:contextualSpacing/>
              <w:jc w:val="left"/>
            </w:pPr>
            <w:r w:rsidRPr="002602E8">
              <w:t>generování inovací prostřednictvím zlepšení vazeb a spolupráce mezi podniky a VŠ/VO</w:t>
            </w:r>
          </w:p>
          <w:p w:rsidR="00830C90" w:rsidRDefault="00830C90" w:rsidP="00254F4C">
            <w:pPr>
              <w:numPr>
                <w:ilvl w:val="0"/>
                <w:numId w:val="16"/>
              </w:numPr>
              <w:spacing w:before="0" w:line="240" w:lineRule="auto"/>
              <w:contextualSpacing/>
              <w:jc w:val="left"/>
            </w:pPr>
            <w:r>
              <w:t xml:space="preserve">v případě dalšího posílení kvality a mezinárodního rozměru výzkumu možnost získání značných prostředků na výzkum (zejména z programu Horizont Evropa) potenciálně převyšující aktuálně dostupné prostředky </w:t>
            </w:r>
            <w:r w:rsidR="00C76B2B">
              <w:t>z fondů EU</w:t>
            </w:r>
          </w:p>
          <w:p w:rsidR="00830C90" w:rsidRDefault="00830C90" w:rsidP="00254F4C">
            <w:pPr>
              <w:numPr>
                <w:ilvl w:val="0"/>
                <w:numId w:val="16"/>
              </w:numPr>
              <w:spacing w:before="0" w:line="240" w:lineRule="auto"/>
              <w:contextualSpacing/>
              <w:jc w:val="left"/>
            </w:pPr>
            <w:r>
              <w:t xml:space="preserve">větší zapojení talentovaných studentů do výzkumu </w:t>
            </w:r>
          </w:p>
          <w:p w:rsidR="00177548" w:rsidRPr="002F08D4" w:rsidRDefault="00177548" w:rsidP="00F41D0E">
            <w:pPr>
              <w:numPr>
                <w:ilvl w:val="0"/>
                <w:numId w:val="16"/>
              </w:numPr>
              <w:spacing w:before="0" w:line="240" w:lineRule="auto"/>
              <w:contextualSpacing/>
              <w:jc w:val="left"/>
            </w:pPr>
            <w:r>
              <w:t>rozvoj výzkumu a vývoje v oblasti služeb a pro strategické plánování rozvoje regionů</w:t>
            </w:r>
          </w:p>
        </w:tc>
        <w:tc>
          <w:tcPr>
            <w:tcW w:w="2573" w:type="pct"/>
            <w:shd w:val="clear" w:color="auto" w:fill="auto"/>
          </w:tcPr>
          <w:p w:rsidR="00830C90" w:rsidRPr="00F1526D" w:rsidRDefault="00830C90" w:rsidP="00830C90">
            <w:pPr>
              <w:contextualSpacing/>
              <w:jc w:val="left"/>
              <w:rPr>
                <w:b/>
                <w:u w:val="single"/>
              </w:rPr>
            </w:pPr>
            <w:r w:rsidRPr="00F1526D">
              <w:rPr>
                <w:b/>
                <w:u w:val="single"/>
              </w:rPr>
              <w:t>Trh práce a zaměstnanost</w:t>
            </w:r>
          </w:p>
          <w:p w:rsidR="00830C90" w:rsidRPr="00F1526D" w:rsidRDefault="00830C90" w:rsidP="00254F4C">
            <w:pPr>
              <w:numPr>
                <w:ilvl w:val="0"/>
                <w:numId w:val="16"/>
              </w:numPr>
              <w:spacing w:before="0" w:line="240" w:lineRule="auto"/>
              <w:ind w:left="309" w:hanging="270"/>
              <w:contextualSpacing/>
              <w:jc w:val="left"/>
            </w:pPr>
            <w:r w:rsidRPr="00F1526D">
              <w:t>podcenění nutnosti celoživotního vzdělávání</w:t>
            </w:r>
          </w:p>
          <w:p w:rsidR="00830C90" w:rsidRPr="00F1526D" w:rsidRDefault="00830C90" w:rsidP="00254F4C">
            <w:pPr>
              <w:numPr>
                <w:ilvl w:val="0"/>
                <w:numId w:val="16"/>
              </w:numPr>
              <w:spacing w:before="0" w:line="240" w:lineRule="auto"/>
              <w:ind w:left="309" w:hanging="270"/>
              <w:contextualSpacing/>
              <w:jc w:val="left"/>
            </w:pPr>
            <w:r w:rsidRPr="00F1526D">
              <w:t>vliv digitalizace a robotizace na trh práce v souvislosti s Průmyslem 4.0 - zánik některých pracovních míst</w:t>
            </w:r>
          </w:p>
          <w:p w:rsidR="00830C90" w:rsidRPr="00F1526D" w:rsidRDefault="00830C90" w:rsidP="00830C90">
            <w:pPr>
              <w:jc w:val="left"/>
              <w:rPr>
                <w:b/>
                <w:u w:val="single"/>
              </w:rPr>
            </w:pPr>
            <w:r w:rsidRPr="00F1526D">
              <w:rPr>
                <w:b/>
                <w:u w:val="single"/>
              </w:rPr>
              <w:t>Vzdělávání</w:t>
            </w:r>
          </w:p>
          <w:p w:rsidR="00830C90" w:rsidRDefault="00830C90" w:rsidP="00254F4C">
            <w:pPr>
              <w:numPr>
                <w:ilvl w:val="0"/>
                <w:numId w:val="17"/>
              </w:numPr>
              <w:spacing w:before="0" w:line="240" w:lineRule="auto"/>
              <w:ind w:left="313" w:hanging="266"/>
              <w:contextualSpacing/>
              <w:jc w:val="left"/>
            </w:pPr>
            <w:r w:rsidRPr="00F1526D">
              <w:t>koncipování opatření bez empirických podkladů a komplexní dlouhodobé vize neumožní provedení potřebného zlepšení ve vzdělávání</w:t>
            </w:r>
          </w:p>
          <w:p w:rsidR="00830C90" w:rsidRPr="00F1526D" w:rsidRDefault="00830C90" w:rsidP="00254F4C">
            <w:pPr>
              <w:numPr>
                <w:ilvl w:val="0"/>
                <w:numId w:val="17"/>
              </w:numPr>
              <w:spacing w:before="0" w:line="240" w:lineRule="auto"/>
              <w:ind w:left="313" w:hanging="266"/>
              <w:contextualSpacing/>
              <w:jc w:val="left"/>
            </w:pPr>
            <w:r>
              <w:t>absence moderního systému vzdělávání</w:t>
            </w:r>
          </w:p>
          <w:p w:rsidR="00830C90" w:rsidRPr="00F1526D" w:rsidRDefault="00830C90" w:rsidP="00254F4C">
            <w:pPr>
              <w:numPr>
                <w:ilvl w:val="0"/>
                <w:numId w:val="17"/>
              </w:numPr>
              <w:spacing w:before="0" w:line="240" w:lineRule="auto"/>
              <w:ind w:left="313" w:hanging="266"/>
              <w:contextualSpacing/>
              <w:jc w:val="left"/>
            </w:pPr>
            <w:r w:rsidRPr="00F1526D">
              <w:t>slabá metodická a systémová podpora učitelů, nedostatek kvalifikovaných pracovníků na trhu práce</w:t>
            </w:r>
          </w:p>
          <w:p w:rsidR="00830C90" w:rsidRPr="00F1526D" w:rsidRDefault="00830C90" w:rsidP="00830C90">
            <w:pPr>
              <w:jc w:val="left"/>
              <w:rPr>
                <w:b/>
                <w:u w:val="single"/>
              </w:rPr>
            </w:pPr>
            <w:r w:rsidRPr="54923E25">
              <w:rPr>
                <w:b/>
                <w:bCs/>
                <w:u w:val="single"/>
              </w:rPr>
              <w:t>Sociální začleňování, boj s chudobou a péče o zdraví</w:t>
            </w:r>
          </w:p>
          <w:p w:rsidR="00830C90" w:rsidRPr="00A9356E" w:rsidRDefault="00830C90" w:rsidP="00254F4C">
            <w:pPr>
              <w:pStyle w:val="Odstavecseseznamem"/>
              <w:numPr>
                <w:ilvl w:val="0"/>
                <w:numId w:val="20"/>
              </w:numPr>
              <w:spacing w:before="0" w:line="240" w:lineRule="auto"/>
              <w:ind w:left="306" w:hanging="306"/>
              <w:jc w:val="left"/>
              <w:rPr>
                <w:rFonts w:ascii="Arial" w:hAnsi="Arial"/>
              </w:rPr>
            </w:pPr>
            <w:r w:rsidRPr="54923E25">
              <w:rPr>
                <w:rFonts w:ascii="Arial" w:eastAsia="Arial" w:hAnsi="Arial"/>
              </w:rPr>
              <w:t xml:space="preserve">odchod vzdělaných a mladších </w:t>
            </w:r>
            <w:r>
              <w:rPr>
                <w:rFonts w:ascii="Arial" w:eastAsia="Arial" w:hAnsi="Arial"/>
                <w:color w:val="000000" w:themeColor="text1"/>
              </w:rPr>
              <w:t>obyvatel</w:t>
            </w:r>
            <w:r w:rsidRPr="54923E25">
              <w:rPr>
                <w:rFonts w:ascii="Arial" w:eastAsia="Arial" w:hAnsi="Arial"/>
                <w:color w:val="000000" w:themeColor="text1"/>
              </w:rPr>
              <w:t xml:space="preserve"> z obcí v periferních oblastech (vnitřní i vnější periferie), chudnutí venkova a narůstání sociálního vyloučení</w:t>
            </w:r>
          </w:p>
          <w:p w:rsidR="00830C90" w:rsidRPr="00F1526D" w:rsidRDefault="00830C90" w:rsidP="00254F4C">
            <w:pPr>
              <w:numPr>
                <w:ilvl w:val="0"/>
                <w:numId w:val="18"/>
              </w:numPr>
              <w:spacing w:before="0" w:line="240" w:lineRule="auto"/>
              <w:ind w:left="306" w:hanging="273"/>
              <w:contextualSpacing/>
              <w:jc w:val="left"/>
            </w:pPr>
            <w:r>
              <w:t>vylidňování venkova (v periferních oblastech) a koncentrace obyvatel do sídelních center a do suburbánních oblastí</w:t>
            </w:r>
          </w:p>
          <w:p w:rsidR="00830C90" w:rsidRDefault="00830C90" w:rsidP="00254F4C">
            <w:pPr>
              <w:numPr>
                <w:ilvl w:val="0"/>
                <w:numId w:val="18"/>
              </w:numPr>
              <w:spacing w:before="0" w:line="240" w:lineRule="auto"/>
              <w:ind w:left="306" w:hanging="273"/>
              <w:jc w:val="left"/>
            </w:pPr>
            <w:r>
              <w:t>snížení dostupnosti a kvality zdravotní péče a sociálních služeb</w:t>
            </w:r>
          </w:p>
          <w:p w:rsidR="00830C90" w:rsidRPr="00F1526D" w:rsidRDefault="00830C90" w:rsidP="00254F4C">
            <w:pPr>
              <w:numPr>
                <w:ilvl w:val="0"/>
                <w:numId w:val="18"/>
              </w:numPr>
              <w:spacing w:before="0" w:line="240" w:lineRule="auto"/>
              <w:ind w:left="306" w:hanging="273"/>
              <w:contextualSpacing/>
              <w:jc w:val="left"/>
            </w:pPr>
            <w:r w:rsidRPr="00F1526D">
              <w:t>rostoucí výdaje na sociální služby a zdravotnictví v souvislosti s demografickým vývojem</w:t>
            </w:r>
            <w:r>
              <w:t xml:space="preserve"> (při zachování modelu péče poskytované v institucích)</w:t>
            </w:r>
          </w:p>
          <w:p w:rsidR="0098793C" w:rsidRPr="00F1526D" w:rsidRDefault="0098793C" w:rsidP="00254F4C">
            <w:pPr>
              <w:numPr>
                <w:ilvl w:val="0"/>
                <w:numId w:val="18"/>
              </w:numPr>
              <w:spacing w:before="0" w:line="240" w:lineRule="auto"/>
              <w:ind w:left="306" w:hanging="273"/>
              <w:contextualSpacing/>
              <w:jc w:val="left"/>
            </w:pPr>
            <w:r w:rsidRPr="0098793C">
              <w:t>nižší konkurenceschopnost v inovacích a nepříznivý dopad na udržitelnost důchodového a zdravotnického systému v</w:t>
            </w:r>
            <w:r>
              <w:t> </w:t>
            </w:r>
            <w:r w:rsidRPr="0098793C">
              <w:t>důsledku</w:t>
            </w:r>
            <w:r>
              <w:t xml:space="preserve"> stárnutí populace</w:t>
            </w:r>
          </w:p>
          <w:p w:rsidR="00830C90" w:rsidRPr="00F1526D" w:rsidRDefault="00830C90" w:rsidP="00830C90">
            <w:pPr>
              <w:jc w:val="left"/>
              <w:rPr>
                <w:b/>
                <w:u w:val="single"/>
              </w:rPr>
            </w:pPr>
            <w:r w:rsidRPr="00F1526D">
              <w:rPr>
                <w:b/>
                <w:u w:val="single"/>
              </w:rPr>
              <w:t>Veřejná správa a bezpečnost</w:t>
            </w:r>
          </w:p>
          <w:p w:rsidR="00830C90" w:rsidRPr="00F1526D" w:rsidRDefault="00830C90" w:rsidP="00254F4C">
            <w:pPr>
              <w:numPr>
                <w:ilvl w:val="0"/>
                <w:numId w:val="18"/>
              </w:numPr>
              <w:spacing w:before="0" w:line="240" w:lineRule="auto"/>
              <w:ind w:left="306" w:hanging="273"/>
              <w:contextualSpacing/>
              <w:jc w:val="left"/>
            </w:pPr>
            <w:r w:rsidRPr="00F1526D">
              <w:t>rigidní systém státní správy</w:t>
            </w:r>
          </w:p>
          <w:p w:rsidR="00830C90" w:rsidRPr="00F1526D" w:rsidRDefault="00830C90" w:rsidP="00254F4C">
            <w:pPr>
              <w:numPr>
                <w:ilvl w:val="0"/>
                <w:numId w:val="18"/>
              </w:numPr>
              <w:spacing w:before="0" w:line="240" w:lineRule="auto"/>
              <w:ind w:left="306" w:hanging="273"/>
              <w:contextualSpacing/>
              <w:jc w:val="left"/>
            </w:pPr>
            <w:r w:rsidRPr="00F1526D">
              <w:t>resortismus</w:t>
            </w:r>
          </w:p>
          <w:p w:rsidR="00301DA6" w:rsidRPr="00F1526D" w:rsidRDefault="00301DA6" w:rsidP="00254F4C">
            <w:pPr>
              <w:numPr>
                <w:ilvl w:val="0"/>
                <w:numId w:val="18"/>
              </w:numPr>
              <w:spacing w:before="0" w:line="240" w:lineRule="auto"/>
              <w:ind w:left="306" w:hanging="273"/>
              <w:contextualSpacing/>
              <w:jc w:val="left"/>
            </w:pPr>
            <w:r>
              <w:t>zvýšení nedůvěry občanů</w:t>
            </w:r>
          </w:p>
          <w:p w:rsidR="00830C90" w:rsidRDefault="00830C90" w:rsidP="00254F4C">
            <w:pPr>
              <w:numPr>
                <w:ilvl w:val="0"/>
                <w:numId w:val="18"/>
              </w:numPr>
              <w:spacing w:before="0" w:line="240" w:lineRule="auto"/>
              <w:ind w:left="306" w:hanging="273"/>
              <w:jc w:val="left"/>
            </w:pPr>
            <w:r>
              <w:t>nedostatek kvalifikovaných pracovníků ve veřejné sféře</w:t>
            </w:r>
          </w:p>
          <w:p w:rsidR="00380E13" w:rsidRDefault="00380E13" w:rsidP="00254F4C">
            <w:pPr>
              <w:numPr>
                <w:ilvl w:val="0"/>
                <w:numId w:val="18"/>
              </w:numPr>
              <w:spacing w:before="0" w:line="240" w:lineRule="auto"/>
              <w:ind w:left="306" w:hanging="273"/>
              <w:jc w:val="left"/>
            </w:pPr>
            <w:r>
              <w:rPr>
                <w:rStyle w:val="normaltextrun1"/>
              </w:rPr>
              <w:t>nedostatek finančních prostředků na zajištění dalšího rozvoje veřejné správy</w:t>
            </w:r>
            <w:r>
              <w:rPr>
                <w:rStyle w:val="eop"/>
              </w:rPr>
              <w:t> </w:t>
            </w:r>
          </w:p>
          <w:p w:rsidR="00830C90" w:rsidRPr="00830FBE" w:rsidRDefault="00830C90" w:rsidP="00254F4C">
            <w:pPr>
              <w:numPr>
                <w:ilvl w:val="0"/>
                <w:numId w:val="18"/>
              </w:numPr>
              <w:spacing w:before="0" w:line="240" w:lineRule="auto"/>
              <w:ind w:left="306" w:hanging="273"/>
              <w:jc w:val="left"/>
            </w:pPr>
            <w:r w:rsidRPr="00830FBE">
              <w:t>r</w:t>
            </w:r>
            <w:r w:rsidRPr="00BD2246">
              <w:t>ozvíjení nových forem kybernetické kriminality a zvýšení rizika kybernetických útoků</w:t>
            </w:r>
          </w:p>
          <w:p w:rsidR="00830C90" w:rsidRDefault="00830C90" w:rsidP="00254F4C">
            <w:pPr>
              <w:numPr>
                <w:ilvl w:val="0"/>
                <w:numId w:val="18"/>
              </w:numPr>
              <w:spacing w:before="0" w:line="240" w:lineRule="auto"/>
              <w:ind w:left="306" w:hanging="273"/>
              <w:jc w:val="left"/>
            </w:pPr>
            <w:r>
              <w:t>ztráta efektivity činnosti a akceschopnosti složek IZS způsobená jejich nedostatečným vybavením</w:t>
            </w:r>
            <w:r w:rsidR="006A3BD6">
              <w:t>/hmotnými podmínkami</w:t>
            </w:r>
            <w:r>
              <w:t xml:space="preserve"> nebo absencí specializovaného vybavení pro účely ochrany obyvatelstva a zajištění veřejného pořádku</w:t>
            </w:r>
          </w:p>
          <w:p w:rsidR="00830C90" w:rsidRDefault="00830C90" w:rsidP="00254F4C">
            <w:pPr>
              <w:numPr>
                <w:ilvl w:val="0"/>
                <w:numId w:val="18"/>
              </w:numPr>
              <w:spacing w:before="0" w:line="240" w:lineRule="auto"/>
              <w:ind w:left="306" w:hanging="273"/>
              <w:jc w:val="left"/>
            </w:pPr>
            <w:r w:rsidRPr="00BD2246">
              <w:t>nedostatečné kapacity na zajištění připravenosti bezpečnostních sborů na bezpečnostní hrozby ve vybraných územích (terorismus, nelegální migrace apod.)</w:t>
            </w:r>
          </w:p>
          <w:p w:rsidR="001D0459" w:rsidRPr="00890BD1" w:rsidRDefault="001D0459" w:rsidP="00254F4C">
            <w:pPr>
              <w:numPr>
                <w:ilvl w:val="0"/>
                <w:numId w:val="18"/>
              </w:numPr>
              <w:spacing w:before="0" w:line="240" w:lineRule="auto"/>
              <w:ind w:left="306" w:hanging="273"/>
              <w:jc w:val="left"/>
            </w:pPr>
            <w:r>
              <w:t>zhoršující se důsledky změn klimatu a nových rizik a z toho vyplývající mimořádné události</w:t>
            </w:r>
          </w:p>
          <w:p w:rsidR="00830C90" w:rsidRPr="0005558F" w:rsidRDefault="00830C90" w:rsidP="00830C90">
            <w:pPr>
              <w:jc w:val="left"/>
              <w:rPr>
                <w:b/>
                <w:u w:val="single"/>
              </w:rPr>
            </w:pPr>
            <w:r w:rsidRPr="0005558F">
              <w:rPr>
                <w:b/>
                <w:u w:val="single"/>
              </w:rPr>
              <w:t>Výzkumný a inovační systém</w:t>
            </w:r>
          </w:p>
          <w:p w:rsidR="00830C90" w:rsidRPr="00F1526D" w:rsidRDefault="00830C90" w:rsidP="00254F4C">
            <w:pPr>
              <w:numPr>
                <w:ilvl w:val="0"/>
                <w:numId w:val="16"/>
              </w:numPr>
              <w:spacing w:before="0" w:line="240" w:lineRule="auto"/>
              <w:contextualSpacing/>
              <w:jc w:val="left"/>
            </w:pPr>
            <w:r w:rsidRPr="00F1526D">
              <w:t>ztráta konkurenceschopnosti domácích podniků v důsledku zvyšování cen práce, která nebude kompenzována rozvojem výzkumných a inovačních aktivit a využíváním poznatků VaV (posunem k produkci s vyšší přidanou hodnotou)</w:t>
            </w:r>
          </w:p>
          <w:p w:rsidR="00830C90" w:rsidRPr="00F1526D" w:rsidRDefault="00830C90" w:rsidP="00254F4C">
            <w:pPr>
              <w:numPr>
                <w:ilvl w:val="0"/>
                <w:numId w:val="16"/>
              </w:numPr>
              <w:spacing w:before="0" w:line="240" w:lineRule="auto"/>
              <w:contextualSpacing/>
              <w:jc w:val="left"/>
            </w:pPr>
            <w:r w:rsidRPr="00F1526D">
              <w:t>narůstající dominance zahraničních společností ve VaV, zvyšující se „únik“ znalostí vytvořených pracovníky z ČR do zahraničí a zvyšující se procento přidané hodnoty realizované mimo ČR</w:t>
            </w:r>
          </w:p>
          <w:p w:rsidR="00830C90" w:rsidRPr="00F1526D" w:rsidRDefault="00830C90" w:rsidP="00254F4C">
            <w:pPr>
              <w:numPr>
                <w:ilvl w:val="0"/>
                <w:numId w:val="16"/>
              </w:numPr>
              <w:spacing w:before="0" w:line="240" w:lineRule="auto"/>
              <w:contextualSpacing/>
              <w:jc w:val="left"/>
            </w:pPr>
            <w:r w:rsidRPr="00F1526D">
              <w:t xml:space="preserve">složitost systému administrace </w:t>
            </w:r>
            <w:r w:rsidR="00C76B2B">
              <w:t>fondů EU</w:t>
            </w:r>
            <w:r w:rsidR="00122F97">
              <w:t xml:space="preserve"> a projektů VaV financovaných z národních i mezinárodních zdrojů</w:t>
            </w:r>
          </w:p>
          <w:p w:rsidR="00830C90" w:rsidRPr="00F1526D" w:rsidRDefault="00830C90" w:rsidP="00254F4C">
            <w:pPr>
              <w:numPr>
                <w:ilvl w:val="0"/>
                <w:numId w:val="16"/>
              </w:numPr>
              <w:spacing w:before="0" w:line="240" w:lineRule="auto"/>
              <w:contextualSpacing/>
              <w:jc w:val="left"/>
            </w:pPr>
            <w:r w:rsidRPr="00F1526D">
              <w:t xml:space="preserve">přetrvávající rozdíly mezi regiony (resp. rozevírání nůžek) se odrazí na ekonomickém zaostávání regionů s nízkými výdaji na VaV </w:t>
            </w:r>
            <w:r w:rsidR="002602E8">
              <w:br/>
            </w:r>
            <w:r w:rsidRPr="00F1526D">
              <w:t>a „úniku“ znalostí do jiných regionů ČR a do zahraničí</w:t>
            </w:r>
          </w:p>
          <w:p w:rsidR="00830C90" w:rsidRPr="00F1526D" w:rsidRDefault="00830C90" w:rsidP="00254F4C">
            <w:pPr>
              <w:numPr>
                <w:ilvl w:val="0"/>
                <w:numId w:val="16"/>
              </w:numPr>
              <w:spacing w:before="0" w:line="240" w:lineRule="auto"/>
              <w:contextualSpacing/>
              <w:jc w:val="left"/>
            </w:pPr>
            <w:r w:rsidRPr="00F1526D">
              <w:t xml:space="preserve">nesoulad mezi technologickým </w:t>
            </w:r>
            <w:r w:rsidR="002602E8">
              <w:br/>
            </w:r>
            <w:r w:rsidRPr="00F1526D">
              <w:t>a společenským vývojem</w:t>
            </w:r>
          </w:p>
          <w:p w:rsidR="00830C90" w:rsidRDefault="00177548" w:rsidP="00D23C81">
            <w:pPr>
              <w:numPr>
                <w:ilvl w:val="0"/>
                <w:numId w:val="16"/>
              </w:numPr>
              <w:spacing w:before="0" w:line="240" w:lineRule="auto"/>
              <w:contextualSpacing/>
              <w:jc w:val="left"/>
            </w:pPr>
            <w:r>
              <w:t>orientace pouze na aplikovaný výzkum ve spojení s výrobními podniky</w:t>
            </w:r>
          </w:p>
          <w:p w:rsidR="00830C90" w:rsidRPr="00D23C81" w:rsidRDefault="002602E8" w:rsidP="00D23C81">
            <w:pPr>
              <w:numPr>
                <w:ilvl w:val="0"/>
                <w:numId w:val="16"/>
              </w:numPr>
              <w:spacing w:before="0" w:line="240" w:lineRule="auto"/>
              <w:contextualSpacing/>
              <w:jc w:val="left"/>
            </w:pPr>
            <w:r w:rsidRPr="002602E8">
              <w:t xml:space="preserve">přetrvávající nízká motivace pro spolupráci </w:t>
            </w:r>
            <w:r>
              <w:br/>
            </w:r>
            <w:r w:rsidRPr="002602E8">
              <w:t>a propojení VO/VŠ s firmami</w:t>
            </w:r>
          </w:p>
        </w:tc>
      </w:tr>
      <w:tr w:rsidR="00150C81" w:rsidRPr="00F1526D" w:rsidTr="26A3AA47">
        <w:tc>
          <w:tcPr>
            <w:tcW w:w="2427" w:type="pct"/>
            <w:shd w:val="clear" w:color="auto" w:fill="DBE5F1" w:themeFill="accent1" w:themeFillTint="33"/>
          </w:tcPr>
          <w:p w:rsidR="00150C81" w:rsidRDefault="00150C81" w:rsidP="00150C81">
            <w:pPr>
              <w:spacing w:before="60" w:after="60" w:line="259" w:lineRule="auto"/>
              <w:rPr>
                <w:rFonts w:eastAsiaTheme="majorEastAsia"/>
                <w:b/>
              </w:rPr>
            </w:pPr>
            <w:r w:rsidRPr="00F1526D">
              <w:rPr>
                <w:rFonts w:eastAsiaTheme="majorEastAsia"/>
                <w:b/>
              </w:rPr>
              <w:t>Příležitosti</w:t>
            </w:r>
          </w:p>
        </w:tc>
        <w:tc>
          <w:tcPr>
            <w:tcW w:w="2573" w:type="pct"/>
            <w:shd w:val="clear" w:color="auto" w:fill="DBE5F1" w:themeFill="accent1" w:themeFillTint="33"/>
          </w:tcPr>
          <w:p w:rsidR="00150C81" w:rsidRDefault="00150C81" w:rsidP="00150C81">
            <w:pPr>
              <w:spacing w:before="60" w:after="60" w:line="259" w:lineRule="auto"/>
              <w:rPr>
                <w:rFonts w:eastAsiaTheme="majorEastAsia"/>
                <w:b/>
              </w:rPr>
            </w:pPr>
            <w:r w:rsidRPr="00F1526D">
              <w:rPr>
                <w:rFonts w:eastAsiaTheme="majorEastAsia"/>
                <w:b/>
              </w:rPr>
              <w:t>Hrozby</w:t>
            </w:r>
          </w:p>
        </w:tc>
      </w:tr>
      <w:tr w:rsidR="00150C81" w:rsidRPr="00F1526D" w:rsidTr="003C1DEA">
        <w:tc>
          <w:tcPr>
            <w:tcW w:w="2427" w:type="pct"/>
            <w:shd w:val="clear" w:color="auto" w:fill="auto"/>
          </w:tcPr>
          <w:p w:rsidR="00150C81" w:rsidRPr="0005558F" w:rsidRDefault="00150C81" w:rsidP="00150C81">
            <w:pPr>
              <w:jc w:val="left"/>
              <w:rPr>
                <w:b/>
                <w:u w:val="single"/>
              </w:rPr>
            </w:pPr>
            <w:r w:rsidRPr="00F1526D">
              <w:rPr>
                <w:b/>
                <w:u w:val="single"/>
              </w:rPr>
              <w:t xml:space="preserve"> </w:t>
            </w:r>
            <w:r w:rsidRPr="0005558F">
              <w:rPr>
                <w:b/>
                <w:u w:val="single"/>
              </w:rPr>
              <w:t xml:space="preserve"> Podpora podnikání a průmyslu</w:t>
            </w:r>
          </w:p>
          <w:p w:rsidR="00150C81" w:rsidRPr="00F1526D" w:rsidRDefault="00150C81" w:rsidP="00254F4C">
            <w:pPr>
              <w:numPr>
                <w:ilvl w:val="0"/>
                <w:numId w:val="16"/>
              </w:numPr>
              <w:spacing w:before="0" w:line="240" w:lineRule="auto"/>
              <w:ind w:left="309" w:hanging="270"/>
              <w:contextualSpacing/>
              <w:jc w:val="left"/>
            </w:pPr>
            <w:r w:rsidRPr="00F1526D">
              <w:t>změna struktury, zaměření a parametrů přímých zahraničních investic s vyšší přidanou hodnotou</w:t>
            </w:r>
          </w:p>
          <w:p w:rsidR="00150C81" w:rsidRPr="00F1526D" w:rsidRDefault="00150C81" w:rsidP="00254F4C">
            <w:pPr>
              <w:numPr>
                <w:ilvl w:val="0"/>
                <w:numId w:val="16"/>
              </w:numPr>
              <w:spacing w:before="0" w:line="240" w:lineRule="auto"/>
              <w:ind w:left="309" w:hanging="270"/>
              <w:contextualSpacing/>
              <w:jc w:val="left"/>
            </w:pPr>
            <w:r w:rsidRPr="00F1526D">
              <w:t>podpora různých forem upgradingu</w:t>
            </w:r>
          </w:p>
          <w:p w:rsidR="00150C81" w:rsidRPr="00F1526D" w:rsidRDefault="00150C81" w:rsidP="00254F4C">
            <w:pPr>
              <w:numPr>
                <w:ilvl w:val="0"/>
                <w:numId w:val="16"/>
              </w:numPr>
              <w:spacing w:before="0" w:line="240" w:lineRule="auto"/>
              <w:ind w:left="309" w:hanging="270"/>
              <w:contextualSpacing/>
              <w:jc w:val="left"/>
            </w:pPr>
            <w:r w:rsidRPr="00F1526D">
              <w:t xml:space="preserve">flexibilita výroby a schopnost vyrábět v malých kusových objemech </w:t>
            </w:r>
          </w:p>
          <w:p w:rsidR="00150C81" w:rsidRPr="00F1526D" w:rsidRDefault="00150C81" w:rsidP="00254F4C">
            <w:pPr>
              <w:numPr>
                <w:ilvl w:val="0"/>
                <w:numId w:val="16"/>
              </w:numPr>
              <w:spacing w:before="0" w:line="240" w:lineRule="auto"/>
              <w:ind w:left="309" w:hanging="270"/>
              <w:contextualSpacing/>
              <w:jc w:val="left"/>
            </w:pPr>
            <w:r w:rsidRPr="00F1526D">
              <w:t>využít ambice regionálního lídra s ohledem na tradiční velmi dobré postavení českého průmyslu i momentální srovnání s jeho evropským okolím</w:t>
            </w:r>
          </w:p>
          <w:p w:rsidR="00150C81" w:rsidRPr="00F1526D" w:rsidRDefault="00150C81" w:rsidP="00254F4C">
            <w:pPr>
              <w:numPr>
                <w:ilvl w:val="0"/>
                <w:numId w:val="16"/>
              </w:numPr>
              <w:spacing w:before="0" w:line="240" w:lineRule="auto"/>
              <w:ind w:left="309" w:hanging="270"/>
              <w:contextualSpacing/>
              <w:jc w:val="left"/>
            </w:pPr>
            <w:r>
              <w:t xml:space="preserve">kulturní a kreativní průmysl jako významné odvětví, které může podnikům pomoci generovat vysokou přidanou hodnotu s vysokou exportní orientací </w:t>
            </w:r>
          </w:p>
          <w:p w:rsidR="00150C81" w:rsidRDefault="00150C81" w:rsidP="00254F4C">
            <w:pPr>
              <w:numPr>
                <w:ilvl w:val="0"/>
                <w:numId w:val="16"/>
              </w:numPr>
              <w:spacing w:before="0" w:line="240" w:lineRule="auto"/>
              <w:ind w:left="309" w:hanging="270"/>
              <w:jc w:val="left"/>
            </w:pPr>
            <w:r>
              <w:t>budování možností připojení k vysokorychlostnímu internetu</w:t>
            </w:r>
          </w:p>
          <w:p w:rsidR="00150C81" w:rsidRDefault="00AB4B07" w:rsidP="00254F4C">
            <w:pPr>
              <w:numPr>
                <w:ilvl w:val="0"/>
                <w:numId w:val="16"/>
              </w:numPr>
              <w:spacing w:before="0" w:line="240" w:lineRule="auto"/>
              <w:ind w:left="309" w:hanging="270"/>
              <w:jc w:val="left"/>
            </w:pPr>
            <w:r>
              <w:t xml:space="preserve">rozvoj a </w:t>
            </w:r>
            <w:r w:rsidR="00150C81">
              <w:t>zvyšování kvality služeb v</w:t>
            </w:r>
            <w:r w:rsidR="00A85954">
              <w:t> </w:t>
            </w:r>
            <w:r w:rsidR="00177548">
              <w:t>Č</w:t>
            </w:r>
            <w:r w:rsidR="00150C81">
              <w:t>R</w:t>
            </w:r>
          </w:p>
          <w:p w:rsidR="00A85954" w:rsidRDefault="00A85954" w:rsidP="00254F4C">
            <w:pPr>
              <w:numPr>
                <w:ilvl w:val="0"/>
                <w:numId w:val="16"/>
              </w:numPr>
              <w:spacing w:before="0" w:line="240" w:lineRule="auto"/>
              <w:ind w:left="309" w:hanging="270"/>
              <w:jc w:val="left"/>
            </w:pPr>
            <w:r>
              <w:t>rozvoj digitálních služeb a technologií využitelných pro veřejný sektor</w:t>
            </w:r>
          </w:p>
          <w:p w:rsidR="00150C81" w:rsidRPr="0005558F" w:rsidRDefault="00150C81" w:rsidP="00150C81">
            <w:pPr>
              <w:jc w:val="left"/>
              <w:rPr>
                <w:b/>
                <w:u w:val="single"/>
              </w:rPr>
            </w:pPr>
            <w:r w:rsidRPr="0005558F">
              <w:rPr>
                <w:b/>
                <w:u w:val="single"/>
              </w:rPr>
              <w:t>Doprava</w:t>
            </w:r>
          </w:p>
          <w:p w:rsidR="00150C81" w:rsidRPr="00F1526D" w:rsidRDefault="00150C81" w:rsidP="00254F4C">
            <w:pPr>
              <w:numPr>
                <w:ilvl w:val="0"/>
                <w:numId w:val="16"/>
              </w:numPr>
              <w:spacing w:before="0" w:line="240" w:lineRule="auto"/>
              <w:contextualSpacing/>
              <w:jc w:val="left"/>
            </w:pPr>
            <w:r w:rsidRPr="00F1526D">
              <w:t>dosažení kapacitně optimální sítě bezpečné infrastruktury s co nejnižšími přijatelnými vlivy na životní prostředí</w:t>
            </w:r>
          </w:p>
          <w:p w:rsidR="00D23C81" w:rsidRDefault="00150C81" w:rsidP="00254F4C">
            <w:pPr>
              <w:numPr>
                <w:ilvl w:val="0"/>
                <w:numId w:val="16"/>
              </w:numPr>
              <w:spacing w:before="0" w:line="240" w:lineRule="auto"/>
              <w:contextualSpacing/>
              <w:jc w:val="left"/>
            </w:pPr>
            <w:r w:rsidRPr="00ED0665">
              <w:t>výrazné zlepšení stavu silnic a dálnic a jejich zrychlená výstavba</w:t>
            </w:r>
            <w:r w:rsidRPr="00ED0665" w:rsidDel="009D181C">
              <w:t xml:space="preserve"> </w:t>
            </w:r>
          </w:p>
          <w:p w:rsidR="00150C81" w:rsidRPr="00F1526D" w:rsidRDefault="00150C81" w:rsidP="00254F4C">
            <w:pPr>
              <w:numPr>
                <w:ilvl w:val="0"/>
                <w:numId w:val="16"/>
              </w:numPr>
              <w:spacing w:before="0" w:line="240" w:lineRule="auto"/>
              <w:contextualSpacing/>
              <w:jc w:val="left"/>
            </w:pPr>
            <w:r w:rsidRPr="00ED0665">
              <w:t xml:space="preserve">využití strategické výhody geografické </w:t>
            </w:r>
            <w:r w:rsidRPr="00F1526D">
              <w:t xml:space="preserve">blízkosti hlavních populačních center evropského regionu i </w:t>
            </w:r>
            <w:r w:rsidR="00122F97">
              <w:t>prostřednictvím</w:t>
            </w:r>
            <w:r w:rsidR="00122F97" w:rsidRPr="00F1526D">
              <w:t xml:space="preserve"> </w:t>
            </w:r>
            <w:r w:rsidRPr="00F1526D">
              <w:t>vysokorychlostní</w:t>
            </w:r>
            <w:r w:rsidR="00122F97">
              <w:t>ho</w:t>
            </w:r>
            <w:r w:rsidRPr="00F1526D">
              <w:t xml:space="preserve"> napojení na ně</w:t>
            </w:r>
          </w:p>
          <w:p w:rsidR="00150C81" w:rsidRDefault="00150C81" w:rsidP="00254F4C">
            <w:pPr>
              <w:numPr>
                <w:ilvl w:val="0"/>
                <w:numId w:val="16"/>
              </w:numPr>
              <w:spacing w:before="0" w:line="240" w:lineRule="auto"/>
              <w:contextualSpacing/>
              <w:jc w:val="left"/>
            </w:pPr>
            <w:r w:rsidRPr="00F1526D">
              <w:t>rozšíření modelů sdílení dopravních prostředků (bike</w:t>
            </w:r>
            <w:r>
              <w:t>-</w:t>
            </w:r>
            <w:r w:rsidRPr="00F1526D">
              <w:t>sharing, car</w:t>
            </w:r>
            <w:r>
              <w:t>-</w:t>
            </w:r>
            <w:r w:rsidRPr="00F1526D">
              <w:t>sharing)</w:t>
            </w:r>
          </w:p>
          <w:p w:rsidR="00150ED6" w:rsidRDefault="00150ED6" w:rsidP="00254F4C">
            <w:pPr>
              <w:numPr>
                <w:ilvl w:val="0"/>
                <w:numId w:val="16"/>
              </w:numPr>
              <w:spacing w:before="0" w:line="240" w:lineRule="auto"/>
              <w:contextualSpacing/>
              <w:jc w:val="left"/>
            </w:pPr>
            <w:r w:rsidRPr="00150ED6">
              <w:t>rozvoj nízko</w:t>
            </w:r>
            <w:r>
              <w:t>-</w:t>
            </w:r>
            <w:r w:rsidRPr="00150ED6">
              <w:t xml:space="preserve">emisní, sdílené, propojené </w:t>
            </w:r>
            <w:r>
              <w:br/>
            </w:r>
            <w:r w:rsidRPr="00150ED6">
              <w:t>a autonomní mobility, rozvoj chytrých měst</w:t>
            </w:r>
          </w:p>
          <w:p w:rsidR="00150C81" w:rsidRPr="00F1526D" w:rsidRDefault="00150C81" w:rsidP="00254F4C">
            <w:pPr>
              <w:numPr>
                <w:ilvl w:val="0"/>
                <w:numId w:val="16"/>
              </w:numPr>
              <w:spacing w:before="0" w:line="240" w:lineRule="auto"/>
              <w:contextualSpacing/>
              <w:jc w:val="left"/>
            </w:pPr>
            <w:r w:rsidRPr="00EB0BFE">
              <w:t>rozvoj bezmotorové dopravy pro dojížďku do zaměstnání</w:t>
            </w:r>
          </w:p>
          <w:p w:rsidR="00150C81" w:rsidRPr="0005558F" w:rsidRDefault="00150C81" w:rsidP="00150C81">
            <w:pPr>
              <w:jc w:val="left"/>
              <w:rPr>
                <w:b/>
                <w:u w:val="single"/>
              </w:rPr>
            </w:pPr>
            <w:r w:rsidRPr="0005558F">
              <w:rPr>
                <w:b/>
                <w:u w:val="single"/>
              </w:rPr>
              <w:t>Posun k nízkouhlíkovému hospodářství</w:t>
            </w:r>
          </w:p>
          <w:p w:rsidR="00150C81" w:rsidRPr="00F1526D" w:rsidRDefault="00150C81" w:rsidP="00254F4C">
            <w:pPr>
              <w:numPr>
                <w:ilvl w:val="0"/>
                <w:numId w:val="16"/>
              </w:numPr>
              <w:spacing w:before="0" w:line="240" w:lineRule="auto"/>
              <w:ind w:left="309" w:hanging="270"/>
              <w:contextualSpacing/>
              <w:jc w:val="left"/>
            </w:pPr>
            <w:r w:rsidRPr="00F1526D">
              <w:t xml:space="preserve">postupná dekarbonizace ekonomiky – příležitost pro technologický rozvoj a inovace včetně rozvoje inteligentních sítí a akumulace energie.  </w:t>
            </w:r>
          </w:p>
          <w:p w:rsidR="00150C81" w:rsidRPr="00F1526D" w:rsidRDefault="00150C81" w:rsidP="00254F4C">
            <w:pPr>
              <w:numPr>
                <w:ilvl w:val="0"/>
                <w:numId w:val="16"/>
              </w:numPr>
              <w:spacing w:before="0" w:line="240" w:lineRule="auto"/>
              <w:ind w:left="309" w:hanging="270"/>
              <w:contextualSpacing/>
              <w:jc w:val="left"/>
            </w:pPr>
            <w:r w:rsidRPr="00F1526D">
              <w:t>využívání domácích druhotných a obnovitelných energetických zdrojů</w:t>
            </w:r>
          </w:p>
          <w:p w:rsidR="00150C81" w:rsidRPr="00F1526D" w:rsidRDefault="00150C81" w:rsidP="00254F4C">
            <w:pPr>
              <w:numPr>
                <w:ilvl w:val="0"/>
                <w:numId w:val="16"/>
              </w:numPr>
              <w:spacing w:before="0" w:line="240" w:lineRule="auto"/>
              <w:ind w:left="309" w:hanging="270"/>
              <w:contextualSpacing/>
              <w:jc w:val="left"/>
            </w:pPr>
            <w:r w:rsidRPr="00F1526D">
              <w:t>renovace a snižování energetické náročnosti budov a nové stavby v pasivním či pozitivním energetickém standardu</w:t>
            </w:r>
            <w:r>
              <w:t xml:space="preserve"> a </w:t>
            </w:r>
            <w:r w:rsidRPr="00F1526D">
              <w:t>tranzitní role síťových odvětví pro energetické komodity v regionu střední a východní Evropy</w:t>
            </w:r>
          </w:p>
          <w:p w:rsidR="00F412B1" w:rsidRDefault="00150C81" w:rsidP="00254F4C">
            <w:pPr>
              <w:numPr>
                <w:ilvl w:val="0"/>
                <w:numId w:val="16"/>
              </w:numPr>
              <w:spacing w:before="0" w:line="240" w:lineRule="auto"/>
              <w:ind w:left="309" w:hanging="270"/>
              <w:contextualSpacing/>
              <w:jc w:val="left"/>
            </w:pPr>
            <w:r w:rsidRPr="00F1526D">
              <w:t>zvyšování energetické účinnosti technologických procesů v</w:t>
            </w:r>
            <w:r w:rsidR="00F412B1">
              <w:t> </w:t>
            </w:r>
            <w:r w:rsidRPr="00F1526D">
              <w:t>průmyslu</w:t>
            </w:r>
          </w:p>
          <w:p w:rsidR="00150C81" w:rsidRPr="00F1526D" w:rsidRDefault="00F412B1" w:rsidP="00254F4C">
            <w:pPr>
              <w:numPr>
                <w:ilvl w:val="0"/>
                <w:numId w:val="16"/>
              </w:numPr>
              <w:spacing w:before="0" w:line="240" w:lineRule="auto"/>
              <w:ind w:left="309" w:hanging="270"/>
              <w:contextualSpacing/>
              <w:jc w:val="left"/>
            </w:pPr>
            <w:r w:rsidRPr="00590FD1">
              <w:t xml:space="preserve"> využívání brownfieldů (skládky, bývalé doly, atd</w:t>
            </w:r>
            <w:r>
              <w:t>.</w:t>
            </w:r>
            <w:r w:rsidRPr="00590FD1">
              <w:t>) pro výrobu energie z</w:t>
            </w:r>
            <w:r>
              <w:t> </w:t>
            </w:r>
            <w:r w:rsidRPr="00590FD1">
              <w:t>OZE</w:t>
            </w:r>
            <w:r>
              <w:t>.</w:t>
            </w:r>
            <w:r w:rsidRPr="00F1526D" w:rsidDel="00AA201A">
              <w:t xml:space="preserve"> </w:t>
            </w:r>
            <w:r w:rsidR="00150C81" w:rsidRPr="00F1526D" w:rsidDel="00AA201A">
              <w:t xml:space="preserve"> </w:t>
            </w:r>
          </w:p>
          <w:p w:rsidR="00150C81" w:rsidRPr="00F1526D" w:rsidRDefault="00150C81" w:rsidP="009C2562">
            <w:pPr>
              <w:jc w:val="left"/>
              <w:rPr>
                <w:rFonts w:eastAsiaTheme="majorEastAsia"/>
                <w:b/>
              </w:rPr>
            </w:pPr>
          </w:p>
        </w:tc>
        <w:tc>
          <w:tcPr>
            <w:tcW w:w="2573" w:type="pct"/>
            <w:shd w:val="clear" w:color="auto" w:fill="auto"/>
          </w:tcPr>
          <w:p w:rsidR="00150C81" w:rsidRPr="0005558F" w:rsidRDefault="00150C81" w:rsidP="00150C81">
            <w:pPr>
              <w:jc w:val="left"/>
              <w:rPr>
                <w:b/>
                <w:u w:val="single"/>
              </w:rPr>
            </w:pPr>
            <w:r w:rsidRPr="0005558F">
              <w:rPr>
                <w:b/>
                <w:u w:val="single"/>
              </w:rPr>
              <w:t xml:space="preserve"> Podpora podnikání a průmyslu</w:t>
            </w:r>
          </w:p>
          <w:p w:rsidR="00150C81" w:rsidRPr="00F1526D" w:rsidRDefault="00150C81" w:rsidP="00254F4C">
            <w:pPr>
              <w:numPr>
                <w:ilvl w:val="0"/>
                <w:numId w:val="16"/>
              </w:numPr>
              <w:spacing w:before="0" w:line="240" w:lineRule="auto"/>
              <w:ind w:left="309" w:hanging="270"/>
              <w:contextualSpacing/>
              <w:jc w:val="left"/>
            </w:pPr>
            <w:r w:rsidRPr="00F1526D">
              <w:t>zastavení konvergence vůči západní Evropě (setrvání v pasti středního příjmu)</w:t>
            </w:r>
          </w:p>
          <w:p w:rsidR="00150C81" w:rsidRPr="00F1526D" w:rsidRDefault="00150C81" w:rsidP="00254F4C">
            <w:pPr>
              <w:numPr>
                <w:ilvl w:val="0"/>
                <w:numId w:val="16"/>
              </w:numPr>
              <w:spacing w:before="0" w:line="240" w:lineRule="auto"/>
              <w:ind w:left="309" w:hanging="270"/>
              <w:contextualSpacing/>
              <w:jc w:val="left"/>
            </w:pPr>
            <w:r w:rsidRPr="00F1526D">
              <w:t xml:space="preserve">přílišná závislost na přímých zahraničních investicích do výroby s nízkou přidanou hodnotou </w:t>
            </w:r>
          </w:p>
          <w:p w:rsidR="00150C81" w:rsidRPr="00F1526D" w:rsidRDefault="00150C81" w:rsidP="00254F4C">
            <w:pPr>
              <w:numPr>
                <w:ilvl w:val="0"/>
                <w:numId w:val="16"/>
              </w:numPr>
              <w:spacing w:before="0" w:line="240" w:lineRule="auto"/>
              <w:ind w:left="309" w:hanging="270"/>
              <w:contextualSpacing/>
              <w:jc w:val="left"/>
            </w:pPr>
            <w:r w:rsidRPr="00F1526D">
              <w:t>specializace a vytvoření komparativní výhody v low-tech či pouze montáži high-tech</w:t>
            </w:r>
          </w:p>
          <w:p w:rsidR="00150C81" w:rsidRPr="00F1526D" w:rsidRDefault="00150C81" w:rsidP="00254F4C">
            <w:pPr>
              <w:numPr>
                <w:ilvl w:val="0"/>
                <w:numId w:val="16"/>
              </w:numPr>
              <w:spacing w:before="0" w:line="240" w:lineRule="auto"/>
              <w:ind w:left="309" w:hanging="270"/>
              <w:contextualSpacing/>
              <w:jc w:val="left"/>
            </w:pPr>
            <w:r w:rsidRPr="00F1526D">
              <w:t>významná závislost na cenové konkurenceschopnosti</w:t>
            </w:r>
          </w:p>
          <w:p w:rsidR="00150C81" w:rsidRPr="00F1526D" w:rsidRDefault="00150C81" w:rsidP="00254F4C">
            <w:pPr>
              <w:numPr>
                <w:ilvl w:val="0"/>
                <w:numId w:val="16"/>
              </w:numPr>
              <w:spacing w:before="0" w:line="240" w:lineRule="auto"/>
              <w:ind w:left="309" w:hanging="270"/>
              <w:contextualSpacing/>
              <w:jc w:val="left"/>
            </w:pPr>
            <w:r w:rsidRPr="00F1526D">
              <w:t>přesun výroby z firem v ČR do firem v zahraničí</w:t>
            </w:r>
          </w:p>
          <w:p w:rsidR="00150C81" w:rsidRPr="00F1526D" w:rsidRDefault="00150C81" w:rsidP="00254F4C">
            <w:pPr>
              <w:numPr>
                <w:ilvl w:val="0"/>
                <w:numId w:val="16"/>
              </w:numPr>
              <w:spacing w:before="0" w:line="240" w:lineRule="auto"/>
              <w:ind w:left="309" w:hanging="270"/>
              <w:contextualSpacing/>
              <w:jc w:val="left"/>
            </w:pPr>
            <w:r w:rsidRPr="00F1526D">
              <w:t>ohrožení českého průmyslu v produkci „katalogového zboží“ zahraničními výrobci</w:t>
            </w:r>
          </w:p>
          <w:p w:rsidR="00150C81" w:rsidRDefault="00150C81" w:rsidP="00254F4C">
            <w:pPr>
              <w:numPr>
                <w:ilvl w:val="0"/>
                <w:numId w:val="16"/>
              </w:numPr>
              <w:spacing w:before="0" w:line="240" w:lineRule="auto"/>
              <w:ind w:left="309" w:hanging="270"/>
              <w:contextualSpacing/>
              <w:jc w:val="left"/>
            </w:pPr>
            <w:r w:rsidRPr="00F1526D">
              <w:t>jednostranná orientace jen na jedno národní preferované odvětví s produkcí určenou pro zahraniční trhy</w:t>
            </w:r>
          </w:p>
          <w:p w:rsidR="00150C81" w:rsidRDefault="00150C81" w:rsidP="00254F4C">
            <w:pPr>
              <w:numPr>
                <w:ilvl w:val="0"/>
                <w:numId w:val="16"/>
              </w:numPr>
              <w:spacing w:before="0" w:line="240" w:lineRule="auto"/>
              <w:ind w:left="309" w:hanging="270"/>
              <w:contextualSpacing/>
              <w:jc w:val="left"/>
            </w:pPr>
            <w:r w:rsidRPr="00BD2246">
              <w:rPr>
                <w:lang w:eastAsia="cs-CZ"/>
              </w:rPr>
              <w:t>ohrožení průmyslu a energetiky klimatickými změnami, zejména nedostatkem vody</w:t>
            </w:r>
          </w:p>
          <w:p w:rsidR="00150C81" w:rsidRPr="00981C33" w:rsidRDefault="00150C81" w:rsidP="00254F4C">
            <w:pPr>
              <w:numPr>
                <w:ilvl w:val="0"/>
                <w:numId w:val="16"/>
              </w:numPr>
              <w:spacing w:before="0" w:line="240" w:lineRule="auto"/>
              <w:ind w:left="309" w:hanging="270"/>
              <w:contextualSpacing/>
              <w:jc w:val="left"/>
            </w:pPr>
            <w:r w:rsidRPr="00F1526D">
              <w:t xml:space="preserve"> dlouhotrvající a neefektivní vymáhání práva</w:t>
            </w:r>
          </w:p>
          <w:p w:rsidR="00150C81" w:rsidRDefault="00150C81" w:rsidP="00150C81">
            <w:pPr>
              <w:spacing w:after="160" w:line="259" w:lineRule="auto"/>
              <w:contextualSpacing/>
              <w:jc w:val="left"/>
              <w:rPr>
                <w:rFonts w:eastAsiaTheme="minorHAnsi"/>
                <w:b/>
                <w:u w:val="single"/>
              </w:rPr>
            </w:pPr>
          </w:p>
          <w:p w:rsidR="00150C81" w:rsidRPr="00F1526D" w:rsidRDefault="00150C81" w:rsidP="00150C81">
            <w:pPr>
              <w:spacing w:after="160" w:line="259" w:lineRule="auto"/>
              <w:contextualSpacing/>
              <w:jc w:val="left"/>
              <w:rPr>
                <w:rFonts w:eastAsiaTheme="minorHAnsi"/>
                <w:b/>
                <w:u w:val="single"/>
              </w:rPr>
            </w:pPr>
            <w:r w:rsidRPr="00F1526D">
              <w:rPr>
                <w:rFonts w:eastAsiaTheme="minorHAnsi"/>
                <w:b/>
                <w:u w:val="single"/>
              </w:rPr>
              <w:t>Doprava</w:t>
            </w:r>
          </w:p>
          <w:p w:rsidR="00150C81" w:rsidRPr="00F1526D" w:rsidRDefault="00150C81" w:rsidP="00254F4C">
            <w:pPr>
              <w:numPr>
                <w:ilvl w:val="0"/>
                <w:numId w:val="16"/>
              </w:numPr>
              <w:spacing w:before="0" w:line="240" w:lineRule="auto"/>
              <w:contextualSpacing/>
              <w:jc w:val="left"/>
            </w:pPr>
            <w:r w:rsidRPr="00F1526D">
              <w:t>zhoršující se stav dopravní infrastruktury (údržba a opravy)</w:t>
            </w:r>
          </w:p>
          <w:p w:rsidR="00150C81" w:rsidRPr="00F1526D" w:rsidRDefault="00150C81" w:rsidP="00254F4C">
            <w:pPr>
              <w:numPr>
                <w:ilvl w:val="0"/>
                <w:numId w:val="16"/>
              </w:numPr>
              <w:spacing w:before="0" w:line="240" w:lineRule="auto"/>
              <w:contextualSpacing/>
              <w:jc w:val="left"/>
            </w:pPr>
            <w:r w:rsidRPr="00F1526D">
              <w:t>omezená výstavba nové dopravní infrastruktury</w:t>
            </w:r>
          </w:p>
          <w:p w:rsidR="00150C81" w:rsidRPr="00F1526D" w:rsidRDefault="00150C81" w:rsidP="00254F4C">
            <w:pPr>
              <w:numPr>
                <w:ilvl w:val="0"/>
                <w:numId w:val="16"/>
              </w:numPr>
              <w:spacing w:before="0" w:line="240" w:lineRule="auto"/>
              <w:contextualSpacing/>
              <w:jc w:val="left"/>
            </w:pPr>
            <w:r w:rsidRPr="00F1526D">
              <w:t xml:space="preserve">nevyužití </w:t>
            </w:r>
            <w:r w:rsidR="00A924C9">
              <w:t>výhody polohy</w:t>
            </w:r>
            <w:r w:rsidRPr="00F1526D">
              <w:t xml:space="preserve"> ČR </w:t>
            </w:r>
            <w:r w:rsidR="00A924C9">
              <w:t> ve středu Evropy</w:t>
            </w:r>
          </w:p>
          <w:p w:rsidR="00150C81" w:rsidRDefault="00150C81" w:rsidP="00254F4C">
            <w:pPr>
              <w:numPr>
                <w:ilvl w:val="0"/>
                <w:numId w:val="16"/>
              </w:numPr>
              <w:spacing w:before="0" w:line="240" w:lineRule="auto"/>
              <w:contextualSpacing/>
              <w:jc w:val="left"/>
            </w:pPr>
            <w:r w:rsidRPr="00F1526D">
              <w:t>oddalování plného napojení na evropskou dopravní síť a vznik stabilních tranzitních tras obcházejících území ČR</w:t>
            </w:r>
          </w:p>
          <w:p w:rsidR="00847118" w:rsidRPr="00F1526D" w:rsidRDefault="00847118" w:rsidP="00254F4C">
            <w:pPr>
              <w:numPr>
                <w:ilvl w:val="0"/>
                <w:numId w:val="16"/>
              </w:numPr>
              <w:spacing w:before="0" w:line="240" w:lineRule="auto"/>
              <w:contextualSpacing/>
              <w:jc w:val="left"/>
            </w:pPr>
            <w:r w:rsidRPr="00590FD1">
              <w:t>zvyšující podíl dopravy na konečné spotřebě energie a zvyšující se emise škodlivin z</w:t>
            </w:r>
            <w:r w:rsidR="006866F2">
              <w:t> </w:t>
            </w:r>
            <w:r w:rsidRPr="00590FD1">
              <w:t>dopravy</w:t>
            </w:r>
          </w:p>
          <w:p w:rsidR="006866F2" w:rsidRPr="00F1526D" w:rsidRDefault="006866F2" w:rsidP="00254F4C">
            <w:pPr>
              <w:numPr>
                <w:ilvl w:val="0"/>
                <w:numId w:val="16"/>
              </w:numPr>
              <w:spacing w:before="0" w:line="240" w:lineRule="auto"/>
              <w:contextualSpacing/>
              <w:jc w:val="left"/>
            </w:pPr>
            <w:r w:rsidRPr="006866F2">
              <w:t>neuchopení současných a budoucích trendů v oblasti mobility</w:t>
            </w:r>
          </w:p>
          <w:p w:rsidR="00575A62" w:rsidRPr="00F1526D" w:rsidRDefault="00575A62" w:rsidP="00254F4C">
            <w:pPr>
              <w:numPr>
                <w:ilvl w:val="0"/>
                <w:numId w:val="16"/>
              </w:numPr>
              <w:spacing w:before="0" w:line="240" w:lineRule="auto"/>
              <w:contextualSpacing/>
              <w:jc w:val="left"/>
            </w:pPr>
            <w:r w:rsidRPr="00590FD1">
              <w:t>problémy se zaváděním ETCS v železniční dopravě</w:t>
            </w:r>
          </w:p>
          <w:p w:rsidR="00150C81" w:rsidRPr="0005558F" w:rsidRDefault="00150C81" w:rsidP="00150C81">
            <w:pPr>
              <w:jc w:val="left"/>
              <w:rPr>
                <w:b/>
                <w:u w:val="single"/>
              </w:rPr>
            </w:pPr>
            <w:r w:rsidRPr="0005558F">
              <w:rPr>
                <w:b/>
                <w:u w:val="single"/>
              </w:rPr>
              <w:t>Posun k nízkouhlíkovému hospodářství</w:t>
            </w:r>
          </w:p>
          <w:p w:rsidR="00150C81" w:rsidRPr="00F1526D" w:rsidRDefault="00150C81" w:rsidP="00254F4C">
            <w:pPr>
              <w:numPr>
                <w:ilvl w:val="0"/>
                <w:numId w:val="16"/>
              </w:numPr>
              <w:spacing w:before="0" w:line="240" w:lineRule="auto"/>
              <w:ind w:left="309" w:hanging="270"/>
              <w:contextualSpacing/>
              <w:jc w:val="left"/>
            </w:pPr>
            <w:r w:rsidRPr="00F1526D">
              <w:t>omezené disponibilní zásoby hnědého uhlí a související zajištění dodávek tepla obyvatelstvu</w:t>
            </w:r>
          </w:p>
          <w:p w:rsidR="00150C81" w:rsidRDefault="00150C81" w:rsidP="00254F4C">
            <w:pPr>
              <w:numPr>
                <w:ilvl w:val="0"/>
                <w:numId w:val="16"/>
              </w:numPr>
              <w:spacing w:before="0" w:line="240" w:lineRule="auto"/>
              <w:ind w:left="309" w:hanging="270"/>
              <w:contextualSpacing/>
              <w:jc w:val="left"/>
            </w:pPr>
            <w:r w:rsidRPr="00F1526D">
              <w:t>časově náročný postup v budování moderních vysokoúčinných kapacit zdrojů jako náhrada za stávající zdroje</w:t>
            </w:r>
          </w:p>
          <w:p w:rsidR="00FC33C2" w:rsidRPr="00F1526D" w:rsidRDefault="00FC33C2" w:rsidP="00254F4C">
            <w:pPr>
              <w:numPr>
                <w:ilvl w:val="0"/>
                <w:numId w:val="16"/>
              </w:numPr>
              <w:spacing w:before="0" w:line="240" w:lineRule="auto"/>
              <w:ind w:left="309" w:hanging="270"/>
              <w:contextualSpacing/>
              <w:jc w:val="left"/>
            </w:pPr>
            <w:r w:rsidRPr="00590FD1">
              <w:t xml:space="preserve">hrozba výpadku </w:t>
            </w:r>
            <w:r>
              <w:t xml:space="preserve">částí </w:t>
            </w:r>
            <w:r w:rsidRPr="00FC33C2">
              <w:t xml:space="preserve">přenosové </w:t>
            </w:r>
            <w:r>
              <w:t>nebo</w:t>
            </w:r>
            <w:r w:rsidRPr="00590FD1">
              <w:t xml:space="preserve"> distribuční soustavy</w:t>
            </w:r>
          </w:p>
          <w:p w:rsidR="00150C81" w:rsidRDefault="00150C81" w:rsidP="00254F4C">
            <w:pPr>
              <w:numPr>
                <w:ilvl w:val="0"/>
                <w:numId w:val="16"/>
              </w:numPr>
              <w:spacing w:before="0" w:line="240" w:lineRule="auto"/>
              <w:ind w:left="309" w:hanging="270"/>
              <w:contextualSpacing/>
              <w:jc w:val="left"/>
            </w:pPr>
            <w:r w:rsidRPr="00F1526D">
              <w:t>neschopnost zajistit bezpečné a spolehlivé zásobování energií v ostrovních provozech v případě nouzových stavů</w:t>
            </w:r>
          </w:p>
          <w:p w:rsidR="00CF7F0C" w:rsidRDefault="00CF7F0C" w:rsidP="00254F4C">
            <w:pPr>
              <w:numPr>
                <w:ilvl w:val="0"/>
                <w:numId w:val="16"/>
              </w:numPr>
              <w:spacing w:before="0" w:line="240" w:lineRule="auto"/>
              <w:ind w:left="309" w:hanging="270"/>
              <w:contextualSpacing/>
              <w:jc w:val="left"/>
            </w:pPr>
            <w:r w:rsidRPr="00590FD1">
              <w:t>zamoření krajiny četnými stavbami větrných elektráren a solárních panelů</w:t>
            </w:r>
          </w:p>
          <w:p w:rsidR="005B2EDB" w:rsidRPr="00F1526D" w:rsidRDefault="005B2EDB" w:rsidP="00254F4C">
            <w:pPr>
              <w:numPr>
                <w:ilvl w:val="0"/>
                <w:numId w:val="16"/>
              </w:numPr>
              <w:spacing w:before="0" w:line="240" w:lineRule="auto"/>
              <w:ind w:left="309" w:hanging="270"/>
              <w:contextualSpacing/>
              <w:jc w:val="left"/>
            </w:pPr>
            <w:r w:rsidRPr="003742F2">
              <w:t>dopady klimatických změn na výrobu energie, například z vody a biomasy</w:t>
            </w:r>
          </w:p>
          <w:p w:rsidR="00150C81" w:rsidRDefault="00150C81" w:rsidP="00150C81">
            <w:pPr>
              <w:jc w:val="left"/>
            </w:pPr>
            <w:r w:rsidRPr="0005558F">
              <w:rPr>
                <w:b/>
                <w:u w:val="single"/>
              </w:rPr>
              <w:t>Ochrana životního prostředí a oběhové hospodářství</w:t>
            </w:r>
          </w:p>
          <w:p w:rsidR="00150C81" w:rsidRPr="00BD2246" w:rsidRDefault="00150C81" w:rsidP="00254F4C">
            <w:pPr>
              <w:numPr>
                <w:ilvl w:val="0"/>
                <w:numId w:val="16"/>
              </w:numPr>
              <w:spacing w:before="0" w:line="240" w:lineRule="auto"/>
              <w:ind w:left="309" w:hanging="270"/>
              <w:contextualSpacing/>
              <w:jc w:val="left"/>
            </w:pPr>
            <w:r w:rsidRPr="00BD2246">
              <w:t xml:space="preserve">nárůst výroby komodit spojených s vysokými emisemi, vysokou energetickou náročností </w:t>
            </w:r>
          </w:p>
          <w:p w:rsidR="00150C81" w:rsidRPr="00BD2246" w:rsidRDefault="00150C81" w:rsidP="00254F4C">
            <w:pPr>
              <w:numPr>
                <w:ilvl w:val="0"/>
                <w:numId w:val="16"/>
              </w:numPr>
              <w:spacing w:before="0" w:line="240" w:lineRule="auto"/>
              <w:ind w:left="309" w:hanging="270"/>
              <w:contextualSpacing/>
              <w:jc w:val="left"/>
            </w:pPr>
            <w:r w:rsidRPr="00BD2246">
              <w:t>projevy změny klimatu (zvyšování teploty, sucho, změny srážkových úhrnů, extrémní meteorologické jevy apod.)</w:t>
            </w:r>
          </w:p>
          <w:p w:rsidR="00150C81" w:rsidRPr="00ED0665" w:rsidRDefault="00150C81" w:rsidP="00254F4C">
            <w:pPr>
              <w:numPr>
                <w:ilvl w:val="0"/>
                <w:numId w:val="16"/>
              </w:numPr>
              <w:spacing w:before="0" w:line="240" w:lineRule="auto"/>
              <w:ind w:left="309" w:hanging="270"/>
              <w:contextualSpacing/>
              <w:jc w:val="left"/>
            </w:pPr>
            <w:r w:rsidRPr="00BD2246">
              <w:t xml:space="preserve">prioritizace rychlých řešení s krátkou celkovou životností bez respektu k přirozeným přírodním </w:t>
            </w:r>
            <w:r w:rsidRPr="00ED0665">
              <w:t xml:space="preserve">procesům </w:t>
            </w:r>
          </w:p>
          <w:p w:rsidR="00150C81" w:rsidRPr="00ED0665" w:rsidRDefault="00150C81" w:rsidP="00254F4C">
            <w:pPr>
              <w:numPr>
                <w:ilvl w:val="0"/>
                <w:numId w:val="16"/>
              </w:numPr>
              <w:spacing w:before="0" w:line="240" w:lineRule="auto"/>
              <w:ind w:left="309" w:hanging="270"/>
              <w:contextualSpacing/>
              <w:jc w:val="left"/>
            </w:pPr>
            <w:r w:rsidRPr="00ED0665">
              <w:t>prioritizace ekonomických zájmů na úkor životního prostředí</w:t>
            </w:r>
          </w:p>
          <w:p w:rsidR="00150C81" w:rsidRDefault="00150C81" w:rsidP="00254F4C">
            <w:pPr>
              <w:numPr>
                <w:ilvl w:val="0"/>
                <w:numId w:val="16"/>
              </w:numPr>
              <w:spacing w:before="0" w:line="240" w:lineRule="auto"/>
              <w:ind w:left="309" w:hanging="270"/>
              <w:contextualSpacing/>
              <w:jc w:val="left"/>
            </w:pPr>
            <w:r w:rsidRPr="00ED0665">
              <w:t>nevyužití synergických možností přirozeného řešení problémů životního prostředí</w:t>
            </w:r>
          </w:p>
          <w:p w:rsidR="00150C81" w:rsidRPr="00590FD1" w:rsidRDefault="00150C81" w:rsidP="00254F4C">
            <w:pPr>
              <w:numPr>
                <w:ilvl w:val="0"/>
                <w:numId w:val="16"/>
              </w:numPr>
              <w:spacing w:before="0" w:line="240" w:lineRule="auto"/>
              <w:ind w:left="309" w:hanging="270"/>
              <w:contextualSpacing/>
              <w:jc w:val="left"/>
              <w:rPr>
                <w:rFonts w:eastAsiaTheme="majorEastAsia"/>
                <w:b/>
              </w:rPr>
            </w:pPr>
            <w:r w:rsidRPr="00ED0665">
              <w:t>nedostupnost vodních zdrojů v dostatečném množství po celý rok</w:t>
            </w:r>
          </w:p>
          <w:p w:rsidR="00847118" w:rsidRPr="00590FD1" w:rsidRDefault="00847118" w:rsidP="00254F4C">
            <w:pPr>
              <w:numPr>
                <w:ilvl w:val="0"/>
                <w:numId w:val="16"/>
              </w:numPr>
              <w:spacing w:before="0" w:line="240" w:lineRule="auto"/>
              <w:ind w:left="309" w:hanging="270"/>
              <w:contextualSpacing/>
              <w:jc w:val="left"/>
              <w:rPr>
                <w:rFonts w:eastAsiaTheme="majorEastAsia"/>
                <w:b/>
              </w:rPr>
            </w:pPr>
            <w:r w:rsidRPr="00590FD1">
              <w:t>zvyšující se emise škodlivin z lokálních topenišť</w:t>
            </w:r>
          </w:p>
          <w:p w:rsidR="00D4568E" w:rsidRPr="00F1526D" w:rsidRDefault="00D4568E" w:rsidP="00254F4C">
            <w:pPr>
              <w:numPr>
                <w:ilvl w:val="0"/>
                <w:numId w:val="16"/>
              </w:numPr>
              <w:spacing w:before="0" w:line="240" w:lineRule="auto"/>
              <w:ind w:left="309" w:hanging="270"/>
              <w:contextualSpacing/>
              <w:jc w:val="left"/>
              <w:rPr>
                <w:rFonts w:eastAsiaTheme="majorEastAsia"/>
                <w:b/>
              </w:rPr>
            </w:pPr>
            <w:r w:rsidRPr="00590FD1">
              <w:t>přílišné spoléhání se na oběhové hospodářství; velká část výrobků má dlouhý životní cyklus a dosud mají druhotné suroviny získané z odpadů mnohem vyšší výrobní náklady než primární suroviny</w:t>
            </w:r>
          </w:p>
        </w:tc>
      </w:tr>
      <w:tr w:rsidR="00150C81" w:rsidRPr="00F1526D" w:rsidTr="003C1DEA">
        <w:tc>
          <w:tcPr>
            <w:tcW w:w="2427" w:type="pct"/>
            <w:shd w:val="clear" w:color="auto" w:fill="DBE5F1" w:themeFill="accent1" w:themeFillTint="33"/>
          </w:tcPr>
          <w:p w:rsidR="00150C81" w:rsidRPr="002F08D4" w:rsidRDefault="00150C81" w:rsidP="003C1DEA">
            <w:pPr>
              <w:spacing w:before="60" w:after="60" w:line="259" w:lineRule="auto"/>
              <w:rPr>
                <w:rFonts w:eastAsiaTheme="majorEastAsia"/>
                <w:b/>
              </w:rPr>
            </w:pPr>
            <w:r w:rsidRPr="00F1526D">
              <w:rPr>
                <w:rFonts w:eastAsiaTheme="majorEastAsia"/>
                <w:b/>
              </w:rPr>
              <w:t>Příležitosti</w:t>
            </w:r>
          </w:p>
        </w:tc>
        <w:tc>
          <w:tcPr>
            <w:tcW w:w="2573" w:type="pct"/>
            <w:shd w:val="clear" w:color="auto" w:fill="DBE5F1" w:themeFill="accent1" w:themeFillTint="33"/>
            <w:vAlign w:val="center"/>
          </w:tcPr>
          <w:p w:rsidR="00150C81" w:rsidRPr="002F08D4" w:rsidRDefault="00150C81" w:rsidP="003C1DEA">
            <w:pPr>
              <w:spacing w:before="60" w:after="60" w:line="259" w:lineRule="auto"/>
              <w:rPr>
                <w:rFonts w:eastAsiaTheme="majorEastAsia"/>
                <w:b/>
              </w:rPr>
            </w:pPr>
            <w:r w:rsidRPr="00F1526D">
              <w:rPr>
                <w:rFonts w:eastAsiaTheme="majorEastAsia"/>
                <w:b/>
              </w:rPr>
              <w:t>Hrozby</w:t>
            </w:r>
          </w:p>
        </w:tc>
      </w:tr>
      <w:tr w:rsidR="00150C81" w:rsidRPr="00F1526D" w:rsidTr="00161C54">
        <w:trPr>
          <w:trHeight w:val="5802"/>
        </w:trPr>
        <w:tc>
          <w:tcPr>
            <w:tcW w:w="2427" w:type="pct"/>
            <w:shd w:val="clear" w:color="auto" w:fill="auto"/>
          </w:tcPr>
          <w:p w:rsidR="00150C81" w:rsidRPr="0005558F" w:rsidRDefault="00150C81" w:rsidP="00150C81">
            <w:pPr>
              <w:jc w:val="left"/>
              <w:rPr>
                <w:b/>
                <w:u w:val="single"/>
              </w:rPr>
            </w:pPr>
            <w:r w:rsidRPr="0005558F">
              <w:rPr>
                <w:b/>
                <w:u w:val="single"/>
              </w:rPr>
              <w:t>Ochrana životního prostředí a oběhové hospodářství</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t>synergie mezi obnovou ekosystémových funkcí krajiny a vytvářením pracovních míst na venkově při údržbě krajiny a v cestovním ruchu</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t>synergie mezi zvyšováním úrodnosti půdy, zachycováním a ukládáním uhlíku z atmosféry v půdě ve formě organické hmoty a zadržováním vody v půdě</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t>rozvíjení oběhového hospodářství a zvýšení podílu recyklovaných materiálů a druhotných surovin na materiálových tocích</w:t>
            </w:r>
          </w:p>
          <w:p w:rsidR="00150C81" w:rsidRPr="00BD2246" w:rsidRDefault="00150C81" w:rsidP="00254F4C">
            <w:pPr>
              <w:numPr>
                <w:ilvl w:val="0"/>
                <w:numId w:val="16"/>
              </w:numPr>
              <w:spacing w:before="0" w:after="160" w:line="259" w:lineRule="auto"/>
              <w:ind w:left="309" w:hanging="270"/>
              <w:contextualSpacing/>
              <w:jc w:val="left"/>
              <w:rPr>
                <w:rFonts w:eastAsiaTheme="minorHAnsi"/>
              </w:rPr>
            </w:pPr>
            <w:r w:rsidRPr="00F1526D">
              <w:t>opětovné využívání brownfieldů</w:t>
            </w:r>
            <w:r w:rsidR="00E86757">
              <w:t xml:space="preserve"> </w:t>
            </w:r>
            <w:r w:rsidR="00E86757" w:rsidRPr="00DF3A72">
              <w:t xml:space="preserve"> </w:t>
            </w:r>
            <w:r w:rsidR="00E86757">
              <w:t>a  </w:t>
            </w:r>
            <w:r w:rsidR="00E86757" w:rsidRPr="00DF3A72">
              <w:t>přírodě blízké rekultivace částí krajiny narušen</w:t>
            </w:r>
            <w:r w:rsidR="00E86757">
              <w:t>ých těžbou nerostných surovin  </w:t>
            </w:r>
            <w:r w:rsidR="00E86757" w:rsidRPr="00DF3A72">
              <w:t>a souvisejícími aktivitami</w:t>
            </w:r>
          </w:p>
          <w:p w:rsidR="00150C81" w:rsidRPr="00590FD1" w:rsidRDefault="00D4568E" w:rsidP="00590FD1">
            <w:pPr>
              <w:numPr>
                <w:ilvl w:val="0"/>
                <w:numId w:val="16"/>
              </w:numPr>
              <w:spacing w:before="0" w:after="160" w:line="259" w:lineRule="auto"/>
              <w:ind w:left="309" w:hanging="270"/>
              <w:contextualSpacing/>
              <w:jc w:val="left"/>
            </w:pPr>
            <w:r w:rsidRPr="00590FD1">
              <w:t>dekontaminace a znovuvyužití lokalit se starými ekologickými zátěžemi</w:t>
            </w:r>
          </w:p>
          <w:p w:rsidR="00150C81" w:rsidRPr="00590FD1" w:rsidRDefault="00D4568E" w:rsidP="00590FD1">
            <w:pPr>
              <w:numPr>
                <w:ilvl w:val="0"/>
                <w:numId w:val="16"/>
              </w:numPr>
              <w:spacing w:before="0" w:after="160" w:line="259" w:lineRule="auto"/>
              <w:ind w:left="309" w:hanging="270"/>
              <w:contextualSpacing/>
              <w:jc w:val="left"/>
            </w:pPr>
            <w:r w:rsidRPr="00590FD1">
              <w:t>obnovení retenční schopnosti krajiny</w:t>
            </w:r>
          </w:p>
          <w:p w:rsidR="00150C81" w:rsidRPr="00A9356E" w:rsidRDefault="00150C81" w:rsidP="00590FD1">
            <w:pPr>
              <w:numPr>
                <w:ilvl w:val="0"/>
                <w:numId w:val="16"/>
              </w:numPr>
              <w:spacing w:before="0" w:after="160" w:line="259" w:lineRule="auto"/>
              <w:ind w:left="309" w:hanging="270"/>
              <w:contextualSpacing/>
              <w:jc w:val="left"/>
              <w:rPr>
                <w:rFonts w:eastAsiaTheme="minorHAnsi"/>
              </w:rPr>
            </w:pPr>
            <w:r w:rsidRPr="00590FD1">
              <w:t>stabilizovat území pře</w:t>
            </w:r>
            <w:r>
              <w:rPr>
                <w:rFonts w:eastAsiaTheme="minorHAnsi"/>
              </w:rPr>
              <w:t>d</w:t>
            </w:r>
            <w:r w:rsidRPr="001A5B63">
              <w:rPr>
                <w:rFonts w:eastAsiaTheme="minorHAnsi"/>
              </w:rPr>
              <w:t xml:space="preserve"> suchem a erozí</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t>zvýšení efektivnosti a kvality vytápění domácností</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rPr>
                <w:rFonts w:eastAsiaTheme="minorHAnsi"/>
              </w:rPr>
              <w:t>s</w:t>
            </w:r>
            <w:r w:rsidRPr="00F1526D">
              <w:t>nížení podílu pevných paliv v prvotních zdrojích</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rPr>
                <w:rFonts w:eastAsiaTheme="minorHAnsi"/>
              </w:rPr>
              <w:t>m</w:t>
            </w:r>
            <w:r w:rsidRPr="00F1526D">
              <w:t>odernizace technologií ve stávajících průmyslových zařízeních</w:t>
            </w:r>
          </w:p>
          <w:p w:rsidR="00150C81" w:rsidRPr="00F1526D" w:rsidRDefault="00150C81" w:rsidP="00254F4C">
            <w:pPr>
              <w:numPr>
                <w:ilvl w:val="0"/>
                <w:numId w:val="16"/>
              </w:numPr>
              <w:spacing w:before="0" w:after="160" w:line="259" w:lineRule="auto"/>
              <w:ind w:left="309" w:hanging="270"/>
              <w:contextualSpacing/>
              <w:jc w:val="left"/>
              <w:rPr>
                <w:rFonts w:eastAsiaTheme="minorHAnsi"/>
              </w:rPr>
            </w:pPr>
            <w:r w:rsidRPr="00F1526D">
              <w:rPr>
                <w:rFonts w:eastAsiaTheme="minorHAnsi"/>
              </w:rPr>
              <w:t>p</w:t>
            </w:r>
            <w:r w:rsidRPr="00F1526D">
              <w:t>otenciál v uplatňování bezemisních technologií OZE pro vytápění a ohřev teplé vody</w:t>
            </w:r>
          </w:p>
          <w:p w:rsidR="00150C81" w:rsidRPr="0005558F" w:rsidRDefault="00150C81" w:rsidP="00150C81">
            <w:pPr>
              <w:jc w:val="left"/>
              <w:rPr>
                <w:b/>
                <w:u w:val="single"/>
              </w:rPr>
            </w:pPr>
            <w:r w:rsidRPr="0005558F">
              <w:rPr>
                <w:b/>
                <w:u w:val="single"/>
              </w:rPr>
              <w:t>Kultura</w:t>
            </w:r>
          </w:p>
          <w:p w:rsidR="00150C81" w:rsidRPr="00F1526D" w:rsidRDefault="00150C81" w:rsidP="00254F4C">
            <w:pPr>
              <w:numPr>
                <w:ilvl w:val="0"/>
                <w:numId w:val="16"/>
              </w:numPr>
              <w:pBdr>
                <w:bar w:val="none" w:sz="0" w:color="000000"/>
              </w:pBdr>
              <w:spacing w:before="0" w:after="160" w:line="259" w:lineRule="auto"/>
              <w:ind w:left="309" w:hanging="270"/>
              <w:contextualSpacing/>
              <w:jc w:val="left"/>
            </w:pPr>
            <w:r w:rsidRPr="00F1526D">
              <w:rPr>
                <w:lang w:eastAsia="cs-CZ"/>
              </w:rPr>
              <w:t xml:space="preserve">vnímatelná změna ve využívání </w:t>
            </w:r>
            <w:r w:rsidRPr="00EB0BFE">
              <w:rPr>
                <w:rFonts w:eastAsiaTheme="minorHAnsi"/>
              </w:rPr>
              <w:t>kulturního</w:t>
            </w:r>
            <w:r w:rsidRPr="00F1526D">
              <w:rPr>
                <w:lang w:eastAsia="cs-CZ"/>
              </w:rPr>
              <w:t xml:space="preserve"> potenciálu</w:t>
            </w:r>
          </w:p>
          <w:p w:rsidR="00150C81" w:rsidRPr="00F1526D" w:rsidRDefault="00150C81" w:rsidP="00254F4C">
            <w:pPr>
              <w:numPr>
                <w:ilvl w:val="0"/>
                <w:numId w:val="16"/>
              </w:numPr>
              <w:pBdr>
                <w:bar w:val="none" w:sz="0" w:color="000000"/>
              </w:pBdr>
              <w:spacing w:before="0" w:after="160" w:line="259" w:lineRule="auto"/>
              <w:ind w:left="309" w:hanging="270"/>
              <w:contextualSpacing/>
              <w:jc w:val="left"/>
            </w:pPr>
            <w:r w:rsidRPr="00EB0BFE">
              <w:rPr>
                <w:rFonts w:eastAsiaTheme="minorHAnsi"/>
              </w:rPr>
              <w:t>mezisektorová</w:t>
            </w:r>
            <w:r w:rsidRPr="00F1526D">
              <w:rPr>
                <w:lang w:eastAsia="cs-CZ"/>
              </w:rPr>
              <w:t xml:space="preserve"> a meziregionální spolupráce</w:t>
            </w:r>
          </w:p>
          <w:p w:rsidR="00150C81" w:rsidRPr="00F1526D" w:rsidRDefault="00150C81" w:rsidP="00254F4C">
            <w:pPr>
              <w:numPr>
                <w:ilvl w:val="0"/>
                <w:numId w:val="16"/>
              </w:numPr>
              <w:pBdr>
                <w:bar w:val="none" w:sz="0" w:color="000000"/>
              </w:pBdr>
              <w:spacing w:before="0" w:after="160" w:line="259" w:lineRule="auto"/>
              <w:ind w:left="309" w:hanging="270"/>
              <w:contextualSpacing/>
              <w:jc w:val="left"/>
            </w:pPr>
            <w:r w:rsidRPr="00F1526D">
              <w:rPr>
                <w:lang w:eastAsia="cs-CZ"/>
              </w:rPr>
              <w:t xml:space="preserve">kvalitní </w:t>
            </w:r>
            <w:r w:rsidRPr="00EB0BFE">
              <w:rPr>
                <w:rFonts w:eastAsiaTheme="minorHAnsi"/>
              </w:rPr>
              <w:t>ochrana</w:t>
            </w:r>
            <w:r w:rsidRPr="00F1526D">
              <w:rPr>
                <w:lang w:eastAsia="cs-CZ"/>
              </w:rPr>
              <w:t xml:space="preserve"> a zpřístupnění kulturního dědictví</w:t>
            </w:r>
          </w:p>
          <w:p w:rsidR="00150C81" w:rsidRPr="00F1526D" w:rsidRDefault="00150C81" w:rsidP="00254F4C">
            <w:pPr>
              <w:numPr>
                <w:ilvl w:val="0"/>
                <w:numId w:val="16"/>
              </w:numPr>
              <w:pBdr>
                <w:bar w:val="none" w:sz="0" w:color="000000"/>
              </w:pBdr>
              <w:spacing w:before="0" w:after="160" w:line="259" w:lineRule="auto"/>
              <w:ind w:left="309" w:hanging="270"/>
              <w:contextualSpacing/>
              <w:jc w:val="left"/>
            </w:pPr>
            <w:r w:rsidRPr="00F1526D">
              <w:rPr>
                <w:lang w:eastAsia="cs-CZ"/>
              </w:rPr>
              <w:t xml:space="preserve">budování </w:t>
            </w:r>
            <w:r w:rsidRPr="00EB0BFE">
              <w:rPr>
                <w:rFonts w:eastAsiaTheme="minorHAnsi"/>
              </w:rPr>
              <w:t>dobré</w:t>
            </w:r>
            <w:r w:rsidRPr="00F1526D">
              <w:rPr>
                <w:lang w:eastAsia="cs-CZ"/>
              </w:rPr>
              <w:t xml:space="preserve"> značky kultury </w:t>
            </w:r>
          </w:p>
          <w:p w:rsidR="00150C81" w:rsidRPr="002F08D4" w:rsidRDefault="00150C81" w:rsidP="00254F4C">
            <w:pPr>
              <w:numPr>
                <w:ilvl w:val="0"/>
                <w:numId w:val="16"/>
              </w:numPr>
              <w:spacing w:before="0" w:after="160" w:line="259" w:lineRule="auto"/>
              <w:ind w:left="309" w:hanging="270"/>
              <w:contextualSpacing/>
              <w:jc w:val="left"/>
              <w:rPr>
                <w:b/>
                <w:u w:val="single"/>
              </w:rPr>
            </w:pPr>
            <w:r w:rsidRPr="00F1526D">
              <w:rPr>
                <w:lang w:eastAsia="cs-CZ"/>
              </w:rPr>
              <w:t xml:space="preserve">zavedení </w:t>
            </w:r>
            <w:r w:rsidRPr="002F08D4">
              <w:rPr>
                <w:lang w:eastAsia="cs-CZ"/>
              </w:rPr>
              <w:t>pravidelné</w:t>
            </w:r>
            <w:r w:rsidRPr="00F1526D">
              <w:rPr>
                <w:lang w:eastAsia="cs-CZ"/>
              </w:rPr>
              <w:t xml:space="preserve"> nezávislé evaluace kompetencí kulturních institucí</w:t>
            </w:r>
          </w:p>
          <w:p w:rsidR="00597642" w:rsidRPr="00590FD1" w:rsidRDefault="00597642" w:rsidP="00254F4C">
            <w:pPr>
              <w:numPr>
                <w:ilvl w:val="0"/>
                <w:numId w:val="16"/>
              </w:numPr>
              <w:spacing w:before="0" w:after="160" w:line="259" w:lineRule="auto"/>
              <w:ind w:left="309" w:hanging="270"/>
              <w:contextualSpacing/>
              <w:jc w:val="left"/>
              <w:rPr>
                <w:b/>
              </w:rPr>
            </w:pPr>
            <w:r w:rsidRPr="00590FD1">
              <w:rPr>
                <w:color w:val="000000" w:themeColor="text1"/>
              </w:rPr>
              <w:t>motivovaní zaměstnanci kulturních institucí</w:t>
            </w:r>
          </w:p>
          <w:p w:rsidR="00597642" w:rsidRPr="00590FD1" w:rsidRDefault="00597642" w:rsidP="00597642">
            <w:pPr>
              <w:spacing w:before="0" w:after="160" w:line="259" w:lineRule="auto"/>
              <w:ind w:left="39"/>
              <w:contextualSpacing/>
              <w:jc w:val="left"/>
              <w:rPr>
                <w:b/>
              </w:rPr>
            </w:pPr>
          </w:p>
          <w:p w:rsidR="00E56099" w:rsidRPr="0005558F" w:rsidRDefault="009A7DB1" w:rsidP="00E56099">
            <w:pPr>
              <w:jc w:val="left"/>
              <w:rPr>
                <w:b/>
                <w:u w:val="single"/>
              </w:rPr>
            </w:pPr>
            <w:r>
              <w:rPr>
                <w:b/>
                <w:u w:val="single"/>
              </w:rPr>
              <w:t xml:space="preserve"> </w:t>
            </w:r>
            <w:r w:rsidR="00E56099">
              <w:rPr>
                <w:b/>
                <w:u w:val="single"/>
              </w:rPr>
              <w:t>Cestovní ruch</w:t>
            </w:r>
          </w:p>
          <w:p w:rsidR="00C45E96" w:rsidRDefault="004F29FC" w:rsidP="00254F4C">
            <w:pPr>
              <w:numPr>
                <w:ilvl w:val="0"/>
                <w:numId w:val="16"/>
              </w:numPr>
              <w:pBdr>
                <w:bar w:val="none" w:sz="0" w:color="000000"/>
              </w:pBdr>
              <w:spacing w:before="0" w:after="160" w:line="259" w:lineRule="auto"/>
              <w:ind w:left="309" w:hanging="270"/>
              <w:contextualSpacing/>
              <w:jc w:val="left"/>
            </w:pPr>
            <w:r>
              <w:rPr>
                <w:lang w:eastAsia="cs-CZ"/>
              </w:rPr>
              <w:t>s</w:t>
            </w:r>
            <w:r w:rsidR="00C45E96">
              <w:rPr>
                <w:lang w:eastAsia="cs-CZ"/>
              </w:rPr>
              <w:t>etrvalá bezpečnostní situace v ČR</w:t>
            </w:r>
          </w:p>
          <w:p w:rsidR="00C45E96" w:rsidRDefault="004F29FC" w:rsidP="00254F4C">
            <w:pPr>
              <w:numPr>
                <w:ilvl w:val="0"/>
                <w:numId w:val="16"/>
              </w:numPr>
              <w:pBdr>
                <w:bar w:val="none" w:sz="0" w:color="000000"/>
              </w:pBdr>
              <w:spacing w:before="0" w:after="160" w:line="259" w:lineRule="auto"/>
              <w:ind w:left="309" w:hanging="270"/>
              <w:contextualSpacing/>
              <w:jc w:val="left"/>
            </w:pPr>
            <w:r>
              <w:t>postupné zpřístupňování opravených památek</w:t>
            </w:r>
          </w:p>
          <w:p w:rsidR="004F29FC" w:rsidRDefault="004F29FC" w:rsidP="00254F4C">
            <w:pPr>
              <w:numPr>
                <w:ilvl w:val="0"/>
                <w:numId w:val="16"/>
              </w:numPr>
              <w:pBdr>
                <w:bar w:val="none" w:sz="0" w:color="000000"/>
              </w:pBdr>
              <w:spacing w:before="0" w:after="160" w:line="259" w:lineRule="auto"/>
              <w:ind w:left="309" w:hanging="270"/>
              <w:contextualSpacing/>
              <w:jc w:val="left"/>
            </w:pPr>
            <w:r>
              <w:t>dostupnost informací skrze nové technologie</w:t>
            </w:r>
          </w:p>
          <w:p w:rsidR="004F29FC" w:rsidRDefault="004F29FC" w:rsidP="00254F4C">
            <w:pPr>
              <w:numPr>
                <w:ilvl w:val="0"/>
                <w:numId w:val="16"/>
              </w:numPr>
              <w:pBdr>
                <w:bar w:val="none" w:sz="0" w:color="000000"/>
              </w:pBdr>
              <w:spacing w:before="0" w:after="160" w:line="259" w:lineRule="auto"/>
              <w:ind w:left="309" w:hanging="270"/>
              <w:contextualSpacing/>
              <w:jc w:val="left"/>
            </w:pPr>
            <w:r>
              <w:t>rostoucí důležitost trávení volného času a poptávka po zážitcích</w:t>
            </w:r>
          </w:p>
          <w:p w:rsidR="00177548" w:rsidRDefault="00177548" w:rsidP="00177548">
            <w:pPr>
              <w:numPr>
                <w:ilvl w:val="0"/>
                <w:numId w:val="16"/>
              </w:numPr>
              <w:pBdr>
                <w:bar w:val="none" w:sz="0" w:color="000000"/>
              </w:pBdr>
              <w:spacing w:before="0" w:after="160" w:line="259" w:lineRule="auto"/>
              <w:ind w:left="309" w:hanging="270"/>
              <w:contextualSpacing/>
              <w:jc w:val="left"/>
            </w:pPr>
            <w:r>
              <w:t>vytvoření udržitelného systému financování marketingu a výzkumu CR</w:t>
            </w:r>
          </w:p>
          <w:p w:rsidR="00177548" w:rsidRDefault="00177548" w:rsidP="00177548">
            <w:pPr>
              <w:numPr>
                <w:ilvl w:val="0"/>
                <w:numId w:val="16"/>
              </w:numPr>
              <w:pBdr>
                <w:bar w:val="none" w:sz="0" w:color="000000"/>
              </w:pBdr>
              <w:spacing w:before="0" w:after="160" w:line="259" w:lineRule="auto"/>
              <w:ind w:left="309" w:hanging="270"/>
              <w:contextualSpacing/>
              <w:jc w:val="left"/>
            </w:pPr>
            <w:r>
              <w:t>nastavení udržitelného návštěvnického managementu v rizikových lokalitách v souladu s potřebami hmotného, přírodního, technického dědictví a v souladu s potřebami místních obyvatel</w:t>
            </w:r>
          </w:p>
          <w:p w:rsidR="00177548" w:rsidRDefault="00177548" w:rsidP="00177548">
            <w:pPr>
              <w:numPr>
                <w:ilvl w:val="0"/>
                <w:numId w:val="16"/>
              </w:numPr>
              <w:pBdr>
                <w:bar w:val="none" w:sz="0" w:color="000000"/>
              </w:pBdr>
              <w:spacing w:before="0" w:after="160" w:line="259" w:lineRule="auto"/>
              <w:ind w:left="309" w:hanging="270"/>
              <w:contextualSpacing/>
              <w:jc w:val="left"/>
            </w:pPr>
            <w:r>
              <w:t xml:space="preserve">vytvoření finančního nástroje pro rozvoj podnikatelské infrastruktury v oblasti CR </w:t>
            </w:r>
          </w:p>
          <w:p w:rsidR="00177548" w:rsidRPr="00F1526D" w:rsidRDefault="00177548" w:rsidP="00F41D0E">
            <w:pPr>
              <w:numPr>
                <w:ilvl w:val="0"/>
                <w:numId w:val="16"/>
              </w:numPr>
              <w:pBdr>
                <w:bar w:val="none" w:sz="0" w:color="000000"/>
              </w:pBdr>
              <w:spacing w:before="0" w:after="160" w:line="259" w:lineRule="auto"/>
              <w:ind w:left="309" w:hanging="270"/>
              <w:contextualSpacing/>
              <w:jc w:val="left"/>
            </w:pPr>
            <w:r>
              <w:t>rozvoj mezioborových produktů CR s širším zapojením lokální a regionální výroby (řemeslné, zemědělské, průmyslové)</w:t>
            </w:r>
          </w:p>
          <w:p w:rsidR="00E56099" w:rsidRPr="00F1526D" w:rsidRDefault="00E56099" w:rsidP="009A7DB1">
            <w:pPr>
              <w:pBdr>
                <w:bar w:val="none" w:sz="0" w:color="000000"/>
              </w:pBdr>
              <w:spacing w:before="0" w:after="160" w:line="259" w:lineRule="auto"/>
              <w:ind w:left="309"/>
              <w:contextualSpacing/>
              <w:jc w:val="left"/>
              <w:rPr>
                <w:b/>
                <w:u w:val="single"/>
              </w:rPr>
            </w:pPr>
          </w:p>
        </w:tc>
        <w:tc>
          <w:tcPr>
            <w:tcW w:w="2573" w:type="pct"/>
            <w:shd w:val="clear" w:color="auto" w:fill="auto"/>
          </w:tcPr>
          <w:p w:rsidR="00150C81" w:rsidRDefault="00150C81" w:rsidP="00150C81">
            <w:pPr>
              <w:spacing w:before="0" w:line="240" w:lineRule="auto"/>
              <w:contextualSpacing/>
              <w:jc w:val="left"/>
            </w:pPr>
            <w:r w:rsidRPr="009E0E1C">
              <w:rPr>
                <w:b/>
                <w:u w:val="single"/>
              </w:rPr>
              <w:t>Kultura</w:t>
            </w:r>
            <w:r w:rsidRPr="00EB0BFE">
              <w:t xml:space="preserve"> </w:t>
            </w:r>
          </w:p>
          <w:p w:rsidR="00150C81" w:rsidRDefault="00150C81" w:rsidP="00254F4C">
            <w:pPr>
              <w:numPr>
                <w:ilvl w:val="0"/>
                <w:numId w:val="16"/>
              </w:numPr>
              <w:spacing w:before="0" w:line="240" w:lineRule="auto"/>
              <w:ind w:left="309" w:hanging="270"/>
              <w:contextualSpacing/>
              <w:jc w:val="left"/>
            </w:pPr>
            <w:r w:rsidRPr="00EB0BFE">
              <w:t>méně rozvinuté kompetence zaměstnanců v sektoru kultury</w:t>
            </w:r>
          </w:p>
          <w:p w:rsidR="00150C81" w:rsidRPr="00EB0BFE" w:rsidRDefault="00150C81" w:rsidP="00254F4C">
            <w:pPr>
              <w:numPr>
                <w:ilvl w:val="0"/>
                <w:numId w:val="16"/>
              </w:numPr>
              <w:spacing w:before="0" w:line="240" w:lineRule="auto"/>
              <w:ind w:left="309" w:hanging="270"/>
              <w:contextualSpacing/>
              <w:jc w:val="left"/>
            </w:pPr>
            <w:r w:rsidRPr="00EB0BFE">
              <w:rPr>
                <w:lang w:eastAsia="cs-CZ"/>
              </w:rPr>
              <w:t>neschopnost systémového financování</w:t>
            </w:r>
          </w:p>
          <w:p w:rsidR="00150C81" w:rsidRPr="00F1526D" w:rsidRDefault="00150C81" w:rsidP="00254F4C">
            <w:pPr>
              <w:pStyle w:val="P4odrkapuntk"/>
              <w:numPr>
                <w:ilvl w:val="0"/>
                <w:numId w:val="21"/>
              </w:numPr>
              <w:pBdr>
                <w:top w:val="none" w:sz="0" w:space="0" w:color="auto"/>
                <w:left w:val="none" w:sz="0" w:space="0" w:color="auto"/>
                <w:bottom w:val="none" w:sz="0" w:space="0" w:color="auto"/>
                <w:right w:val="none" w:sz="0" w:space="0" w:color="auto"/>
              </w:pBdr>
              <w:spacing w:before="0"/>
              <w:ind w:left="306" w:hanging="284"/>
              <w:jc w:val="left"/>
              <w:rPr>
                <w:rFonts w:ascii="Arial" w:hAnsi="Arial" w:cs="Arial"/>
                <w:sz w:val="20"/>
                <w:szCs w:val="20"/>
              </w:rPr>
            </w:pPr>
            <w:r w:rsidRPr="00EB0BFE">
              <w:rPr>
                <w:rFonts w:ascii="Arial" w:hAnsi="Arial" w:cs="Arial"/>
                <w:sz w:val="20"/>
                <w:szCs w:val="20"/>
                <w:lang w:eastAsia="cs-CZ"/>
              </w:rPr>
              <w:t>nevyhodnocování</w:t>
            </w:r>
            <w:r w:rsidRPr="00ED0665">
              <w:rPr>
                <w:rFonts w:ascii="Arial" w:hAnsi="Arial" w:cs="Arial"/>
                <w:color w:val="auto"/>
                <w:sz w:val="20"/>
                <w:szCs w:val="20"/>
                <w:lang w:eastAsia="cs-CZ"/>
              </w:rPr>
              <w:t xml:space="preserve"> ekonomického </w:t>
            </w:r>
            <w:r>
              <w:rPr>
                <w:rFonts w:ascii="Arial" w:hAnsi="Arial" w:cs="Arial"/>
                <w:sz w:val="20"/>
                <w:szCs w:val="20"/>
                <w:lang w:eastAsia="cs-CZ"/>
              </w:rPr>
              <w:br/>
            </w:r>
            <w:r w:rsidRPr="00F1526D">
              <w:rPr>
                <w:rFonts w:ascii="Arial" w:hAnsi="Arial" w:cs="Arial"/>
                <w:sz w:val="20"/>
                <w:szCs w:val="20"/>
                <w:lang w:eastAsia="cs-CZ"/>
              </w:rPr>
              <w:t>a</w:t>
            </w:r>
            <w:r>
              <w:rPr>
                <w:rFonts w:ascii="Arial" w:hAnsi="Arial" w:cs="Arial"/>
                <w:sz w:val="20"/>
                <w:szCs w:val="20"/>
                <w:lang w:eastAsia="cs-CZ"/>
              </w:rPr>
              <w:t xml:space="preserve"> </w:t>
            </w:r>
            <w:r w:rsidRPr="00F1526D">
              <w:rPr>
                <w:rFonts w:ascii="Arial" w:hAnsi="Arial" w:cs="Arial"/>
                <w:sz w:val="20"/>
                <w:szCs w:val="20"/>
                <w:lang w:eastAsia="cs-CZ"/>
              </w:rPr>
              <w:t>celospolečenského přínosu</w:t>
            </w:r>
            <w:r>
              <w:rPr>
                <w:rFonts w:ascii="Arial" w:hAnsi="Arial" w:cs="Arial"/>
                <w:sz w:val="20"/>
                <w:szCs w:val="20"/>
                <w:lang w:eastAsia="cs-CZ"/>
              </w:rPr>
              <w:t xml:space="preserve"> kultury</w:t>
            </w:r>
          </w:p>
          <w:p w:rsidR="00150C81" w:rsidRPr="00F1526D" w:rsidRDefault="00150C81" w:rsidP="00254F4C">
            <w:pPr>
              <w:pStyle w:val="P4odrkapuntk"/>
              <w:numPr>
                <w:ilvl w:val="0"/>
                <w:numId w:val="21"/>
              </w:numPr>
              <w:pBdr>
                <w:top w:val="none" w:sz="0" w:space="0" w:color="auto"/>
                <w:left w:val="none" w:sz="0" w:space="0" w:color="auto"/>
                <w:bottom w:val="none" w:sz="0" w:space="0" w:color="auto"/>
                <w:right w:val="none" w:sz="0" w:space="0" w:color="auto"/>
              </w:pBdr>
              <w:spacing w:before="0"/>
              <w:ind w:left="306" w:hanging="284"/>
              <w:jc w:val="left"/>
              <w:rPr>
                <w:rFonts w:ascii="Arial" w:hAnsi="Arial" w:cs="Arial"/>
                <w:sz w:val="20"/>
                <w:szCs w:val="20"/>
              </w:rPr>
            </w:pPr>
            <w:r w:rsidRPr="00F1526D">
              <w:rPr>
                <w:rFonts w:ascii="Arial" w:hAnsi="Arial" w:cs="Arial"/>
                <w:sz w:val="20"/>
                <w:szCs w:val="20"/>
                <w:lang w:eastAsia="cs-CZ"/>
              </w:rPr>
              <w:t>resortismus a neprovázanost jednotlivých strategií a intervencí</w:t>
            </w:r>
          </w:p>
          <w:p w:rsidR="00150C81" w:rsidRPr="00F1526D" w:rsidRDefault="00150C81" w:rsidP="00254F4C">
            <w:pPr>
              <w:pStyle w:val="P4odrkapuntk"/>
              <w:numPr>
                <w:ilvl w:val="0"/>
                <w:numId w:val="21"/>
              </w:numPr>
              <w:pBdr>
                <w:top w:val="none" w:sz="0" w:space="0" w:color="auto"/>
                <w:left w:val="none" w:sz="0" w:space="0" w:color="auto"/>
                <w:bottom w:val="none" w:sz="0" w:space="0" w:color="auto"/>
                <w:right w:val="none" w:sz="0" w:space="0" w:color="auto"/>
              </w:pBdr>
              <w:spacing w:before="0"/>
              <w:ind w:left="306" w:hanging="284"/>
              <w:jc w:val="left"/>
              <w:rPr>
                <w:rFonts w:ascii="Arial" w:hAnsi="Arial" w:cs="Arial"/>
                <w:sz w:val="20"/>
                <w:szCs w:val="20"/>
              </w:rPr>
            </w:pPr>
            <w:r w:rsidRPr="00F1526D">
              <w:rPr>
                <w:rFonts w:ascii="Arial" w:hAnsi="Arial" w:cs="Arial"/>
                <w:sz w:val="20"/>
                <w:szCs w:val="20"/>
                <w:lang w:eastAsia="cs-CZ"/>
              </w:rPr>
              <w:t>nezájem zřizovatelů o kvalitní fungování kulturní infrastruktury</w:t>
            </w:r>
          </w:p>
          <w:p w:rsidR="00150C81" w:rsidRPr="00A9356E" w:rsidRDefault="00150C81" w:rsidP="00254F4C">
            <w:pPr>
              <w:pStyle w:val="P4odrkapuntk"/>
              <w:numPr>
                <w:ilvl w:val="0"/>
                <w:numId w:val="21"/>
              </w:numPr>
              <w:pBdr>
                <w:top w:val="none" w:sz="0" w:space="0" w:color="auto"/>
                <w:left w:val="none" w:sz="0" w:space="0" w:color="auto"/>
                <w:bottom w:val="none" w:sz="0" w:space="0" w:color="auto"/>
                <w:right w:val="none" w:sz="0" w:space="0" w:color="auto"/>
              </w:pBdr>
              <w:spacing w:before="0"/>
              <w:ind w:left="306" w:hanging="284"/>
              <w:jc w:val="left"/>
              <w:rPr>
                <w:rFonts w:ascii="Arial" w:hAnsi="Arial" w:cs="Arial"/>
                <w:sz w:val="20"/>
                <w:szCs w:val="20"/>
                <w:lang w:eastAsia="cs-CZ"/>
              </w:rPr>
            </w:pPr>
            <w:r w:rsidRPr="004B5369">
              <w:rPr>
                <w:rFonts w:ascii="Arial" w:hAnsi="Arial" w:cs="Arial"/>
                <w:sz w:val="20"/>
                <w:szCs w:val="20"/>
                <w:lang w:eastAsia="cs-CZ"/>
              </w:rPr>
              <w:t>odliv talentů z</w:t>
            </w:r>
            <w:r>
              <w:rPr>
                <w:rFonts w:ascii="Arial" w:hAnsi="Arial" w:cs="Arial"/>
                <w:sz w:val="20"/>
                <w:szCs w:val="20"/>
                <w:lang w:eastAsia="cs-CZ"/>
              </w:rPr>
              <w:t> </w:t>
            </w:r>
            <w:r w:rsidRPr="004B5369">
              <w:rPr>
                <w:rFonts w:ascii="Arial" w:hAnsi="Arial" w:cs="Arial"/>
                <w:sz w:val="20"/>
                <w:szCs w:val="20"/>
                <w:lang w:eastAsia="cs-CZ"/>
              </w:rPr>
              <w:t>ČR</w:t>
            </w:r>
          </w:p>
          <w:p w:rsidR="00150C81" w:rsidRPr="00A9356E" w:rsidRDefault="00150C81" w:rsidP="00254F4C">
            <w:pPr>
              <w:pStyle w:val="P4odrkapuntk"/>
              <w:numPr>
                <w:ilvl w:val="0"/>
                <w:numId w:val="21"/>
              </w:numPr>
              <w:pBdr>
                <w:top w:val="none" w:sz="0" w:space="0" w:color="auto"/>
                <w:left w:val="none" w:sz="0" w:space="0" w:color="auto"/>
                <w:bottom w:val="none" w:sz="0" w:space="0" w:color="auto"/>
                <w:right w:val="none" w:sz="0" w:space="0" w:color="auto"/>
              </w:pBdr>
              <w:spacing w:before="0"/>
              <w:ind w:left="306" w:hanging="284"/>
              <w:jc w:val="left"/>
              <w:rPr>
                <w:rFonts w:ascii="Arial" w:hAnsi="Arial" w:cs="Arial"/>
                <w:sz w:val="20"/>
                <w:szCs w:val="20"/>
                <w:lang w:eastAsia="cs-CZ"/>
              </w:rPr>
            </w:pPr>
            <w:r w:rsidRPr="004B5369">
              <w:rPr>
                <w:rFonts w:ascii="Arial" w:hAnsi="Arial" w:cs="Arial"/>
                <w:sz w:val="20"/>
                <w:szCs w:val="20"/>
                <w:lang w:eastAsia="cs-CZ"/>
              </w:rPr>
              <w:t>neustále se zhoršující stav velké části památek</w:t>
            </w:r>
          </w:p>
          <w:p w:rsidR="00E56099" w:rsidRPr="0005558F" w:rsidRDefault="009A7DB1" w:rsidP="00E56099">
            <w:pPr>
              <w:jc w:val="left"/>
              <w:rPr>
                <w:b/>
                <w:u w:val="single"/>
              </w:rPr>
            </w:pPr>
            <w:r>
              <w:rPr>
                <w:b/>
                <w:u w:val="single"/>
              </w:rPr>
              <w:t xml:space="preserve"> </w:t>
            </w:r>
            <w:r w:rsidR="00E56099">
              <w:rPr>
                <w:b/>
                <w:u w:val="single"/>
              </w:rPr>
              <w:t>Cestovní ruch</w:t>
            </w:r>
          </w:p>
          <w:p w:rsidR="004F29FC" w:rsidRDefault="004F29FC" w:rsidP="00254F4C">
            <w:pPr>
              <w:numPr>
                <w:ilvl w:val="0"/>
                <w:numId w:val="16"/>
              </w:numPr>
              <w:spacing w:before="0" w:line="240" w:lineRule="auto"/>
              <w:ind w:left="309" w:hanging="270"/>
              <w:contextualSpacing/>
              <w:jc w:val="left"/>
            </w:pPr>
            <w:r>
              <w:t xml:space="preserve">hrozba teroristického útoku </w:t>
            </w:r>
          </w:p>
          <w:p w:rsidR="004F29FC" w:rsidRDefault="004F29FC" w:rsidP="00254F4C">
            <w:pPr>
              <w:numPr>
                <w:ilvl w:val="0"/>
                <w:numId w:val="16"/>
              </w:numPr>
              <w:spacing w:before="0" w:line="240" w:lineRule="auto"/>
              <w:ind w:left="309" w:hanging="270"/>
              <w:contextualSpacing/>
              <w:jc w:val="left"/>
            </w:pPr>
            <w:r>
              <w:t>zhoršující se důsledky změn klimatu (zejména zimní turistika, ale i vodáctví)</w:t>
            </w:r>
          </w:p>
          <w:p w:rsidR="004F29FC" w:rsidRDefault="004F29FC" w:rsidP="00254F4C">
            <w:pPr>
              <w:numPr>
                <w:ilvl w:val="0"/>
                <w:numId w:val="16"/>
              </w:numPr>
              <w:spacing w:before="0" w:line="240" w:lineRule="auto"/>
              <w:ind w:left="309" w:hanging="270"/>
              <w:contextualSpacing/>
              <w:jc w:val="left"/>
            </w:pPr>
            <w:r>
              <w:t>zaostání obnovy dopravní infrastruktury</w:t>
            </w:r>
          </w:p>
          <w:p w:rsidR="004F29FC" w:rsidRDefault="004F29FC" w:rsidP="00254F4C">
            <w:pPr>
              <w:numPr>
                <w:ilvl w:val="0"/>
                <w:numId w:val="16"/>
              </w:numPr>
              <w:spacing w:before="0" w:line="240" w:lineRule="auto"/>
              <w:ind w:left="309" w:hanging="270"/>
              <w:contextualSpacing/>
              <w:jc w:val="left"/>
            </w:pPr>
            <w:r>
              <w:t>zhoršující se dostupnost regionů</w:t>
            </w:r>
          </w:p>
          <w:p w:rsidR="00177548" w:rsidRDefault="00177548" w:rsidP="00177548">
            <w:pPr>
              <w:numPr>
                <w:ilvl w:val="0"/>
                <w:numId w:val="16"/>
              </w:numPr>
              <w:spacing w:before="0" w:line="240" w:lineRule="auto"/>
              <w:ind w:left="309" w:hanging="270"/>
              <w:contextualSpacing/>
              <w:jc w:val="left"/>
            </w:pPr>
            <w:r>
              <w:t>nedostatečné zajištění prostředků pro financování výzkumu, monitoringu a marketingu v oblasti cestovního ruchu</w:t>
            </w:r>
          </w:p>
          <w:p w:rsidR="00177548" w:rsidRDefault="00177548" w:rsidP="00177548">
            <w:pPr>
              <w:numPr>
                <w:ilvl w:val="0"/>
                <w:numId w:val="16"/>
              </w:numPr>
              <w:spacing w:before="0" w:line="240" w:lineRule="auto"/>
              <w:ind w:left="309" w:hanging="270"/>
              <w:contextualSpacing/>
              <w:jc w:val="left"/>
            </w:pPr>
            <w:r>
              <w:t>snížení počtu příjezdů do ČR z důvodu nedostatečného rozvoje nabídky CR a neřešení vysoké návštěvnosti v exponovaných místech</w:t>
            </w:r>
          </w:p>
          <w:p w:rsidR="00177548" w:rsidRDefault="00177548" w:rsidP="00177548">
            <w:pPr>
              <w:numPr>
                <w:ilvl w:val="0"/>
                <w:numId w:val="16"/>
              </w:numPr>
              <w:spacing w:before="0" w:line="240" w:lineRule="auto"/>
              <w:ind w:left="309" w:hanging="270"/>
              <w:contextualSpacing/>
              <w:jc w:val="left"/>
            </w:pPr>
            <w:r>
              <w:t xml:space="preserve">vysidlování turisticky přetížených lokalit z důvodu negativního vlivu na kvalitu života místních obyvatel (hluk, odpad, zvyšování cen, nedostupnost základních služeb) </w:t>
            </w:r>
            <w:r w:rsidR="003C2075">
              <w:t xml:space="preserve">a </w:t>
            </w:r>
            <w:r>
              <w:t xml:space="preserve">z důvodu nedostatečného řízení </w:t>
            </w:r>
            <w:r w:rsidR="006A55AE">
              <w:t xml:space="preserve">cestovního ruchu </w:t>
            </w:r>
            <w:r>
              <w:t>v destinacích</w:t>
            </w:r>
          </w:p>
          <w:p w:rsidR="00177548" w:rsidRDefault="00177548" w:rsidP="00177548">
            <w:pPr>
              <w:numPr>
                <w:ilvl w:val="0"/>
                <w:numId w:val="16"/>
              </w:numPr>
              <w:spacing w:before="0" w:line="240" w:lineRule="auto"/>
              <w:ind w:left="309" w:hanging="270"/>
              <w:contextualSpacing/>
              <w:jc w:val="left"/>
            </w:pPr>
            <w:r>
              <w:t xml:space="preserve">nízké investice do infrastruktury vlivem podfinancování sektoru </w:t>
            </w:r>
            <w:r w:rsidR="006A55AE">
              <w:t>cestovního ruchu</w:t>
            </w:r>
          </w:p>
          <w:p w:rsidR="00177548" w:rsidRDefault="00177548" w:rsidP="00F41D0E">
            <w:pPr>
              <w:numPr>
                <w:ilvl w:val="0"/>
                <w:numId w:val="16"/>
              </w:numPr>
              <w:spacing w:before="0" w:line="240" w:lineRule="auto"/>
              <w:ind w:left="309" w:hanging="270"/>
              <w:contextualSpacing/>
              <w:jc w:val="left"/>
            </w:pPr>
            <w:r>
              <w:t xml:space="preserve">ohrožení konkurenceschopnosti </w:t>
            </w:r>
            <w:r w:rsidR="006A55AE">
              <w:t xml:space="preserve">cestovního ruchu </w:t>
            </w:r>
            <w:r>
              <w:t xml:space="preserve">v ČR z důvodu nedostatečného počtu pracovníků ve službách </w:t>
            </w:r>
            <w:r w:rsidR="006A55AE">
              <w:t>cestovního ruchu</w:t>
            </w:r>
          </w:p>
          <w:p w:rsidR="00AB4B07" w:rsidRDefault="00AB4B07" w:rsidP="00F41D0E">
            <w:pPr>
              <w:numPr>
                <w:ilvl w:val="0"/>
                <w:numId w:val="16"/>
              </w:numPr>
              <w:spacing w:before="0" w:line="240" w:lineRule="auto"/>
              <w:ind w:left="309" w:hanging="270"/>
              <w:contextualSpacing/>
              <w:jc w:val="left"/>
            </w:pPr>
            <w:r>
              <w:t xml:space="preserve">snížení počtu příjezdů do ČR v důsledku omezení marketingových aktivit </w:t>
            </w:r>
          </w:p>
          <w:p w:rsidR="00AB4B07" w:rsidRDefault="00033A85" w:rsidP="00F41D0E">
            <w:pPr>
              <w:numPr>
                <w:ilvl w:val="0"/>
                <w:numId w:val="16"/>
              </w:numPr>
              <w:spacing w:before="0" w:line="240" w:lineRule="auto"/>
              <w:ind w:left="309" w:hanging="270"/>
              <w:contextualSpacing/>
              <w:jc w:val="left"/>
            </w:pPr>
            <w:r>
              <w:t>v</w:t>
            </w:r>
            <w:r w:rsidR="00AB4B07">
              <w:t xml:space="preserve">ysoká spotřeba podniků ve službách </w:t>
            </w:r>
            <w:r w:rsidR="006A55AE">
              <w:t>cestovního ruchu</w:t>
            </w:r>
            <w:r w:rsidR="00AB4B07">
              <w:t xml:space="preserve">, včetně nárůstu komunálního odpadu vlivem neřešení problematiky oběhového </w:t>
            </w:r>
            <w:r w:rsidR="00693DB0">
              <w:t>hospodářství</w:t>
            </w:r>
            <w:r w:rsidR="00AB4B07" w:rsidRPr="00F412B1">
              <w:t xml:space="preserve"> </w:t>
            </w:r>
            <w:r w:rsidR="006A55AE" w:rsidRPr="00590FD1">
              <w:t>a malého důrazu na předcházení vzniku odpadů v cestovním ruchu</w:t>
            </w:r>
            <w:r w:rsidR="006A55AE" w:rsidRPr="00F412B1">
              <w:t>.</w:t>
            </w:r>
          </w:p>
          <w:p w:rsidR="00150C81" w:rsidRPr="00F1526D" w:rsidRDefault="00150C81" w:rsidP="00A9356E">
            <w:pPr>
              <w:spacing w:before="0" w:line="240" w:lineRule="auto"/>
              <w:contextualSpacing/>
              <w:jc w:val="left"/>
              <w:rPr>
                <w:b/>
                <w:u w:val="single"/>
              </w:rPr>
            </w:pPr>
          </w:p>
        </w:tc>
      </w:tr>
    </w:tbl>
    <w:p w:rsidR="00053B1D" w:rsidRPr="003D45AD" w:rsidRDefault="72755F4C" w:rsidP="72755F4C">
      <w:pPr>
        <w:pStyle w:val="Nadpis2"/>
        <w:numPr>
          <w:ilvl w:val="1"/>
          <w:numId w:val="0"/>
        </w:numPr>
        <w:spacing w:line="240" w:lineRule="auto"/>
        <w:ind w:left="-6"/>
        <w:jc w:val="left"/>
      </w:pPr>
      <w:bookmarkStart w:id="58" w:name="_Toc7774217"/>
      <w:bookmarkStart w:id="59" w:name="_Toc13828214"/>
      <w:r w:rsidRPr="72755F4C">
        <w:rPr>
          <w:rFonts w:eastAsia="Arial"/>
        </w:rPr>
        <w:t>1.5 Shrnutí hlavních vývojových trendů v EU a ve světě</w:t>
      </w:r>
      <w:r w:rsidR="00270225">
        <w:rPr>
          <w:rStyle w:val="Znakapoznpodarou"/>
          <w:rFonts w:eastAsia="Arial"/>
        </w:rPr>
        <w:footnoteReference w:id="6"/>
      </w:r>
      <w:bookmarkEnd w:id="58"/>
      <w:bookmarkEnd w:id="59"/>
    </w:p>
    <w:p w:rsidR="00053B1D" w:rsidRPr="00671D5F" w:rsidRDefault="00053B1D" w:rsidP="00053B1D">
      <w:pPr>
        <w:rPr>
          <w:sz w:val="22"/>
        </w:rPr>
      </w:pPr>
      <w:r w:rsidRPr="00671D5F">
        <w:rPr>
          <w:sz w:val="22"/>
        </w:rPr>
        <w:t>Vývoj EU a politiky soudržnosti je ovlivňován řadou faktorů, mezi které je třeba jednoznačně zařadit i tzv. globální megatrendy jak v EU, tak ve světě. Megatrendy je možno vnímat jako procesy, které v delším časovém horizontu ovlivňují naše myšlení, aktivity, organizaci společnosti a budoucí realitu světa. Níže uvedené megatrendy byly identifikovány jako důležité z hlediska dalšího vývoje EU a budoucí podoby politiky soudržnosti:</w:t>
      </w:r>
    </w:p>
    <w:p w:rsidR="00053B1D" w:rsidRPr="00671D5F" w:rsidRDefault="00053B1D" w:rsidP="00977260">
      <w:pPr>
        <w:spacing w:before="240" w:line="259" w:lineRule="auto"/>
        <w:rPr>
          <w:b/>
          <w:sz w:val="22"/>
        </w:rPr>
      </w:pPr>
      <w:r w:rsidRPr="00671D5F">
        <w:rPr>
          <w:b/>
          <w:sz w:val="22"/>
        </w:rPr>
        <w:t>Demografické stárnutí</w:t>
      </w:r>
    </w:p>
    <w:p w:rsidR="00053B1D" w:rsidRPr="0005558F" w:rsidRDefault="2D57A07C" w:rsidP="2D57A07C">
      <w:pPr>
        <w:spacing w:before="40"/>
        <w:rPr>
          <w:sz w:val="22"/>
          <w:szCs w:val="22"/>
        </w:rPr>
      </w:pPr>
      <w:r w:rsidRPr="2D57A07C">
        <w:rPr>
          <w:sz w:val="22"/>
          <w:szCs w:val="22"/>
        </w:rPr>
        <w:t>Stárnoucí populace vytváří tlak na zdravotní a sociální systém, přičemž může přispívat k oslabování výkonnosti ekonomiky v důsledku poklesu počtu pracovní síly. Zároveň je příležitost</w:t>
      </w:r>
      <w:r w:rsidR="005A146B">
        <w:rPr>
          <w:sz w:val="22"/>
          <w:szCs w:val="22"/>
        </w:rPr>
        <w:t>í</w:t>
      </w:r>
      <w:r w:rsidRPr="2D57A07C">
        <w:rPr>
          <w:sz w:val="22"/>
          <w:szCs w:val="22"/>
        </w:rPr>
        <w:t xml:space="preserve"> pro nové typy služeb a zaměstnání.</w:t>
      </w:r>
    </w:p>
    <w:p w:rsidR="00053B1D" w:rsidRPr="00671D5F" w:rsidRDefault="00053B1D" w:rsidP="00977260">
      <w:pPr>
        <w:spacing w:before="240" w:line="259" w:lineRule="auto"/>
        <w:rPr>
          <w:b/>
          <w:sz w:val="22"/>
        </w:rPr>
      </w:pPr>
      <w:r w:rsidRPr="00671D5F">
        <w:rPr>
          <w:b/>
          <w:sz w:val="22"/>
        </w:rPr>
        <w:t>Rostoucí nerovnosti</w:t>
      </w:r>
    </w:p>
    <w:p w:rsidR="00053B1D" w:rsidRPr="0005558F" w:rsidRDefault="005F6BD9" w:rsidP="0005558F">
      <w:pPr>
        <w:spacing w:before="40"/>
        <w:rPr>
          <w:sz w:val="22"/>
        </w:rPr>
      </w:pPr>
      <w:r w:rsidRPr="00590FD1">
        <w:rPr>
          <w:sz w:val="22"/>
        </w:rPr>
        <w:t>Roste příjmová nerovnost mezi společenskými vrstvami. Příjmová i další nerovnosti mezi ženami a muži na trhu práce</w:t>
      </w:r>
      <w:r w:rsidR="00BA7DE2">
        <w:rPr>
          <w:sz w:val="22"/>
        </w:rPr>
        <w:t>,</w:t>
      </w:r>
      <w:r w:rsidRPr="00590FD1">
        <w:rPr>
          <w:sz w:val="22"/>
        </w:rPr>
        <w:t xml:space="preserve"> i v dalších oblastech</w:t>
      </w:r>
      <w:r w:rsidR="00BA7DE2">
        <w:rPr>
          <w:sz w:val="22"/>
        </w:rPr>
        <w:t>,</w:t>
      </w:r>
      <w:r w:rsidRPr="00590FD1">
        <w:rPr>
          <w:sz w:val="22"/>
        </w:rPr>
        <w:t xml:space="preserve"> přetrvávají</w:t>
      </w:r>
      <w:r w:rsidR="00053B1D" w:rsidRPr="0005558F">
        <w:rPr>
          <w:sz w:val="22"/>
        </w:rPr>
        <w:t>.</w:t>
      </w:r>
      <w:r>
        <w:rPr>
          <w:sz w:val="22"/>
        </w:rPr>
        <w:t xml:space="preserve"> Rostou </w:t>
      </w:r>
      <w:r w:rsidR="00BA7DE2">
        <w:rPr>
          <w:sz w:val="22"/>
        </w:rPr>
        <w:t xml:space="preserve">rovněž </w:t>
      </w:r>
      <w:r>
        <w:rPr>
          <w:sz w:val="22"/>
        </w:rPr>
        <w:t>nerovnosti v přístupu ke vzdělávání</w:t>
      </w:r>
      <w:r w:rsidR="00BA7DE2">
        <w:rPr>
          <w:sz w:val="22"/>
        </w:rPr>
        <w:t>,</w:t>
      </w:r>
      <w:r>
        <w:rPr>
          <w:sz w:val="22"/>
        </w:rPr>
        <w:t xml:space="preserve"> i </w:t>
      </w:r>
      <w:r w:rsidR="00BA7DE2">
        <w:rPr>
          <w:sz w:val="22"/>
        </w:rPr>
        <w:t xml:space="preserve">v </w:t>
      </w:r>
      <w:r>
        <w:rPr>
          <w:sz w:val="22"/>
        </w:rPr>
        <w:t>dalších oblastech.</w:t>
      </w:r>
      <w:r w:rsidR="00053B1D" w:rsidRPr="0005558F">
        <w:rPr>
          <w:sz w:val="22"/>
        </w:rPr>
        <w:t xml:space="preserve">  </w:t>
      </w:r>
    </w:p>
    <w:p w:rsidR="00053B1D" w:rsidRPr="00671D5F" w:rsidRDefault="00053B1D" w:rsidP="00977260">
      <w:pPr>
        <w:spacing w:before="240" w:line="259" w:lineRule="auto"/>
        <w:rPr>
          <w:b/>
          <w:sz w:val="22"/>
        </w:rPr>
      </w:pPr>
      <w:r w:rsidRPr="00671D5F">
        <w:rPr>
          <w:b/>
          <w:sz w:val="22"/>
        </w:rPr>
        <w:t>Posun civilizace ke znalostní ekonomice</w:t>
      </w:r>
    </w:p>
    <w:p w:rsidR="00053B1D" w:rsidRPr="0005558F" w:rsidRDefault="00053B1D" w:rsidP="0005558F">
      <w:pPr>
        <w:spacing w:before="40"/>
        <w:rPr>
          <w:sz w:val="22"/>
        </w:rPr>
      </w:pPr>
      <w:r w:rsidRPr="0005558F">
        <w:rPr>
          <w:sz w:val="22"/>
        </w:rPr>
        <w:t>Digitalizace, úzká specializace a aplikace vědeckých poznatků jsou zásadním předpokladem pro další rozvoj ekonomiky.</w:t>
      </w:r>
    </w:p>
    <w:p w:rsidR="00053B1D" w:rsidRPr="00671D5F" w:rsidRDefault="00053B1D" w:rsidP="00977260">
      <w:pPr>
        <w:spacing w:before="240" w:line="259" w:lineRule="auto"/>
        <w:rPr>
          <w:b/>
          <w:sz w:val="22"/>
        </w:rPr>
      </w:pPr>
      <w:r w:rsidRPr="00671D5F">
        <w:rPr>
          <w:b/>
          <w:sz w:val="22"/>
        </w:rPr>
        <w:t>Zvyšující se dostupnost technologií</w:t>
      </w:r>
    </w:p>
    <w:p w:rsidR="00053B1D" w:rsidRPr="0005558F" w:rsidRDefault="00053B1D" w:rsidP="0005558F">
      <w:pPr>
        <w:spacing w:before="40"/>
        <w:rPr>
          <w:sz w:val="22"/>
        </w:rPr>
      </w:pPr>
      <w:r w:rsidRPr="0005558F">
        <w:rPr>
          <w:sz w:val="22"/>
        </w:rPr>
        <w:t>Technologie se čím dál víc stávají dostupnou součástí běžného života a prostupují všemi oblastmi společnosti.</w:t>
      </w:r>
    </w:p>
    <w:p w:rsidR="00053B1D" w:rsidRPr="00671D5F" w:rsidRDefault="00053B1D" w:rsidP="00977260">
      <w:pPr>
        <w:spacing w:before="240" w:line="259" w:lineRule="auto"/>
        <w:rPr>
          <w:b/>
          <w:sz w:val="22"/>
        </w:rPr>
      </w:pPr>
      <w:r w:rsidRPr="00671D5F">
        <w:rPr>
          <w:b/>
          <w:sz w:val="22"/>
        </w:rPr>
        <w:t>Zvyšující se rychlost technologické změny</w:t>
      </w:r>
    </w:p>
    <w:p w:rsidR="00053B1D" w:rsidRPr="0005558F" w:rsidRDefault="00053B1D" w:rsidP="6A9D794E">
      <w:pPr>
        <w:spacing w:before="40"/>
        <w:rPr>
          <w:sz w:val="22"/>
          <w:szCs w:val="22"/>
        </w:rPr>
      </w:pPr>
      <w:r w:rsidRPr="6A9D794E">
        <w:rPr>
          <w:sz w:val="22"/>
          <w:szCs w:val="22"/>
        </w:rPr>
        <w:t>Dochází k rychlému rozvoji technologií a jejich bezo</w:t>
      </w:r>
      <w:r w:rsidR="00197CE3" w:rsidRPr="6A9D794E">
        <w:rPr>
          <w:sz w:val="22"/>
          <w:szCs w:val="22"/>
        </w:rPr>
        <w:t>d</w:t>
      </w:r>
      <w:r w:rsidRPr="6A9D794E">
        <w:rPr>
          <w:sz w:val="22"/>
          <w:szCs w:val="22"/>
        </w:rPr>
        <w:t>kladnému pronikání do společnosti.</w:t>
      </w:r>
    </w:p>
    <w:p w:rsidR="00053B1D" w:rsidRPr="00671D5F" w:rsidRDefault="00053B1D" w:rsidP="00977260">
      <w:pPr>
        <w:spacing w:before="240" w:line="259" w:lineRule="auto"/>
        <w:rPr>
          <w:b/>
          <w:sz w:val="22"/>
        </w:rPr>
      </w:pPr>
      <w:r w:rsidRPr="00671D5F">
        <w:rPr>
          <w:b/>
          <w:sz w:val="22"/>
        </w:rPr>
        <w:t xml:space="preserve">Virtualizace světa </w:t>
      </w:r>
    </w:p>
    <w:p w:rsidR="00053B1D" w:rsidRPr="0005558F" w:rsidRDefault="00053B1D" w:rsidP="6A9D794E">
      <w:pPr>
        <w:spacing w:before="40"/>
        <w:rPr>
          <w:sz w:val="22"/>
          <w:szCs w:val="22"/>
        </w:rPr>
      </w:pPr>
      <w:r w:rsidRPr="6A9D794E">
        <w:rPr>
          <w:sz w:val="22"/>
          <w:szCs w:val="22"/>
        </w:rPr>
        <w:t>Stále více společenských aktivit včetně práce se neděje ve spojení s konkrétním fyzickým místem, ale jsou zprostředkovány vi</w:t>
      </w:r>
      <w:r w:rsidR="00197CE3" w:rsidRPr="6A9D794E">
        <w:rPr>
          <w:sz w:val="22"/>
          <w:szCs w:val="22"/>
        </w:rPr>
        <w:t>r</w:t>
      </w:r>
      <w:r w:rsidRPr="6A9D794E">
        <w:rPr>
          <w:sz w:val="22"/>
          <w:szCs w:val="22"/>
        </w:rPr>
        <w:t xml:space="preserve">tuálně. </w:t>
      </w:r>
    </w:p>
    <w:p w:rsidR="00053B1D" w:rsidRPr="00671D5F" w:rsidRDefault="00053B1D" w:rsidP="00977260">
      <w:pPr>
        <w:spacing w:before="240" w:line="259" w:lineRule="auto"/>
        <w:rPr>
          <w:b/>
          <w:sz w:val="22"/>
        </w:rPr>
      </w:pPr>
      <w:r w:rsidRPr="00671D5F">
        <w:rPr>
          <w:b/>
          <w:sz w:val="22"/>
        </w:rPr>
        <w:t xml:space="preserve">Rostoucí mobilita </w:t>
      </w:r>
    </w:p>
    <w:p w:rsidR="00053B1D" w:rsidRPr="0005558F" w:rsidRDefault="00053B1D" w:rsidP="6A9D794E">
      <w:pPr>
        <w:spacing w:before="40"/>
        <w:rPr>
          <w:sz w:val="22"/>
          <w:szCs w:val="22"/>
        </w:rPr>
      </w:pPr>
      <w:r w:rsidRPr="6A9D794E">
        <w:rPr>
          <w:sz w:val="22"/>
          <w:szCs w:val="22"/>
        </w:rPr>
        <w:t xml:space="preserve">Dochází ke zvýšenému pohybu lidí, zboží, ale s tím také </w:t>
      </w:r>
      <w:r w:rsidR="00D223A9">
        <w:rPr>
          <w:sz w:val="22"/>
          <w:szCs w:val="22"/>
        </w:rPr>
        <w:t xml:space="preserve">k vyšším nárokům na dopravní systémy a </w:t>
      </w:r>
      <w:r w:rsidRPr="6A9D794E">
        <w:rPr>
          <w:sz w:val="22"/>
          <w:szCs w:val="22"/>
        </w:rPr>
        <w:t>rostoucí enviro</w:t>
      </w:r>
      <w:r w:rsidR="00197CE3" w:rsidRPr="6A9D794E">
        <w:rPr>
          <w:sz w:val="22"/>
          <w:szCs w:val="22"/>
        </w:rPr>
        <w:t>n</w:t>
      </w:r>
      <w:r w:rsidRPr="6A9D794E">
        <w:rPr>
          <w:sz w:val="22"/>
          <w:szCs w:val="22"/>
        </w:rPr>
        <w:t>mentální zátěž</w:t>
      </w:r>
      <w:r w:rsidR="00D223A9">
        <w:rPr>
          <w:sz w:val="22"/>
          <w:szCs w:val="22"/>
        </w:rPr>
        <w:t>i</w:t>
      </w:r>
      <w:r w:rsidRPr="6A9D794E">
        <w:rPr>
          <w:sz w:val="22"/>
          <w:szCs w:val="22"/>
        </w:rPr>
        <w:t>.</w:t>
      </w:r>
    </w:p>
    <w:p w:rsidR="00053B1D" w:rsidRPr="00671D5F" w:rsidRDefault="00053B1D" w:rsidP="00977260">
      <w:pPr>
        <w:spacing w:before="240" w:line="259" w:lineRule="auto"/>
        <w:rPr>
          <w:b/>
          <w:sz w:val="22"/>
        </w:rPr>
      </w:pPr>
      <w:r w:rsidRPr="00671D5F">
        <w:rPr>
          <w:b/>
          <w:sz w:val="22"/>
        </w:rPr>
        <w:t>Degradace ekosystémů</w:t>
      </w:r>
    </w:p>
    <w:p w:rsidR="00053B1D" w:rsidRPr="0005558F" w:rsidRDefault="00053B1D" w:rsidP="54923E25">
      <w:pPr>
        <w:spacing w:before="40"/>
        <w:rPr>
          <w:sz w:val="22"/>
          <w:szCs w:val="22"/>
        </w:rPr>
      </w:pPr>
      <w:r w:rsidRPr="54923E25">
        <w:rPr>
          <w:sz w:val="22"/>
          <w:szCs w:val="22"/>
        </w:rPr>
        <w:t xml:space="preserve">Ekosystémy ztrácejí svou rozmanitost, dochází k jejich přetěžování a nevratnému poškozování, </w:t>
      </w:r>
      <w:r w:rsidR="54923E25" w:rsidRPr="54923E25">
        <w:rPr>
          <w:sz w:val="22"/>
          <w:szCs w:val="22"/>
        </w:rPr>
        <w:t>čímž dochází ke snižování rozsahu a kvality poskytování ekosystémových funkcí a služeb</w:t>
      </w:r>
      <w:r w:rsidRPr="54923E25">
        <w:rPr>
          <w:sz w:val="22"/>
          <w:szCs w:val="22"/>
        </w:rPr>
        <w:t>.</w:t>
      </w:r>
    </w:p>
    <w:p w:rsidR="00053B1D" w:rsidRPr="00671D5F" w:rsidRDefault="00053B1D" w:rsidP="00977260">
      <w:pPr>
        <w:spacing w:before="240" w:line="259" w:lineRule="auto"/>
        <w:rPr>
          <w:b/>
          <w:sz w:val="22"/>
        </w:rPr>
      </w:pPr>
      <w:r w:rsidRPr="00671D5F">
        <w:rPr>
          <w:b/>
          <w:sz w:val="22"/>
        </w:rPr>
        <w:t>Změna klimatu a její dopady</w:t>
      </w:r>
    </w:p>
    <w:p w:rsidR="00053B1D" w:rsidRPr="00BD2246" w:rsidRDefault="001E7D37" w:rsidP="00BD2246">
      <w:pPr>
        <w:spacing w:before="40"/>
        <w:rPr>
          <w:sz w:val="22"/>
          <w:szCs w:val="22"/>
        </w:rPr>
      </w:pPr>
      <w:r w:rsidRPr="00BD2246">
        <w:rPr>
          <w:sz w:val="22"/>
          <w:szCs w:val="22"/>
        </w:rPr>
        <w:t>Změna klimatu zásadně ovlivňuje nejen životní prostředí, ale i všechny hospodářské sektory</w:t>
      </w:r>
      <w:r w:rsidR="00C23934">
        <w:rPr>
          <w:sz w:val="22"/>
          <w:szCs w:val="22"/>
        </w:rPr>
        <w:t xml:space="preserve"> i samotné občany </w:t>
      </w:r>
      <w:r w:rsidRPr="00BD2246">
        <w:rPr>
          <w:sz w:val="22"/>
          <w:szCs w:val="22"/>
        </w:rPr>
        <w:t>a tím i kvalitu života celé společnosti</w:t>
      </w:r>
      <w:r w:rsidR="54923E25" w:rsidRPr="001951AF">
        <w:rPr>
          <w:sz w:val="22"/>
          <w:szCs w:val="22"/>
        </w:rPr>
        <w:t>.</w:t>
      </w:r>
    </w:p>
    <w:p w:rsidR="00053B1D" w:rsidRPr="00671D5F" w:rsidRDefault="00053B1D" w:rsidP="00977260">
      <w:pPr>
        <w:spacing w:before="240" w:line="259" w:lineRule="auto"/>
        <w:rPr>
          <w:b/>
          <w:sz w:val="22"/>
        </w:rPr>
      </w:pPr>
      <w:r w:rsidRPr="00671D5F">
        <w:rPr>
          <w:b/>
          <w:sz w:val="22"/>
        </w:rPr>
        <w:t>Rostoucí spotřeba zdrojů</w:t>
      </w:r>
    </w:p>
    <w:p w:rsidR="00053B1D" w:rsidRPr="0005558F" w:rsidRDefault="00053B1D" w:rsidP="0005558F">
      <w:pPr>
        <w:spacing w:before="40"/>
        <w:rPr>
          <w:sz w:val="22"/>
        </w:rPr>
      </w:pPr>
      <w:r w:rsidRPr="0005558F">
        <w:rPr>
          <w:sz w:val="22"/>
        </w:rPr>
        <w:t xml:space="preserve">Rozšiřování technologií a ekonomický růst vede k neustálému tlaku na spotřebu zejména primárních zdrojů. </w:t>
      </w:r>
    </w:p>
    <w:p w:rsidR="00053B1D" w:rsidRPr="00671D5F" w:rsidRDefault="00053B1D" w:rsidP="00977260">
      <w:pPr>
        <w:spacing w:before="240" w:line="259" w:lineRule="auto"/>
        <w:rPr>
          <w:b/>
          <w:sz w:val="22"/>
        </w:rPr>
      </w:pPr>
      <w:r w:rsidRPr="00671D5F">
        <w:rPr>
          <w:b/>
          <w:sz w:val="22"/>
        </w:rPr>
        <w:t>Rostoucí spotřeba energie</w:t>
      </w:r>
    </w:p>
    <w:p w:rsidR="00053B1D" w:rsidRPr="0005558F" w:rsidRDefault="00053B1D" w:rsidP="0005558F">
      <w:pPr>
        <w:spacing w:before="40"/>
        <w:rPr>
          <w:sz w:val="22"/>
        </w:rPr>
      </w:pPr>
      <w:r w:rsidRPr="0005558F">
        <w:rPr>
          <w:sz w:val="22"/>
        </w:rPr>
        <w:t>Energetická náročnost lidské činnosti narůstá v souvislosti s rostoucím bohatstvím a populační expanzí.</w:t>
      </w:r>
    </w:p>
    <w:p w:rsidR="00053B1D" w:rsidRPr="00977260" w:rsidRDefault="00053B1D" w:rsidP="00977260">
      <w:pPr>
        <w:spacing w:before="240" w:line="259" w:lineRule="auto"/>
        <w:rPr>
          <w:b/>
          <w:sz w:val="22"/>
        </w:rPr>
      </w:pPr>
      <w:r w:rsidRPr="00977260">
        <w:rPr>
          <w:b/>
          <w:sz w:val="22"/>
        </w:rPr>
        <w:t xml:space="preserve">Urbanizace </w:t>
      </w:r>
    </w:p>
    <w:p w:rsidR="00053B1D" w:rsidRPr="0005558F" w:rsidRDefault="72D47118" w:rsidP="72D47118">
      <w:pPr>
        <w:spacing w:before="40"/>
        <w:rPr>
          <w:sz w:val="22"/>
          <w:szCs w:val="22"/>
        </w:rPr>
      </w:pPr>
      <w:r w:rsidRPr="72D47118">
        <w:rPr>
          <w:sz w:val="22"/>
          <w:szCs w:val="22"/>
        </w:rPr>
        <w:t xml:space="preserve">Stěhování lidí z venkova do měst a jejich zázemí pokračuje bez ohledu na rostoucí negativa, která s sebou přináší. </w:t>
      </w:r>
    </w:p>
    <w:p w:rsidR="00196D08" w:rsidRPr="00693DB0" w:rsidRDefault="00196D08" w:rsidP="00693DB0">
      <w:pPr>
        <w:spacing w:before="240" w:line="259" w:lineRule="auto"/>
        <w:rPr>
          <w:b/>
          <w:sz w:val="22"/>
        </w:rPr>
      </w:pPr>
      <w:r w:rsidRPr="00693DB0">
        <w:rPr>
          <w:b/>
          <w:sz w:val="22"/>
        </w:rPr>
        <w:t>Kompetence pro budoucnost</w:t>
      </w:r>
    </w:p>
    <w:p w:rsidR="00196D08" w:rsidRDefault="00196D08" w:rsidP="00196D08">
      <w:pPr>
        <w:spacing w:before="40"/>
        <w:rPr>
          <w:sz w:val="22"/>
          <w:szCs w:val="22"/>
        </w:rPr>
      </w:pPr>
      <w:r w:rsidRPr="00196D08">
        <w:rPr>
          <w:sz w:val="22"/>
          <w:szCs w:val="22"/>
        </w:rPr>
        <w:t>Při definici cílů a obsahů vzdělávání musíme reflektovat bouřlivě se měnící společnost a fakt, že nyní vzděláváme lidi, jejichž ekonomický vrchol bude za třicet let, přičemž jeho podobu nedokážeme nyní ani odhadnout</w:t>
      </w:r>
      <w:r>
        <w:rPr>
          <w:sz w:val="22"/>
          <w:szCs w:val="22"/>
        </w:rPr>
        <w:t>.</w:t>
      </w:r>
    </w:p>
    <w:p w:rsidR="001F5278" w:rsidRDefault="001F5278" w:rsidP="72755F4C">
      <w:pPr>
        <w:spacing w:before="40"/>
      </w:pPr>
    </w:p>
    <w:p w:rsidR="00053B1D" w:rsidRPr="00671D5F" w:rsidRDefault="00053B1D" w:rsidP="00053B1D">
      <w:pPr>
        <w:rPr>
          <w:sz w:val="22"/>
        </w:rPr>
      </w:pPr>
      <w:r w:rsidRPr="00671D5F">
        <w:rPr>
          <w:sz w:val="22"/>
        </w:rPr>
        <w:t>Tyto hlavní globální megatrendy byly promítnuty do NKR z pohledu principu udržitelného rozvoje, který má vybalancovat ekonomický, sociální a ekologický rozměr konkurenceschopnosti ČR v rámci evropského a světového měřítka. Tematicky se jedná zejména o vlivy způsobené změnami klimatu, problematiku energetické náročnosti, bezpečnosti a udržitelnosti a o hospodárné využívání snižujících se zásob neobnovitelných strategických zdrojů.</w:t>
      </w:r>
    </w:p>
    <w:p w:rsidR="00053B1D" w:rsidRPr="00671D5F" w:rsidRDefault="00053B1D" w:rsidP="00053B1D">
      <w:pPr>
        <w:rPr>
          <w:sz w:val="22"/>
        </w:rPr>
      </w:pPr>
      <w:r w:rsidRPr="00671D5F">
        <w:rPr>
          <w:sz w:val="22"/>
        </w:rPr>
        <w:br w:type="page"/>
      </w:r>
    </w:p>
    <w:p w:rsidR="00053B1D" w:rsidRDefault="00053B1D" w:rsidP="00254F4C">
      <w:pPr>
        <w:pStyle w:val="Nadpis1"/>
        <w:numPr>
          <w:ilvl w:val="0"/>
          <w:numId w:val="9"/>
        </w:numPr>
        <w:spacing w:before="0" w:after="0" w:line="240" w:lineRule="auto"/>
        <w:jc w:val="left"/>
      </w:pPr>
      <w:bookmarkStart w:id="60" w:name="_Toc13828215"/>
      <w:bookmarkStart w:id="61" w:name="_Toc7774218"/>
      <w:r w:rsidRPr="00F427D2">
        <w:t>EVROPSKÁ ROVINA</w:t>
      </w:r>
      <w:bookmarkEnd w:id="60"/>
      <w:r w:rsidRPr="00F427D2">
        <w:t xml:space="preserve"> </w:t>
      </w:r>
      <w:bookmarkEnd w:id="61"/>
    </w:p>
    <w:p w:rsidR="00053B1D" w:rsidRDefault="00053B1D" w:rsidP="00254F4C">
      <w:pPr>
        <w:pStyle w:val="Nadpis2"/>
        <w:numPr>
          <w:ilvl w:val="1"/>
          <w:numId w:val="9"/>
        </w:numPr>
        <w:spacing w:line="240" w:lineRule="auto"/>
        <w:ind w:left="425" w:hanging="431"/>
        <w:jc w:val="left"/>
      </w:pPr>
      <w:bookmarkStart w:id="62" w:name="_Toc7774219"/>
      <w:bookmarkStart w:id="63" w:name="_Toc13828216"/>
      <w:r>
        <w:t>Víceletý finanční rámec</w:t>
      </w:r>
      <w:bookmarkEnd w:id="62"/>
      <w:bookmarkEnd w:id="63"/>
    </w:p>
    <w:p w:rsidR="00053B1D" w:rsidRPr="00671D5F" w:rsidRDefault="59376B48" w:rsidP="59376B48">
      <w:pPr>
        <w:rPr>
          <w:sz w:val="22"/>
          <w:szCs w:val="22"/>
        </w:rPr>
      </w:pPr>
      <w:r w:rsidRPr="59376B48">
        <w:rPr>
          <w:sz w:val="22"/>
          <w:szCs w:val="22"/>
        </w:rPr>
        <w:t>Dne 2. května 2018 zveřejnila EK návrh Víceletého finančního rámce pro období 2021–2027. Rozpočet je koncipovaný tak, aby řešil hlavní priority a politiky, které poskytují nejvyšší evropskou přidanou hodnotu. Celkově Komise navrhuje na období od roku 2021 do roku 2027 dlouhodobý rozpočet ve výši 1 279 miliard EUR v prostředcích na závazky (vyjádřeno v</w:t>
      </w:r>
      <w:r w:rsidR="00D223A9">
        <w:rPr>
          <w:sz w:val="22"/>
          <w:szCs w:val="22"/>
        </w:rPr>
        <w:t> </w:t>
      </w:r>
      <w:r w:rsidRPr="59376B48">
        <w:rPr>
          <w:sz w:val="22"/>
          <w:szCs w:val="22"/>
        </w:rPr>
        <w:t>běžných cenách), což odpovídá 1,11 % hrubého národního důchodu (HND) EU-27. S</w:t>
      </w:r>
      <w:r w:rsidR="00D223A9">
        <w:rPr>
          <w:sz w:val="22"/>
          <w:szCs w:val="22"/>
        </w:rPr>
        <w:t> </w:t>
      </w:r>
      <w:r w:rsidRPr="59376B48">
        <w:rPr>
          <w:sz w:val="22"/>
          <w:szCs w:val="22"/>
        </w:rPr>
        <w:t xml:space="preserve">přihlédnutím k inflaci výše rozpočtu mírně vrostla ve srovnání se stávajícím rozpočtem na období 2014–2020 (včetně Evropského rozvojového fondu). </w:t>
      </w:r>
    </w:p>
    <w:p w:rsidR="00053B1D" w:rsidRPr="00671D5F" w:rsidRDefault="00053B1D" w:rsidP="00053B1D">
      <w:pPr>
        <w:rPr>
          <w:sz w:val="22"/>
        </w:rPr>
      </w:pPr>
      <w:r w:rsidRPr="00671D5F">
        <w:rPr>
          <w:sz w:val="22"/>
        </w:rPr>
        <w:t xml:space="preserve">Aby mohly být financovány nové a naléhavé priority (výzkum a inovace, mladí lidé, digitální ekonomika, správa hranic, bezpečnost a obrana), je </w:t>
      </w:r>
      <w:r w:rsidR="00B71D86">
        <w:rPr>
          <w:sz w:val="22"/>
        </w:rPr>
        <w:t xml:space="preserve">podle EK </w:t>
      </w:r>
      <w:r w:rsidRPr="00671D5F">
        <w:rPr>
          <w:sz w:val="22"/>
        </w:rPr>
        <w:t>třeba zvýšit stávající úrovně financování. Komise také navrhuje vytvořit unijní rezervu. Tato rezerva je novým účinným nástrojem ke zvládání nepředvídaných událostí a k reakci na nouzové situace například v</w:t>
      </w:r>
      <w:r w:rsidR="00D223A9">
        <w:rPr>
          <w:sz w:val="22"/>
        </w:rPr>
        <w:t> </w:t>
      </w:r>
      <w:r w:rsidRPr="00671D5F">
        <w:rPr>
          <w:sz w:val="22"/>
        </w:rPr>
        <w:t>oblastech bezpečnosti a migrace.</w:t>
      </w:r>
    </w:p>
    <w:p w:rsidR="003C45CE" w:rsidRDefault="59376B48" w:rsidP="00C02894">
      <w:pPr>
        <w:spacing w:after="120"/>
        <w:rPr>
          <w:sz w:val="22"/>
          <w:szCs w:val="22"/>
        </w:rPr>
      </w:pPr>
      <w:r w:rsidRPr="59376B48">
        <w:rPr>
          <w:sz w:val="22"/>
          <w:szCs w:val="22"/>
        </w:rPr>
        <w:t xml:space="preserve">Komise navrhla pro kohezní politiku obdobný rozpočet jako v současném období (bez Velké Británie však dochází k mírnému nárůstu o 3 %). Pro Evropský fond pro regionální rozvoj (ERDF) Komise ve svém prvním návrhu alokovala 226 mld. </w:t>
      </w:r>
      <w:r w:rsidR="003C45CE">
        <w:rPr>
          <w:sz w:val="22"/>
          <w:szCs w:val="22"/>
        </w:rPr>
        <w:t>EUR</w:t>
      </w:r>
      <w:r w:rsidRPr="59376B48">
        <w:rPr>
          <w:sz w:val="22"/>
          <w:szCs w:val="22"/>
        </w:rPr>
        <w:t xml:space="preserve">, pro fond soudržnosti (CF) cca 47 mld. </w:t>
      </w:r>
      <w:r w:rsidR="003C45CE">
        <w:rPr>
          <w:sz w:val="22"/>
          <w:szCs w:val="22"/>
        </w:rPr>
        <w:t>EUR</w:t>
      </w:r>
      <w:r w:rsidR="003C45CE" w:rsidRPr="59376B48">
        <w:rPr>
          <w:sz w:val="22"/>
          <w:szCs w:val="22"/>
        </w:rPr>
        <w:t xml:space="preserve"> </w:t>
      </w:r>
      <w:r w:rsidRPr="59376B48">
        <w:rPr>
          <w:sz w:val="22"/>
          <w:szCs w:val="22"/>
        </w:rPr>
        <w:t xml:space="preserve">a pro Evropský sociální fond (ESF) cca 100 mld. </w:t>
      </w:r>
      <w:r w:rsidR="003C45CE">
        <w:rPr>
          <w:sz w:val="22"/>
          <w:szCs w:val="22"/>
        </w:rPr>
        <w:t>EUR</w:t>
      </w:r>
      <w:r w:rsidRPr="59376B48">
        <w:rPr>
          <w:sz w:val="22"/>
          <w:szCs w:val="22"/>
        </w:rPr>
        <w:t>. Rámcově k tomuto EK zveřejnila také informace, na které oblasti prostředky půjdou a jak budou navazovat na ty p</w:t>
      </w:r>
      <w:r w:rsidR="00657983">
        <w:rPr>
          <w:sz w:val="22"/>
          <w:szCs w:val="22"/>
        </w:rPr>
        <w:t>římo spravované EK</w:t>
      </w:r>
      <w:r w:rsidRPr="59376B48">
        <w:rPr>
          <w:sz w:val="22"/>
          <w:szCs w:val="22"/>
        </w:rPr>
        <w:t>.</w:t>
      </w:r>
    </w:p>
    <w:p w:rsidR="00053B1D" w:rsidRPr="00590FD1" w:rsidRDefault="00B65759" w:rsidP="00590FD1">
      <w:pPr>
        <w:rPr>
          <w:i/>
          <w:sz w:val="22"/>
          <w:szCs w:val="22"/>
        </w:rPr>
      </w:pPr>
      <w:r>
        <w:rPr>
          <w:i/>
          <w:sz w:val="22"/>
          <w:szCs w:val="22"/>
        </w:rPr>
        <w:t xml:space="preserve">Tabulka: </w:t>
      </w:r>
      <w:r w:rsidR="003C45CE">
        <w:rPr>
          <w:i/>
          <w:sz w:val="22"/>
          <w:szCs w:val="22"/>
        </w:rPr>
        <w:t>Přehled n</w:t>
      </w:r>
      <w:r w:rsidR="003C45CE" w:rsidRPr="00590FD1">
        <w:rPr>
          <w:i/>
          <w:sz w:val="22"/>
          <w:szCs w:val="22"/>
        </w:rPr>
        <w:t>ávrh</w:t>
      </w:r>
      <w:r w:rsidR="003C45CE">
        <w:rPr>
          <w:i/>
          <w:sz w:val="22"/>
          <w:szCs w:val="22"/>
        </w:rPr>
        <w:t>u</w:t>
      </w:r>
      <w:r w:rsidR="003C45CE" w:rsidRPr="00590FD1">
        <w:rPr>
          <w:i/>
          <w:sz w:val="22"/>
          <w:szCs w:val="22"/>
        </w:rPr>
        <w:t xml:space="preserve"> VFR pro ERDF, FS a ESF+ - srovnání budoucího a současného </w:t>
      </w:r>
      <w:r w:rsidR="00693DB0">
        <w:rPr>
          <w:i/>
          <w:sz w:val="22"/>
          <w:szCs w:val="22"/>
        </w:rPr>
        <w:br/>
      </w:r>
      <w:r w:rsidR="003C45CE" w:rsidRPr="00590FD1">
        <w:rPr>
          <w:i/>
          <w:sz w:val="22"/>
          <w:szCs w:val="22"/>
        </w:rPr>
        <w:t>a minulého období</w:t>
      </w:r>
      <w:r w:rsidR="59376B48" w:rsidRPr="00590FD1">
        <w:rPr>
          <w:i/>
          <w:sz w:val="22"/>
          <w:szCs w:val="22"/>
        </w:rPr>
        <w:t xml:space="preserve"> </w:t>
      </w:r>
    </w:p>
    <w:tbl>
      <w:tblPr>
        <w:tblStyle w:val="Svtltabulkasmkou11"/>
        <w:tblW w:w="0" w:type="auto"/>
        <w:jc w:val="center"/>
        <w:tblLook w:val="05A0" w:firstRow="1" w:lastRow="0" w:firstColumn="1" w:lastColumn="1" w:noHBand="0" w:noVBand="1"/>
      </w:tblPr>
      <w:tblGrid>
        <w:gridCol w:w="1294"/>
        <w:gridCol w:w="1294"/>
        <w:gridCol w:w="1294"/>
        <w:gridCol w:w="1295"/>
        <w:gridCol w:w="1295"/>
        <w:gridCol w:w="1295"/>
        <w:gridCol w:w="1295"/>
      </w:tblGrid>
      <w:tr w:rsidR="00FE5E1E" w:rsidTr="00BD22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4" w:type="dxa"/>
            <w:vMerge w:val="restart"/>
            <w:shd w:val="clear" w:color="auto" w:fill="365F91" w:themeFill="accent1" w:themeFillShade="BF"/>
          </w:tcPr>
          <w:p w:rsidR="00FE5E1E" w:rsidRPr="00F97C7E" w:rsidRDefault="00FE5E1E" w:rsidP="00A9356E">
            <w:pPr>
              <w:spacing w:before="40" w:after="40" w:line="264" w:lineRule="auto"/>
              <w:rPr>
                <w:color w:val="FFFFFF" w:themeColor="background1"/>
              </w:rPr>
            </w:pPr>
          </w:p>
        </w:tc>
        <w:tc>
          <w:tcPr>
            <w:tcW w:w="2588" w:type="dxa"/>
            <w:gridSpan w:val="2"/>
            <w:shd w:val="clear" w:color="auto" w:fill="365F91" w:themeFill="accent1" w:themeFillShade="BF"/>
            <w:vAlign w:val="center"/>
          </w:tcPr>
          <w:p w:rsidR="00FE5E1E" w:rsidRPr="00F97C7E" w:rsidRDefault="00777C83" w:rsidP="00A9356E">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w:t>
            </w:r>
            <w:r w:rsidR="00FE5E1E" w:rsidRPr="00F97C7E">
              <w:rPr>
                <w:color w:val="FFFFFF" w:themeColor="background1"/>
              </w:rPr>
              <w:t>07-</w:t>
            </w:r>
            <w:r>
              <w:rPr>
                <w:color w:val="FFFFFF" w:themeColor="background1"/>
              </w:rPr>
              <w:t>20</w:t>
            </w:r>
            <w:r w:rsidR="00FE5E1E" w:rsidRPr="00F97C7E">
              <w:rPr>
                <w:color w:val="FFFFFF" w:themeColor="background1"/>
              </w:rPr>
              <w:t>13 (v mld. eur)</w:t>
            </w:r>
          </w:p>
        </w:tc>
        <w:tc>
          <w:tcPr>
            <w:tcW w:w="2590" w:type="dxa"/>
            <w:gridSpan w:val="2"/>
            <w:shd w:val="clear" w:color="auto" w:fill="365F91" w:themeFill="accent1" w:themeFillShade="BF"/>
            <w:vAlign w:val="center"/>
          </w:tcPr>
          <w:p w:rsidR="00FE5E1E" w:rsidRPr="00F97C7E" w:rsidRDefault="00777C83" w:rsidP="00A9356E">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20</w:t>
            </w:r>
            <w:r w:rsidR="00FE5E1E" w:rsidRPr="00F97C7E">
              <w:rPr>
                <w:color w:val="FFFFFF" w:themeColor="background1"/>
              </w:rPr>
              <w:t>14-</w:t>
            </w:r>
            <w:r>
              <w:rPr>
                <w:color w:val="FFFFFF" w:themeColor="background1"/>
              </w:rPr>
              <w:t>20</w:t>
            </w:r>
            <w:r w:rsidR="00FE5E1E" w:rsidRPr="00F97C7E">
              <w:rPr>
                <w:color w:val="FFFFFF" w:themeColor="background1"/>
              </w:rPr>
              <w:t>20 (v mld. eur)</w:t>
            </w:r>
          </w:p>
        </w:tc>
        <w:tc>
          <w:tcPr>
            <w:cnfStyle w:val="000100000000" w:firstRow="0" w:lastRow="0" w:firstColumn="0" w:lastColumn="1" w:oddVBand="0" w:evenVBand="0" w:oddHBand="0" w:evenHBand="0" w:firstRowFirstColumn="0" w:firstRowLastColumn="0" w:lastRowFirstColumn="0" w:lastRowLastColumn="0"/>
            <w:tcW w:w="2590" w:type="dxa"/>
            <w:gridSpan w:val="2"/>
            <w:shd w:val="clear" w:color="auto" w:fill="365F91" w:themeFill="accent1" w:themeFillShade="BF"/>
            <w:vAlign w:val="center"/>
          </w:tcPr>
          <w:p w:rsidR="00FE5E1E" w:rsidRPr="00F97C7E" w:rsidRDefault="00FE5E1E" w:rsidP="00A9356E">
            <w:pPr>
              <w:spacing w:before="40" w:after="40" w:line="264" w:lineRule="auto"/>
              <w:jc w:val="center"/>
              <w:rPr>
                <w:color w:val="FFFFFF" w:themeColor="background1"/>
              </w:rPr>
            </w:pPr>
            <w:r w:rsidRPr="00F97C7E">
              <w:rPr>
                <w:color w:val="FFFFFF" w:themeColor="background1"/>
              </w:rPr>
              <w:t>2021+ (v mld. eur)</w:t>
            </w:r>
          </w:p>
        </w:tc>
      </w:tr>
      <w:tr w:rsidR="00FE5E1E" w:rsidTr="00BD2246">
        <w:trPr>
          <w:jc w:val="center"/>
        </w:trPr>
        <w:tc>
          <w:tcPr>
            <w:cnfStyle w:val="001000000000" w:firstRow="0" w:lastRow="0" w:firstColumn="1" w:lastColumn="0" w:oddVBand="0" w:evenVBand="0" w:oddHBand="0" w:evenHBand="0" w:firstRowFirstColumn="0" w:firstRowLastColumn="0" w:lastRowFirstColumn="0" w:lastRowLastColumn="0"/>
            <w:tcW w:w="1294" w:type="dxa"/>
            <w:vMerge/>
            <w:shd w:val="clear" w:color="auto" w:fill="365F91" w:themeFill="accent1" w:themeFillShade="BF"/>
          </w:tcPr>
          <w:p w:rsidR="00FE5E1E" w:rsidRPr="00F97C7E" w:rsidRDefault="00FE5E1E" w:rsidP="00A9356E">
            <w:pPr>
              <w:spacing w:before="40" w:after="40" w:line="264" w:lineRule="auto"/>
              <w:rPr>
                <w:color w:val="FFFFFF" w:themeColor="background1"/>
              </w:rPr>
            </w:pPr>
          </w:p>
        </w:tc>
        <w:tc>
          <w:tcPr>
            <w:tcW w:w="1294" w:type="dxa"/>
            <w:shd w:val="clear" w:color="auto" w:fill="95B3D7" w:themeFill="accent1" w:themeFillTint="99"/>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EU</w:t>
            </w:r>
          </w:p>
        </w:tc>
        <w:tc>
          <w:tcPr>
            <w:tcW w:w="1294" w:type="dxa"/>
            <w:shd w:val="clear" w:color="auto" w:fill="95B3D7" w:themeFill="accent1" w:themeFillTint="99"/>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ČR</w:t>
            </w:r>
          </w:p>
        </w:tc>
        <w:tc>
          <w:tcPr>
            <w:tcW w:w="1295" w:type="dxa"/>
            <w:shd w:val="clear" w:color="auto" w:fill="95B3D7" w:themeFill="accent1" w:themeFillTint="99"/>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EU</w:t>
            </w:r>
          </w:p>
        </w:tc>
        <w:tc>
          <w:tcPr>
            <w:tcW w:w="1295" w:type="dxa"/>
            <w:shd w:val="clear" w:color="auto" w:fill="95B3D7" w:themeFill="accent1" w:themeFillTint="99"/>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ČR</w:t>
            </w:r>
          </w:p>
        </w:tc>
        <w:tc>
          <w:tcPr>
            <w:tcW w:w="1295" w:type="dxa"/>
            <w:shd w:val="clear" w:color="auto" w:fill="95B3D7" w:themeFill="accent1" w:themeFillTint="99"/>
            <w:vAlign w:val="center"/>
          </w:tcPr>
          <w:p w:rsidR="00FE5E1E" w:rsidRPr="008062A5"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rPr>
              <w:t>EU</w:t>
            </w:r>
          </w:p>
        </w:tc>
        <w:tc>
          <w:tcPr>
            <w:cnfStyle w:val="000100000000" w:firstRow="0" w:lastRow="0" w:firstColumn="0" w:lastColumn="1" w:oddVBand="0" w:evenVBand="0" w:oddHBand="0" w:evenHBand="0" w:firstRowFirstColumn="0" w:firstRowLastColumn="0" w:lastRowFirstColumn="0" w:lastRowLastColumn="0"/>
            <w:tcW w:w="1295" w:type="dxa"/>
            <w:shd w:val="clear" w:color="auto" w:fill="95B3D7" w:themeFill="accent1" w:themeFillTint="99"/>
            <w:vAlign w:val="center"/>
          </w:tcPr>
          <w:p w:rsidR="00FE5E1E" w:rsidRDefault="00FE5E1E" w:rsidP="00A9356E">
            <w:pPr>
              <w:spacing w:before="40" w:after="40" w:line="264" w:lineRule="auto"/>
              <w:jc w:val="center"/>
            </w:pPr>
            <w:r>
              <w:t>ČR</w:t>
            </w:r>
          </w:p>
        </w:tc>
      </w:tr>
      <w:tr w:rsidR="00FE5E1E" w:rsidTr="00BD2246">
        <w:trPr>
          <w:trHeight w:val="547"/>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365F91" w:themeFill="accent1" w:themeFillShade="BF"/>
          </w:tcPr>
          <w:p w:rsidR="00FE5E1E" w:rsidRPr="00F97C7E" w:rsidRDefault="00FE5E1E" w:rsidP="00A9356E">
            <w:pPr>
              <w:spacing w:before="40" w:after="40" w:line="264" w:lineRule="auto"/>
              <w:rPr>
                <w:color w:val="FFFFFF" w:themeColor="background1"/>
              </w:rPr>
            </w:pPr>
            <w:r w:rsidRPr="00F97C7E">
              <w:rPr>
                <w:color w:val="FFFFFF" w:themeColor="background1"/>
              </w:rPr>
              <w:t>ERDF</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201</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13,66</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212</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11,94</w:t>
            </w:r>
          </w:p>
        </w:tc>
        <w:tc>
          <w:tcPr>
            <w:tcW w:w="1295" w:type="dxa"/>
            <w:shd w:val="clear" w:color="auto" w:fill="FFFFFF" w:themeFill="background1"/>
            <w:vAlign w:val="center"/>
          </w:tcPr>
          <w:p w:rsidR="00FE5E1E" w:rsidRPr="008062A5"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rPr>
              <w:t>226</w:t>
            </w:r>
          </w:p>
        </w:tc>
        <w:tc>
          <w:tcPr>
            <w:cnfStyle w:val="000100000000" w:firstRow="0" w:lastRow="0" w:firstColumn="0" w:lastColumn="1" w:oddVBand="0" w:evenVBand="0" w:oddHBand="0" w:evenHBand="0" w:firstRowFirstColumn="0" w:firstRowLastColumn="0" w:lastRowFirstColumn="0" w:lastRowLastColumn="0"/>
            <w:tcW w:w="1295" w:type="dxa"/>
            <w:shd w:val="clear" w:color="auto" w:fill="FFFFFF" w:themeFill="background1"/>
            <w:vAlign w:val="center"/>
          </w:tcPr>
          <w:p w:rsidR="00FE5E1E" w:rsidRPr="00F97C7E" w:rsidRDefault="009C027B" w:rsidP="00A9356E">
            <w:pPr>
              <w:spacing w:before="40" w:after="40" w:line="264" w:lineRule="auto"/>
              <w:jc w:val="center"/>
              <w:rPr>
                <w:color w:val="FF0000"/>
              </w:rPr>
            </w:pPr>
            <w:r>
              <w:rPr>
                <w:color w:val="FF0000"/>
              </w:rPr>
              <w:t>10,52</w:t>
            </w:r>
          </w:p>
        </w:tc>
      </w:tr>
      <w:tr w:rsidR="00FE5E1E" w:rsidTr="00BD2246">
        <w:trPr>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365F91" w:themeFill="accent1" w:themeFillShade="BF"/>
          </w:tcPr>
          <w:p w:rsidR="00FE5E1E" w:rsidRPr="00F97C7E" w:rsidRDefault="00FE5E1E" w:rsidP="00A9356E">
            <w:pPr>
              <w:spacing w:before="40" w:after="40" w:line="264" w:lineRule="auto"/>
              <w:rPr>
                <w:color w:val="FFFFFF" w:themeColor="background1"/>
              </w:rPr>
            </w:pPr>
            <w:r w:rsidRPr="00F97C7E">
              <w:rPr>
                <w:color w:val="FFFFFF" w:themeColor="background1"/>
              </w:rPr>
              <w:t>FS</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70</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8,82</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 xml:space="preserve">75,4 </w:t>
            </w:r>
          </w:p>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rsidRPr="008062A5">
              <w:rPr>
                <w:sz w:val="18"/>
                <w:szCs w:val="18"/>
              </w:rPr>
              <w:t>(vč. převodu do CEF)</w:t>
            </w:r>
          </w:p>
        </w:tc>
        <w:tc>
          <w:tcPr>
            <w:tcW w:w="1295" w:type="dxa"/>
            <w:shd w:val="clear" w:color="auto" w:fill="FFFFFF" w:themeFill="background1"/>
            <w:vAlign w:val="center"/>
          </w:tcPr>
          <w:p w:rsidR="00353647" w:rsidRDefault="00353647"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7</w:t>
            </w:r>
            <w:r w:rsidR="00FE5E1E">
              <w:t>,</w:t>
            </w:r>
            <w:r>
              <w:t>23</w:t>
            </w:r>
          </w:p>
          <w:p w:rsidR="00FE5E1E" w:rsidRDefault="00353647"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(vč. převodu do CEF)</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rPr>
              <w:t xml:space="preserve">47 </w:t>
            </w:r>
          </w:p>
          <w:p w:rsidR="00FE5E1E" w:rsidRPr="008062A5"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sz w:val="18"/>
                <w:szCs w:val="18"/>
              </w:rPr>
              <w:t>(vč. převodu do CEF)</w:t>
            </w:r>
          </w:p>
        </w:tc>
        <w:tc>
          <w:tcPr>
            <w:cnfStyle w:val="000100000000" w:firstRow="0" w:lastRow="0" w:firstColumn="0" w:lastColumn="1" w:oddVBand="0" w:evenVBand="0" w:oddHBand="0" w:evenHBand="0" w:firstRowFirstColumn="0" w:firstRowLastColumn="0" w:lastRowFirstColumn="0" w:lastRowLastColumn="0"/>
            <w:tcW w:w="1295" w:type="dxa"/>
            <w:shd w:val="clear" w:color="auto" w:fill="FFFFFF" w:themeFill="background1"/>
            <w:vAlign w:val="center"/>
          </w:tcPr>
          <w:p w:rsidR="00FE5E1E" w:rsidRDefault="009C027B" w:rsidP="00A9356E">
            <w:pPr>
              <w:spacing w:before="40" w:after="40" w:line="264" w:lineRule="auto"/>
              <w:jc w:val="center"/>
              <w:rPr>
                <w:color w:val="FF0000"/>
              </w:rPr>
            </w:pPr>
            <w:r>
              <w:rPr>
                <w:color w:val="FF0000"/>
              </w:rPr>
              <w:t>6,44</w:t>
            </w:r>
          </w:p>
          <w:p w:rsidR="00FE5E1E" w:rsidRPr="00F97C7E" w:rsidRDefault="00353647" w:rsidP="00A9356E">
            <w:pPr>
              <w:spacing w:before="40" w:after="40" w:line="264" w:lineRule="auto"/>
              <w:jc w:val="center"/>
              <w:rPr>
                <w:color w:val="FF0000"/>
              </w:rPr>
            </w:pPr>
            <w:r>
              <w:rPr>
                <w:color w:val="FF0000"/>
              </w:rPr>
              <w:t>(vč. převodu do CEF)</w:t>
            </w:r>
          </w:p>
        </w:tc>
      </w:tr>
      <w:tr w:rsidR="00FE5E1E" w:rsidTr="00BD2246">
        <w:trPr>
          <w:trHeight w:val="593"/>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365F91" w:themeFill="accent1" w:themeFillShade="BF"/>
          </w:tcPr>
          <w:p w:rsidR="00FE5E1E" w:rsidRPr="00F97C7E" w:rsidRDefault="00FE5E1E" w:rsidP="00A9356E">
            <w:pPr>
              <w:spacing w:before="40" w:after="40" w:line="264" w:lineRule="auto"/>
              <w:rPr>
                <w:color w:val="FFFFFF" w:themeColor="background1"/>
              </w:rPr>
            </w:pPr>
            <w:r w:rsidRPr="00F97C7E">
              <w:rPr>
                <w:color w:val="FFFFFF" w:themeColor="background1"/>
              </w:rPr>
              <w:t>ESF</w:t>
            </w:r>
            <w:r w:rsidR="008978CB">
              <w:rPr>
                <w:color w:val="FFFFFF" w:themeColor="background1"/>
              </w:rPr>
              <w:t>+</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76</w:t>
            </w:r>
          </w:p>
        </w:tc>
        <w:tc>
          <w:tcPr>
            <w:tcW w:w="1294"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3,77</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84</w:t>
            </w:r>
          </w:p>
        </w:tc>
        <w:tc>
          <w:tcPr>
            <w:tcW w:w="1295" w:type="dxa"/>
            <w:shd w:val="clear" w:color="auto" w:fill="FFFFFF" w:themeFill="background1"/>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3,43</w:t>
            </w:r>
          </w:p>
        </w:tc>
        <w:tc>
          <w:tcPr>
            <w:tcW w:w="1295" w:type="dxa"/>
            <w:shd w:val="clear" w:color="auto" w:fill="FFFFFF" w:themeFill="background1"/>
            <w:vAlign w:val="center"/>
          </w:tcPr>
          <w:p w:rsidR="00FE5E1E" w:rsidRPr="008062A5"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rPr>
              <w:t>100</w:t>
            </w:r>
          </w:p>
        </w:tc>
        <w:tc>
          <w:tcPr>
            <w:cnfStyle w:val="000100000000" w:firstRow="0" w:lastRow="0" w:firstColumn="0" w:lastColumn="1" w:oddVBand="0" w:evenVBand="0" w:oddHBand="0" w:evenHBand="0" w:firstRowFirstColumn="0" w:firstRowLastColumn="0" w:lastRowFirstColumn="0" w:lastRowLastColumn="0"/>
            <w:tcW w:w="1295" w:type="dxa"/>
            <w:shd w:val="clear" w:color="auto" w:fill="FFFFFF" w:themeFill="background1"/>
            <w:vAlign w:val="center"/>
          </w:tcPr>
          <w:p w:rsidR="00FE5E1E" w:rsidRPr="00F97C7E" w:rsidRDefault="009C027B" w:rsidP="00A9356E">
            <w:pPr>
              <w:spacing w:before="40" w:after="40" w:line="264" w:lineRule="auto"/>
              <w:jc w:val="center"/>
              <w:rPr>
                <w:color w:val="FF0000"/>
              </w:rPr>
            </w:pPr>
            <w:r>
              <w:rPr>
                <w:color w:val="FF0000"/>
              </w:rPr>
              <w:t>2,7</w:t>
            </w:r>
            <w:r w:rsidR="00AA5F7C">
              <w:rPr>
                <w:color w:val="FF0000"/>
              </w:rPr>
              <w:t>4</w:t>
            </w:r>
          </w:p>
        </w:tc>
      </w:tr>
      <w:tr w:rsidR="00FE5E1E" w:rsidTr="00BD2246">
        <w:trPr>
          <w:jc w:val="center"/>
        </w:trPr>
        <w:tc>
          <w:tcPr>
            <w:cnfStyle w:val="001000000000" w:firstRow="0" w:lastRow="0" w:firstColumn="1" w:lastColumn="0" w:oddVBand="0" w:evenVBand="0" w:oddHBand="0" w:evenHBand="0" w:firstRowFirstColumn="0" w:firstRowLastColumn="0" w:lastRowFirstColumn="0" w:lastRowLastColumn="0"/>
            <w:tcW w:w="1294" w:type="dxa"/>
            <w:shd w:val="clear" w:color="auto" w:fill="365F91" w:themeFill="accent1" w:themeFillShade="BF"/>
            <w:vAlign w:val="center"/>
          </w:tcPr>
          <w:p w:rsidR="00FE5E1E" w:rsidRPr="009C027B" w:rsidRDefault="00FE5E1E" w:rsidP="00A9356E">
            <w:pPr>
              <w:spacing w:before="40" w:after="40" w:line="264" w:lineRule="auto"/>
              <w:rPr>
                <w:color w:val="FFFFFF" w:themeColor="background1"/>
              </w:rPr>
            </w:pPr>
            <w:r w:rsidRPr="009C027B">
              <w:rPr>
                <w:color w:val="FFFFFF" w:themeColor="background1"/>
              </w:rPr>
              <w:t>Celkem</w:t>
            </w:r>
          </w:p>
        </w:tc>
        <w:tc>
          <w:tcPr>
            <w:tcW w:w="1294" w:type="dxa"/>
            <w:shd w:val="clear" w:color="auto" w:fill="E5B8B7" w:themeFill="accent2" w:themeFillTint="66"/>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347</w:t>
            </w:r>
          </w:p>
        </w:tc>
        <w:tc>
          <w:tcPr>
            <w:tcW w:w="1294" w:type="dxa"/>
            <w:shd w:val="clear" w:color="auto" w:fill="E5B8B7" w:themeFill="accent2" w:themeFillTint="66"/>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26,12</w:t>
            </w:r>
          </w:p>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(7,5 %)</w:t>
            </w:r>
          </w:p>
        </w:tc>
        <w:tc>
          <w:tcPr>
            <w:tcW w:w="1295" w:type="dxa"/>
            <w:shd w:val="clear" w:color="auto" w:fill="E5B8B7" w:themeFill="accent2" w:themeFillTint="66"/>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371</w:t>
            </w:r>
          </w:p>
        </w:tc>
        <w:tc>
          <w:tcPr>
            <w:tcW w:w="1295" w:type="dxa"/>
            <w:shd w:val="clear" w:color="auto" w:fill="E5B8B7" w:themeFill="accent2" w:themeFillTint="66"/>
            <w:vAlign w:val="center"/>
          </w:tcPr>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2</w:t>
            </w:r>
            <w:r w:rsidR="00353647">
              <w:t>2</w:t>
            </w:r>
            <w:r>
              <w:t>,</w:t>
            </w:r>
            <w:r w:rsidR="00353647">
              <w:t>60</w:t>
            </w:r>
          </w:p>
          <w:p w:rsidR="00FE5E1E"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pPr>
            <w:r>
              <w:t>(</w:t>
            </w:r>
            <w:r w:rsidR="00353647">
              <w:t>6</w:t>
            </w:r>
            <w:r>
              <w:t>,</w:t>
            </w:r>
            <w:r w:rsidR="00353647">
              <w:t>1</w:t>
            </w:r>
            <w:r>
              <w:t xml:space="preserve"> %)</w:t>
            </w:r>
          </w:p>
        </w:tc>
        <w:tc>
          <w:tcPr>
            <w:tcW w:w="1295" w:type="dxa"/>
            <w:shd w:val="clear" w:color="auto" w:fill="E5B8B7" w:themeFill="accent2" w:themeFillTint="66"/>
            <w:vAlign w:val="center"/>
          </w:tcPr>
          <w:p w:rsidR="00FE5E1E" w:rsidRPr="008062A5" w:rsidRDefault="00FE5E1E" w:rsidP="00A9356E">
            <w:pPr>
              <w:spacing w:before="40" w:after="40" w:line="264" w:lineRule="auto"/>
              <w:jc w:val="center"/>
              <w:cnfStyle w:val="000000000000" w:firstRow="0" w:lastRow="0" w:firstColumn="0" w:lastColumn="0" w:oddVBand="0" w:evenVBand="0" w:oddHBand="0" w:evenHBand="0" w:firstRowFirstColumn="0" w:firstRowLastColumn="0" w:lastRowFirstColumn="0" w:lastRowLastColumn="0"/>
              <w:rPr>
                <w:b/>
              </w:rPr>
            </w:pPr>
            <w:r w:rsidRPr="008062A5">
              <w:rPr>
                <w:b/>
              </w:rPr>
              <w:t>373</w:t>
            </w:r>
          </w:p>
        </w:tc>
        <w:tc>
          <w:tcPr>
            <w:cnfStyle w:val="000100000000" w:firstRow="0" w:lastRow="0" w:firstColumn="0" w:lastColumn="1" w:oddVBand="0" w:evenVBand="0" w:oddHBand="0" w:evenHBand="0" w:firstRowFirstColumn="0" w:firstRowLastColumn="0" w:lastRowFirstColumn="0" w:lastRowLastColumn="0"/>
            <w:tcW w:w="1295" w:type="dxa"/>
            <w:shd w:val="clear" w:color="auto" w:fill="E5B8B7" w:themeFill="accent2" w:themeFillTint="66"/>
            <w:vAlign w:val="center"/>
          </w:tcPr>
          <w:p w:rsidR="00FE5E1E" w:rsidRDefault="00FE5E1E" w:rsidP="00A9356E">
            <w:pPr>
              <w:spacing w:before="40" w:after="40" w:line="264" w:lineRule="auto"/>
              <w:jc w:val="center"/>
            </w:pPr>
            <w:r>
              <w:t>cca 20,</w:t>
            </w:r>
            <w:r w:rsidR="00AA5F7C">
              <w:t>0</w:t>
            </w:r>
            <w:r w:rsidR="00E16C2B">
              <w:t>1</w:t>
            </w:r>
            <w:r w:rsidR="009C027B">
              <w:rPr>
                <w:rStyle w:val="Znakapoznpodarou"/>
              </w:rPr>
              <w:footnoteReference w:id="7"/>
            </w:r>
          </w:p>
        </w:tc>
      </w:tr>
    </w:tbl>
    <w:p w:rsidR="001D0193" w:rsidRDefault="001D0193" w:rsidP="00590FD1">
      <w:pPr>
        <w:spacing w:before="0" w:line="269" w:lineRule="auto"/>
        <w:rPr>
          <w:i/>
          <w:sz w:val="18"/>
          <w:szCs w:val="22"/>
        </w:rPr>
      </w:pPr>
      <w:r w:rsidRPr="001D0193">
        <w:rPr>
          <w:i/>
          <w:sz w:val="18"/>
          <w:szCs w:val="22"/>
        </w:rPr>
        <w:t xml:space="preserve">Pozn.: </w:t>
      </w:r>
      <w:r w:rsidR="000845BD">
        <w:rPr>
          <w:i/>
          <w:sz w:val="18"/>
          <w:szCs w:val="22"/>
        </w:rPr>
        <w:t>Všechny výše uvedené částky jsou v běžných cenách. N</w:t>
      </w:r>
      <w:r w:rsidRPr="001D0193">
        <w:rPr>
          <w:i/>
          <w:sz w:val="18"/>
          <w:szCs w:val="22"/>
        </w:rPr>
        <w:t>ávrh alokací pro období po roce 2020 se může měnit v závislosti na vyjednávání o Víceletém finančním rámci a legislativě pro politiku soudržnosti a s tím spojenými finančními aspekty.</w:t>
      </w:r>
    </w:p>
    <w:p w:rsidR="00053B1D" w:rsidRPr="00671D5F" w:rsidRDefault="59376B48" w:rsidP="59376B48">
      <w:pPr>
        <w:spacing w:before="240" w:line="269" w:lineRule="auto"/>
        <w:rPr>
          <w:rFonts w:eastAsia="Arial"/>
          <w:sz w:val="22"/>
          <w:szCs w:val="22"/>
        </w:rPr>
      </w:pPr>
      <w:r w:rsidRPr="59376B48">
        <w:rPr>
          <w:rFonts w:eastAsia="Arial"/>
          <w:sz w:val="22"/>
          <w:szCs w:val="22"/>
        </w:rPr>
        <w:t xml:space="preserve">ČR byly určeny prostředky ve výši 18 mld. ve stálých cenách </w:t>
      </w:r>
      <w:r w:rsidR="00693DB0">
        <w:rPr>
          <w:rFonts w:eastAsia="Arial"/>
          <w:sz w:val="22"/>
          <w:szCs w:val="22"/>
        </w:rPr>
        <w:t xml:space="preserve">roku </w:t>
      </w:r>
      <w:r w:rsidR="00353647">
        <w:rPr>
          <w:rFonts w:eastAsia="Arial"/>
          <w:sz w:val="22"/>
          <w:szCs w:val="22"/>
        </w:rPr>
        <w:t>2018</w:t>
      </w:r>
      <w:r w:rsidRPr="59376B48">
        <w:rPr>
          <w:rFonts w:eastAsia="Arial"/>
          <w:sz w:val="22"/>
          <w:szCs w:val="22"/>
        </w:rPr>
        <w:t xml:space="preserve"> </w:t>
      </w:r>
      <w:r w:rsidR="008307F9">
        <w:rPr>
          <w:rFonts w:eastAsia="Arial"/>
          <w:sz w:val="22"/>
          <w:szCs w:val="22"/>
        </w:rPr>
        <w:t>(</w:t>
      </w:r>
      <w:r w:rsidRPr="59376B48">
        <w:rPr>
          <w:rFonts w:eastAsia="Arial"/>
          <w:sz w:val="22"/>
          <w:szCs w:val="22"/>
        </w:rPr>
        <w:t xml:space="preserve">20,1 </w:t>
      </w:r>
      <w:r w:rsidR="00BE3DF6" w:rsidRPr="59376B48">
        <w:rPr>
          <w:rFonts w:eastAsia="Arial"/>
          <w:sz w:val="22"/>
          <w:szCs w:val="22"/>
        </w:rPr>
        <w:t>mld.</w:t>
      </w:r>
      <w:r w:rsidRPr="59376B48">
        <w:rPr>
          <w:rFonts w:eastAsia="Arial"/>
          <w:sz w:val="22"/>
          <w:szCs w:val="22"/>
        </w:rPr>
        <w:t xml:space="preserve"> v běžných cenách</w:t>
      </w:r>
      <w:r w:rsidR="008307F9">
        <w:rPr>
          <w:rFonts w:eastAsia="Arial"/>
          <w:sz w:val="22"/>
          <w:szCs w:val="22"/>
        </w:rPr>
        <w:t>)</w:t>
      </w:r>
      <w:r w:rsidR="00E15D5A">
        <w:rPr>
          <w:rFonts w:eastAsia="Arial"/>
          <w:sz w:val="22"/>
          <w:szCs w:val="22"/>
        </w:rPr>
        <w:t xml:space="preserve">, </w:t>
      </w:r>
      <w:r w:rsidR="00E15D5A" w:rsidRPr="009317BD">
        <w:rPr>
          <w:rFonts w:eastAsia="Arial"/>
          <w:sz w:val="22"/>
          <w:szCs w:val="22"/>
        </w:rPr>
        <w:t xml:space="preserve">což představuje propad o cca </w:t>
      </w:r>
      <w:r w:rsidR="00F6164F">
        <w:rPr>
          <w:rFonts w:eastAsia="Arial"/>
          <w:sz w:val="22"/>
          <w:szCs w:val="22"/>
        </w:rPr>
        <w:t>2</w:t>
      </w:r>
      <w:r w:rsidR="00E15D5A" w:rsidRPr="009317BD">
        <w:rPr>
          <w:rFonts w:eastAsia="Arial"/>
          <w:sz w:val="22"/>
          <w:szCs w:val="22"/>
        </w:rPr>
        <w:t xml:space="preserve">4 % oproti tomuto období (v běžných cenách jde o pokles </w:t>
      </w:r>
      <w:r w:rsidR="00693DB0">
        <w:rPr>
          <w:rFonts w:eastAsia="Arial"/>
          <w:sz w:val="22"/>
          <w:szCs w:val="22"/>
        </w:rPr>
        <w:t xml:space="preserve">o </w:t>
      </w:r>
      <w:r w:rsidR="00E15D5A" w:rsidRPr="009317BD">
        <w:rPr>
          <w:rFonts w:eastAsia="Arial"/>
          <w:sz w:val="22"/>
          <w:szCs w:val="22"/>
        </w:rPr>
        <w:t>13</w:t>
      </w:r>
      <w:r w:rsidR="00D223A9">
        <w:rPr>
          <w:rFonts w:eastAsia="Arial"/>
          <w:sz w:val="22"/>
          <w:szCs w:val="22"/>
        </w:rPr>
        <w:t> </w:t>
      </w:r>
      <w:r w:rsidR="00E15D5A" w:rsidRPr="009317BD">
        <w:rPr>
          <w:rFonts w:eastAsia="Arial"/>
          <w:sz w:val="22"/>
          <w:szCs w:val="22"/>
        </w:rPr>
        <w:t>%)</w:t>
      </w:r>
      <w:r w:rsidRPr="59376B48">
        <w:rPr>
          <w:rFonts w:eastAsia="Arial"/>
          <w:sz w:val="22"/>
          <w:szCs w:val="22"/>
        </w:rPr>
        <w:t xml:space="preserve">. Dále je navržena nižší míra EU spolufinancování (navýšení národního spolufinancování) a je navrhováno snížení zálohových plateb ze strany EK. K tomu Komise navrhuje zkrácení pravidla </w:t>
      </w:r>
      <w:r w:rsidR="000845BD">
        <w:rPr>
          <w:rFonts w:eastAsia="Arial"/>
          <w:sz w:val="22"/>
          <w:szCs w:val="22"/>
        </w:rPr>
        <w:t>pro zrušení závazku o jeden rok (tzv. pravidlo n+) a to z</w:t>
      </w:r>
      <w:r w:rsidRPr="59376B48">
        <w:rPr>
          <w:rFonts w:eastAsia="Arial"/>
          <w:sz w:val="22"/>
          <w:szCs w:val="22"/>
        </w:rPr>
        <w:t xml:space="preserve"> </w:t>
      </w:r>
      <w:r w:rsidR="00DF12F6">
        <w:rPr>
          <w:rFonts w:eastAsia="Arial"/>
          <w:sz w:val="22"/>
          <w:szCs w:val="22"/>
        </w:rPr>
        <w:t xml:space="preserve"> N+3 na N+2</w:t>
      </w:r>
      <w:r w:rsidRPr="59376B48">
        <w:rPr>
          <w:rFonts w:eastAsia="Arial"/>
          <w:sz w:val="22"/>
          <w:szCs w:val="22"/>
        </w:rPr>
        <w:t>.</w:t>
      </w:r>
    </w:p>
    <w:p w:rsidR="00053B1D" w:rsidRPr="00671D5F" w:rsidRDefault="30F32D24" w:rsidP="30F32D24">
      <w:pPr>
        <w:rPr>
          <w:sz w:val="22"/>
          <w:szCs w:val="22"/>
        </w:rPr>
      </w:pPr>
      <w:r w:rsidRPr="30F32D24">
        <w:rPr>
          <w:rFonts w:eastAsia="Arial"/>
          <w:sz w:val="22"/>
          <w:szCs w:val="22"/>
        </w:rPr>
        <w:t>Komise dále navrhuje 2 nové nástroje: program na podporu reforem (technická a finanční podpora reforem na národní úrovni, 25 mld. EUR, samostatný program - doplňkový k</w:t>
      </w:r>
      <w:r w:rsidR="00D223A9">
        <w:rPr>
          <w:rFonts w:eastAsia="Arial"/>
          <w:sz w:val="22"/>
          <w:szCs w:val="22"/>
        </w:rPr>
        <w:t> fondům EU</w:t>
      </w:r>
      <w:r w:rsidRPr="30F32D24">
        <w:rPr>
          <w:rFonts w:eastAsia="Arial"/>
          <w:sz w:val="22"/>
          <w:szCs w:val="22"/>
        </w:rPr>
        <w:t>) a evropská funkce investiční stabilizace (pro HMU, absorbování velkých asymetrických makroekonomických šoků).</w:t>
      </w:r>
    </w:p>
    <w:p w:rsidR="00053B1D" w:rsidRPr="00BD2246" w:rsidRDefault="00053B1D">
      <w:pPr>
        <w:rPr>
          <w:sz w:val="22"/>
          <w:szCs w:val="22"/>
        </w:rPr>
      </w:pPr>
      <w:r w:rsidRPr="001951AF">
        <w:rPr>
          <w:sz w:val="22"/>
          <w:szCs w:val="22"/>
        </w:rPr>
        <w:t xml:space="preserve">Vedle návrhu na rozpočet pro politiku soudržnosti byly zveřejněny také návrhy na přímo řízené programy, kde např. u programů Erasmus+ a </w:t>
      </w:r>
      <w:r w:rsidR="00E70750" w:rsidRPr="001951AF">
        <w:rPr>
          <w:sz w:val="22"/>
          <w:szCs w:val="22"/>
        </w:rPr>
        <w:t>Horizont Evropa</w:t>
      </w:r>
      <w:r w:rsidRPr="001951AF">
        <w:rPr>
          <w:sz w:val="22"/>
          <w:szCs w:val="22"/>
        </w:rPr>
        <w:t xml:space="preserve"> dochází k významnému nárůstu finančních prostředků (Erasmus – zdvojnásobení rozpočtu /na 30 mld. EUR/, </w:t>
      </w:r>
      <w:r w:rsidR="00E70750" w:rsidRPr="001951AF">
        <w:rPr>
          <w:sz w:val="22"/>
          <w:szCs w:val="22"/>
        </w:rPr>
        <w:t>Horizont Evropa</w:t>
      </w:r>
      <w:r w:rsidRPr="001951AF">
        <w:rPr>
          <w:sz w:val="22"/>
          <w:szCs w:val="22"/>
        </w:rPr>
        <w:t xml:space="preserve"> – nárůst rozpočtu o 25</w:t>
      </w:r>
      <w:r w:rsidR="003C45CE">
        <w:rPr>
          <w:sz w:val="22"/>
          <w:szCs w:val="22"/>
        </w:rPr>
        <w:t xml:space="preserve"> </w:t>
      </w:r>
      <w:r w:rsidRPr="001951AF">
        <w:rPr>
          <w:sz w:val="22"/>
          <w:szCs w:val="22"/>
        </w:rPr>
        <w:t>% /na 98 mld. EUR/).</w:t>
      </w:r>
    </w:p>
    <w:p w:rsidR="00053B1D" w:rsidRPr="00671D5F" w:rsidRDefault="54923E25" w:rsidP="54923E25">
      <w:pPr>
        <w:rPr>
          <w:sz w:val="22"/>
          <w:szCs w:val="22"/>
        </w:rPr>
      </w:pPr>
      <w:r w:rsidRPr="54923E25">
        <w:rPr>
          <w:sz w:val="22"/>
          <w:szCs w:val="22"/>
        </w:rPr>
        <w:t xml:space="preserve">Rozhodnutí o budoucím dlouhodobém rozpočtu EU bude poté příslušet Radě, která rozhodne jednomyslně po obdržení souhlasu Evropského parlamentu. </w:t>
      </w:r>
      <w:r w:rsidR="000845BD">
        <w:rPr>
          <w:sz w:val="22"/>
          <w:szCs w:val="22"/>
        </w:rPr>
        <w:t>Původní záměr EK</w:t>
      </w:r>
      <w:r w:rsidRPr="54923E25">
        <w:rPr>
          <w:sz w:val="22"/>
          <w:szCs w:val="22"/>
        </w:rPr>
        <w:t xml:space="preserve"> dosáhnout dohody ještě před volbami do Evropského parlamentu a summitem v Sibiu dne 9. května 2019</w:t>
      </w:r>
      <w:r w:rsidR="00D223A9">
        <w:rPr>
          <w:sz w:val="22"/>
          <w:szCs w:val="22"/>
        </w:rPr>
        <w:t xml:space="preserve"> se však nezdařil</w:t>
      </w:r>
      <w:r w:rsidRPr="54923E25">
        <w:rPr>
          <w:sz w:val="22"/>
          <w:szCs w:val="22"/>
        </w:rPr>
        <w:t>.</w:t>
      </w:r>
      <w:r w:rsidR="000845BD">
        <w:rPr>
          <w:sz w:val="22"/>
          <w:szCs w:val="22"/>
        </w:rPr>
        <w:t xml:space="preserve"> Na jednání Evropské rady v prosinci 2018 stanovili lídři členských států cíl dosáhnout dohody o VFR na podzim 2019, aby mohla být včas zahájena implementace, </w:t>
      </w:r>
      <w:r w:rsidR="00353647">
        <w:rPr>
          <w:sz w:val="22"/>
          <w:szCs w:val="22"/>
        </w:rPr>
        <w:t>na základě jednání ER v červnu 2019 byl tento cíl posunut na konec roku 2019</w:t>
      </w:r>
      <w:r w:rsidR="000845BD">
        <w:rPr>
          <w:sz w:val="22"/>
          <w:szCs w:val="22"/>
        </w:rPr>
        <w:t>, ani tento termín však nemusí být konečný.</w:t>
      </w:r>
    </w:p>
    <w:p w:rsidR="00053B1D" w:rsidRDefault="00053B1D" w:rsidP="00254F4C">
      <w:pPr>
        <w:pStyle w:val="Nadpis2"/>
        <w:numPr>
          <w:ilvl w:val="1"/>
          <w:numId w:val="9"/>
        </w:numPr>
        <w:spacing w:line="240" w:lineRule="auto"/>
        <w:ind w:left="425" w:hanging="431"/>
        <w:jc w:val="left"/>
      </w:pPr>
      <w:bookmarkStart w:id="64" w:name="_Toc7774220"/>
      <w:bookmarkStart w:id="65" w:name="_Toc13828217"/>
      <w:r w:rsidRPr="00540D0A">
        <w:t>Návrh nařízení pro EU fondy</w:t>
      </w:r>
      <w:bookmarkEnd w:id="64"/>
      <w:bookmarkEnd w:id="65"/>
    </w:p>
    <w:p w:rsidR="00053B1D" w:rsidRPr="00671D5F" w:rsidRDefault="72755F4C" w:rsidP="72755F4C">
      <w:pPr>
        <w:spacing w:after="120" w:line="269" w:lineRule="auto"/>
        <w:rPr>
          <w:sz w:val="22"/>
          <w:szCs w:val="22"/>
        </w:rPr>
      </w:pPr>
      <w:r w:rsidRPr="72755F4C">
        <w:rPr>
          <w:sz w:val="22"/>
          <w:szCs w:val="22"/>
        </w:rPr>
        <w:t>Dne 29. května 2018 EK zveřejnila legislativní i nelegislativní balíček nařízení pro politiku soudržnosti:</w:t>
      </w:r>
    </w:p>
    <w:p w:rsidR="00053B1D" w:rsidRPr="00671D5F" w:rsidRDefault="72755F4C" w:rsidP="00254F4C">
      <w:pPr>
        <w:numPr>
          <w:ilvl w:val="0"/>
          <w:numId w:val="11"/>
        </w:numPr>
        <w:spacing w:after="120" w:line="269" w:lineRule="auto"/>
        <w:ind w:left="714" w:hanging="357"/>
        <w:contextualSpacing/>
        <w:rPr>
          <w:sz w:val="22"/>
          <w:szCs w:val="22"/>
        </w:rPr>
      </w:pPr>
      <w:r w:rsidRPr="72755F4C">
        <w:rPr>
          <w:sz w:val="22"/>
          <w:szCs w:val="22"/>
        </w:rPr>
        <w:t>29. května 2018 balíček pro EFRR, FS a tzv. Obecné nařízení zastřešující nově celkem 7 unijních fondů,</w:t>
      </w:r>
    </w:p>
    <w:p w:rsidR="00053B1D" w:rsidRPr="00671D5F" w:rsidRDefault="00053B1D" w:rsidP="00254F4C">
      <w:pPr>
        <w:numPr>
          <w:ilvl w:val="0"/>
          <w:numId w:val="11"/>
        </w:numPr>
        <w:spacing w:after="120" w:line="269" w:lineRule="auto"/>
        <w:ind w:left="714" w:hanging="357"/>
        <w:contextualSpacing/>
        <w:rPr>
          <w:sz w:val="22"/>
        </w:rPr>
      </w:pPr>
      <w:r w:rsidRPr="00671D5F">
        <w:rPr>
          <w:sz w:val="22"/>
        </w:rPr>
        <w:t>30. května 2018 balíček pro ESF</w:t>
      </w:r>
      <w:r w:rsidR="00D223A9">
        <w:rPr>
          <w:sz w:val="22"/>
        </w:rPr>
        <w:t>+</w:t>
      </w:r>
      <w:r w:rsidRPr="00671D5F">
        <w:rPr>
          <w:sz w:val="22"/>
        </w:rPr>
        <w:t xml:space="preserve">, Erasmus a další programy z oblasti solidarity a kultury, </w:t>
      </w:r>
    </w:p>
    <w:p w:rsidR="00053B1D" w:rsidRPr="00671D5F" w:rsidRDefault="54923E25" w:rsidP="00254F4C">
      <w:pPr>
        <w:numPr>
          <w:ilvl w:val="0"/>
          <w:numId w:val="11"/>
        </w:numPr>
        <w:spacing w:after="120" w:line="269" w:lineRule="auto"/>
        <w:ind w:left="714" w:hanging="357"/>
        <w:contextualSpacing/>
        <w:rPr>
          <w:sz w:val="22"/>
          <w:szCs w:val="22"/>
        </w:rPr>
      </w:pPr>
      <w:r w:rsidRPr="54923E25">
        <w:rPr>
          <w:sz w:val="22"/>
          <w:szCs w:val="22"/>
        </w:rPr>
        <w:t xml:space="preserve">31. května 2018 např. pro Program pro strukturální reformy aj., </w:t>
      </w:r>
    </w:p>
    <w:p w:rsidR="00053B1D" w:rsidRPr="00671D5F" w:rsidRDefault="00053B1D" w:rsidP="00254F4C">
      <w:pPr>
        <w:numPr>
          <w:ilvl w:val="0"/>
          <w:numId w:val="11"/>
        </w:numPr>
        <w:spacing w:after="120" w:line="269" w:lineRule="auto"/>
        <w:ind w:left="714" w:hanging="357"/>
        <w:contextualSpacing/>
        <w:rPr>
          <w:sz w:val="22"/>
          <w:u w:val="single"/>
        </w:rPr>
      </w:pPr>
      <w:r w:rsidRPr="00671D5F">
        <w:rPr>
          <w:sz w:val="22"/>
        </w:rPr>
        <w:t>v červnu 2018 i pro další oblasti, např. výzkum a inovace nebo migrace.</w:t>
      </w:r>
    </w:p>
    <w:p w:rsidR="00053B1D" w:rsidRPr="00671D5F" w:rsidRDefault="00053B1D" w:rsidP="00977260">
      <w:pPr>
        <w:spacing w:before="240" w:after="120" w:line="269" w:lineRule="auto"/>
        <w:rPr>
          <w:sz w:val="22"/>
        </w:rPr>
      </w:pPr>
      <w:r w:rsidRPr="00671D5F">
        <w:rPr>
          <w:sz w:val="22"/>
        </w:rPr>
        <w:t>Pod obecným nařízením je nově více fondů – AMIF (Azylový, migrační a integrační fond), ISF (Fond pro vnitřní bezpečnost) a MBVI (Nástroj pro řízení hranic a víz). Naopak oddělen byl Evropský zemědělský fond pro rozvoj venkova (EZFRV).</w:t>
      </w:r>
    </w:p>
    <w:p w:rsidR="00053B1D" w:rsidRPr="00671D5F" w:rsidRDefault="00053B1D" w:rsidP="0005558F">
      <w:pPr>
        <w:spacing w:after="40"/>
        <w:rPr>
          <w:sz w:val="22"/>
        </w:rPr>
      </w:pPr>
      <w:r w:rsidRPr="00671D5F">
        <w:rPr>
          <w:sz w:val="22"/>
        </w:rPr>
        <w:t xml:space="preserve">Zároveň je definováno pět politických cílů (tj. snížení počtu ve srovnání s 11 tematickými cíli v období 2014-2020): </w:t>
      </w:r>
    </w:p>
    <w:p w:rsidR="00053B1D" w:rsidRPr="00671D5F" w:rsidRDefault="00053B1D" w:rsidP="00254F4C">
      <w:pPr>
        <w:pStyle w:val="Odstavecseseznamem"/>
        <w:numPr>
          <w:ilvl w:val="0"/>
          <w:numId w:val="12"/>
        </w:numPr>
        <w:spacing w:before="0" w:line="259" w:lineRule="auto"/>
        <w:rPr>
          <w:rFonts w:ascii="Arial" w:hAnsi="Arial"/>
          <w:i/>
          <w:iCs/>
          <w:sz w:val="22"/>
          <w:szCs w:val="22"/>
        </w:rPr>
      </w:pPr>
      <w:r w:rsidRPr="6A9D794E">
        <w:rPr>
          <w:rFonts w:ascii="Arial" w:hAnsi="Arial"/>
          <w:i/>
          <w:iCs/>
          <w:sz w:val="22"/>
          <w:szCs w:val="22"/>
        </w:rPr>
        <w:t>C</w:t>
      </w:r>
      <w:r w:rsidR="00985F7A" w:rsidRPr="6A9D794E">
        <w:rPr>
          <w:rFonts w:ascii="Arial" w:hAnsi="Arial"/>
          <w:i/>
          <w:iCs/>
          <w:sz w:val="22"/>
          <w:szCs w:val="22"/>
        </w:rPr>
        <w:t>P</w:t>
      </w:r>
      <w:r w:rsidRPr="6A9D794E">
        <w:rPr>
          <w:rFonts w:ascii="Arial" w:hAnsi="Arial"/>
          <w:i/>
          <w:iCs/>
          <w:sz w:val="22"/>
          <w:szCs w:val="22"/>
        </w:rPr>
        <w:t>1 - Inteligentnější Evropa</w:t>
      </w:r>
      <w:r w:rsidR="007C202C">
        <w:rPr>
          <w:rFonts w:ascii="Arial" w:hAnsi="Arial"/>
          <w:i/>
          <w:iCs/>
          <w:sz w:val="22"/>
          <w:szCs w:val="22"/>
        </w:rPr>
        <w:t xml:space="preserve"> </w:t>
      </w:r>
      <w:r w:rsidR="007C202C" w:rsidRPr="00216568">
        <w:rPr>
          <w:rFonts w:ascii="Arial" w:hAnsi="Arial"/>
          <w:i/>
          <w:sz w:val="22"/>
          <w:szCs w:val="22"/>
        </w:rPr>
        <w:t xml:space="preserve">díky podpoře inovativní a inteligentní ekonomické </w:t>
      </w:r>
      <w:r w:rsidR="007C202C" w:rsidRPr="00412C01">
        <w:rPr>
          <w:rFonts w:ascii="Arial" w:hAnsi="Arial"/>
          <w:i/>
          <w:iCs/>
          <w:sz w:val="22"/>
          <w:szCs w:val="22"/>
        </w:rPr>
        <w:t>transformace</w:t>
      </w:r>
      <w:r w:rsidRPr="6A9D794E">
        <w:rPr>
          <w:rFonts w:ascii="Arial" w:hAnsi="Arial"/>
          <w:i/>
          <w:iCs/>
          <w:sz w:val="22"/>
          <w:szCs w:val="22"/>
        </w:rPr>
        <w:t xml:space="preserve">; </w:t>
      </w:r>
    </w:p>
    <w:p w:rsidR="00053B1D" w:rsidRPr="00671D5F" w:rsidRDefault="00053B1D" w:rsidP="00254F4C">
      <w:pPr>
        <w:pStyle w:val="Odstavecseseznamem"/>
        <w:numPr>
          <w:ilvl w:val="0"/>
          <w:numId w:val="12"/>
        </w:numPr>
        <w:spacing w:before="0" w:line="259" w:lineRule="auto"/>
        <w:rPr>
          <w:rFonts w:ascii="Arial" w:hAnsi="Arial"/>
          <w:i/>
          <w:iCs/>
          <w:sz w:val="22"/>
          <w:szCs w:val="22"/>
        </w:rPr>
      </w:pPr>
      <w:r w:rsidRPr="6A9D794E">
        <w:rPr>
          <w:rFonts w:ascii="Arial" w:hAnsi="Arial"/>
          <w:i/>
          <w:iCs/>
          <w:sz w:val="22"/>
          <w:szCs w:val="22"/>
        </w:rPr>
        <w:t>C</w:t>
      </w:r>
      <w:r w:rsidR="00985F7A" w:rsidRPr="6A9D794E">
        <w:rPr>
          <w:rFonts w:ascii="Arial" w:hAnsi="Arial"/>
          <w:i/>
          <w:iCs/>
          <w:sz w:val="22"/>
          <w:szCs w:val="22"/>
        </w:rPr>
        <w:t>P</w:t>
      </w:r>
      <w:r w:rsidRPr="6A9D794E">
        <w:rPr>
          <w:rFonts w:ascii="Arial" w:hAnsi="Arial"/>
          <w:i/>
          <w:iCs/>
          <w:sz w:val="22"/>
          <w:szCs w:val="22"/>
        </w:rPr>
        <w:t xml:space="preserve">2 - </w:t>
      </w:r>
      <w:r w:rsidR="007C202C">
        <w:rPr>
          <w:rFonts w:ascii="Arial" w:hAnsi="Arial"/>
          <w:i/>
          <w:iCs/>
          <w:sz w:val="22"/>
          <w:szCs w:val="22"/>
        </w:rPr>
        <w:t>Z</w:t>
      </w:r>
      <w:r w:rsidR="007C202C" w:rsidRPr="00216568">
        <w:rPr>
          <w:rFonts w:ascii="Arial" w:hAnsi="Arial"/>
          <w:i/>
          <w:sz w:val="22"/>
          <w:szCs w:val="22"/>
        </w:rPr>
        <w:t>elenější, nízkouhlíková Evropa díky podpoře přechodu na čistou a spravedlivo</w:t>
      </w:r>
      <w:r w:rsidR="007C202C" w:rsidRPr="00A21372">
        <w:rPr>
          <w:rFonts w:ascii="Arial" w:hAnsi="Arial"/>
          <w:i/>
          <w:sz w:val="22"/>
          <w:szCs w:val="22"/>
        </w:rPr>
        <w:t xml:space="preserve">u energii, zelených a modrých investic, oběhového hospodářství, přizpůsobení se změnám klimatu a prevence a řízení </w:t>
      </w:r>
      <w:r w:rsidR="007C202C" w:rsidRPr="00412C01">
        <w:rPr>
          <w:rFonts w:ascii="Arial" w:hAnsi="Arial"/>
          <w:i/>
          <w:iCs/>
          <w:sz w:val="22"/>
          <w:szCs w:val="22"/>
        </w:rPr>
        <w:t>rizik</w:t>
      </w:r>
      <w:r w:rsidRPr="6A9D794E">
        <w:rPr>
          <w:rFonts w:ascii="Arial" w:hAnsi="Arial"/>
          <w:i/>
          <w:iCs/>
          <w:sz w:val="22"/>
          <w:szCs w:val="22"/>
        </w:rPr>
        <w:t xml:space="preserve">; </w:t>
      </w:r>
    </w:p>
    <w:p w:rsidR="00053B1D" w:rsidRPr="00671D5F" w:rsidRDefault="00053B1D" w:rsidP="00254F4C">
      <w:pPr>
        <w:pStyle w:val="Odstavecseseznamem"/>
        <w:numPr>
          <w:ilvl w:val="0"/>
          <w:numId w:val="12"/>
        </w:numPr>
        <w:spacing w:before="0" w:line="259" w:lineRule="auto"/>
        <w:rPr>
          <w:rFonts w:ascii="Arial" w:hAnsi="Arial"/>
          <w:i/>
          <w:iCs/>
          <w:sz w:val="22"/>
          <w:szCs w:val="22"/>
        </w:rPr>
      </w:pPr>
      <w:r w:rsidRPr="6A9D794E">
        <w:rPr>
          <w:rFonts w:ascii="Arial" w:hAnsi="Arial"/>
          <w:i/>
          <w:iCs/>
          <w:sz w:val="22"/>
          <w:szCs w:val="22"/>
        </w:rPr>
        <w:t>C</w:t>
      </w:r>
      <w:r w:rsidR="00985F7A" w:rsidRPr="6A9D794E">
        <w:rPr>
          <w:rFonts w:ascii="Arial" w:hAnsi="Arial"/>
          <w:i/>
          <w:iCs/>
          <w:sz w:val="22"/>
          <w:szCs w:val="22"/>
        </w:rPr>
        <w:t>P</w:t>
      </w:r>
      <w:r w:rsidRPr="6A9D794E">
        <w:rPr>
          <w:rFonts w:ascii="Arial" w:hAnsi="Arial"/>
          <w:i/>
          <w:iCs/>
          <w:sz w:val="22"/>
          <w:szCs w:val="22"/>
        </w:rPr>
        <w:t xml:space="preserve">3 - </w:t>
      </w:r>
      <w:r w:rsidR="007C202C">
        <w:rPr>
          <w:rFonts w:ascii="Arial" w:hAnsi="Arial"/>
          <w:i/>
          <w:iCs/>
          <w:sz w:val="22"/>
          <w:szCs w:val="22"/>
        </w:rPr>
        <w:t>P</w:t>
      </w:r>
      <w:r w:rsidR="007C202C" w:rsidRPr="00216568">
        <w:rPr>
          <w:rFonts w:ascii="Arial" w:hAnsi="Arial"/>
          <w:i/>
          <w:sz w:val="22"/>
          <w:szCs w:val="22"/>
        </w:rPr>
        <w:t xml:space="preserve">ropojenější Evropa díky zvyšování mobility a regionálního propojení </w:t>
      </w:r>
      <w:r w:rsidR="007C202C" w:rsidRPr="00412C01">
        <w:rPr>
          <w:rFonts w:ascii="Arial" w:hAnsi="Arial"/>
          <w:i/>
          <w:iCs/>
          <w:sz w:val="22"/>
          <w:szCs w:val="22"/>
        </w:rPr>
        <w:t>IKT</w:t>
      </w:r>
      <w:r w:rsidRPr="6A9D794E">
        <w:rPr>
          <w:rFonts w:ascii="Arial" w:hAnsi="Arial"/>
          <w:i/>
          <w:iCs/>
          <w:sz w:val="22"/>
          <w:szCs w:val="22"/>
        </w:rPr>
        <w:t xml:space="preserve">; </w:t>
      </w:r>
    </w:p>
    <w:p w:rsidR="00053B1D" w:rsidRPr="00671D5F" w:rsidRDefault="00053B1D" w:rsidP="00254F4C">
      <w:pPr>
        <w:pStyle w:val="Odstavecseseznamem"/>
        <w:numPr>
          <w:ilvl w:val="0"/>
          <w:numId w:val="12"/>
        </w:numPr>
        <w:spacing w:before="0" w:line="259" w:lineRule="auto"/>
        <w:rPr>
          <w:rFonts w:ascii="Arial" w:hAnsi="Arial"/>
          <w:i/>
          <w:iCs/>
          <w:sz w:val="22"/>
          <w:szCs w:val="22"/>
        </w:rPr>
      </w:pPr>
      <w:r w:rsidRPr="6A9D794E">
        <w:rPr>
          <w:rFonts w:ascii="Arial" w:hAnsi="Arial"/>
          <w:i/>
          <w:iCs/>
          <w:sz w:val="22"/>
          <w:szCs w:val="22"/>
        </w:rPr>
        <w:t>C</w:t>
      </w:r>
      <w:r w:rsidR="00985F7A" w:rsidRPr="6A9D794E">
        <w:rPr>
          <w:rFonts w:ascii="Arial" w:hAnsi="Arial"/>
          <w:i/>
          <w:iCs/>
          <w:sz w:val="22"/>
          <w:szCs w:val="22"/>
        </w:rPr>
        <w:t>P</w:t>
      </w:r>
      <w:r w:rsidRPr="6A9D794E">
        <w:rPr>
          <w:rFonts w:ascii="Arial" w:hAnsi="Arial"/>
          <w:i/>
          <w:iCs/>
          <w:sz w:val="22"/>
          <w:szCs w:val="22"/>
        </w:rPr>
        <w:t xml:space="preserve">4 - </w:t>
      </w:r>
      <w:r w:rsidR="007C202C" w:rsidRPr="6A9D794E">
        <w:rPr>
          <w:rFonts w:ascii="Arial" w:hAnsi="Arial"/>
          <w:i/>
          <w:sz w:val="22"/>
          <w:szCs w:val="22"/>
        </w:rPr>
        <w:t xml:space="preserve">Sociálnější Evropa </w:t>
      </w:r>
      <w:r w:rsidR="007C202C" w:rsidRPr="00216568">
        <w:rPr>
          <w:rFonts w:ascii="Arial" w:hAnsi="Arial"/>
          <w:i/>
          <w:sz w:val="22"/>
          <w:szCs w:val="22"/>
        </w:rPr>
        <w:t>díky provádění evropského p</w:t>
      </w:r>
      <w:r w:rsidR="007C202C" w:rsidRPr="00A21372">
        <w:rPr>
          <w:rFonts w:ascii="Arial" w:hAnsi="Arial"/>
          <w:i/>
          <w:sz w:val="22"/>
          <w:szCs w:val="22"/>
        </w:rPr>
        <w:t xml:space="preserve">ilíře sociálních </w:t>
      </w:r>
      <w:r w:rsidR="007C202C" w:rsidRPr="00412C01">
        <w:rPr>
          <w:rFonts w:ascii="Arial" w:hAnsi="Arial"/>
          <w:i/>
          <w:iCs/>
          <w:sz w:val="22"/>
          <w:szCs w:val="22"/>
        </w:rPr>
        <w:t>práv</w:t>
      </w:r>
      <w:r w:rsidRPr="6A9D794E">
        <w:rPr>
          <w:rFonts w:ascii="Arial" w:hAnsi="Arial"/>
          <w:i/>
          <w:iCs/>
          <w:sz w:val="22"/>
          <w:szCs w:val="22"/>
        </w:rPr>
        <w:t xml:space="preserve">; </w:t>
      </w:r>
    </w:p>
    <w:p w:rsidR="00053B1D" w:rsidRPr="00671D5F" w:rsidRDefault="00053B1D" w:rsidP="00254F4C">
      <w:pPr>
        <w:pStyle w:val="Odstavecseseznamem"/>
        <w:numPr>
          <w:ilvl w:val="0"/>
          <w:numId w:val="12"/>
        </w:numPr>
        <w:spacing w:before="0" w:line="259" w:lineRule="auto"/>
        <w:rPr>
          <w:rFonts w:ascii="Arial" w:hAnsi="Arial"/>
          <w:i/>
          <w:iCs/>
          <w:sz w:val="22"/>
          <w:szCs w:val="22"/>
        </w:rPr>
      </w:pPr>
      <w:r w:rsidRPr="6A9D794E">
        <w:rPr>
          <w:rFonts w:ascii="Arial" w:hAnsi="Arial"/>
          <w:i/>
          <w:iCs/>
          <w:sz w:val="22"/>
          <w:szCs w:val="22"/>
        </w:rPr>
        <w:t>C</w:t>
      </w:r>
      <w:r w:rsidR="00985F7A" w:rsidRPr="6A9D794E">
        <w:rPr>
          <w:rFonts w:ascii="Arial" w:hAnsi="Arial"/>
          <w:i/>
          <w:iCs/>
          <w:sz w:val="22"/>
          <w:szCs w:val="22"/>
        </w:rPr>
        <w:t>P</w:t>
      </w:r>
      <w:r w:rsidRPr="6A9D794E">
        <w:rPr>
          <w:rFonts w:ascii="Arial" w:hAnsi="Arial"/>
          <w:i/>
          <w:iCs/>
          <w:sz w:val="22"/>
          <w:szCs w:val="22"/>
        </w:rPr>
        <w:t xml:space="preserve">5 - </w:t>
      </w:r>
      <w:r w:rsidR="002D4645" w:rsidRPr="00216568">
        <w:rPr>
          <w:rFonts w:ascii="Arial" w:hAnsi="Arial"/>
          <w:i/>
          <w:sz w:val="22"/>
          <w:szCs w:val="22"/>
        </w:rPr>
        <w:t>Evropa bližší občanům díky podpoře udržitelného a integrovaného rozvoje městských, venkovských a pobřežních oblastí a místních iniciativ.</w:t>
      </w:r>
    </w:p>
    <w:p w:rsidR="00282C7A" w:rsidRPr="008C6299" w:rsidRDefault="00053B1D" w:rsidP="6A9D794E">
      <w:pPr>
        <w:spacing w:after="120"/>
        <w:rPr>
          <w:sz w:val="22"/>
          <w:szCs w:val="22"/>
        </w:rPr>
      </w:pPr>
      <w:r w:rsidRPr="008C6299">
        <w:rPr>
          <w:sz w:val="22"/>
          <w:szCs w:val="22"/>
        </w:rPr>
        <w:t xml:space="preserve">Návrhy však obsahují několik pravidel </w:t>
      </w:r>
      <w:r w:rsidRPr="008C6299">
        <w:rPr>
          <w:b/>
          <w:sz w:val="22"/>
          <w:szCs w:val="22"/>
        </w:rPr>
        <w:t>tematické koncentrace</w:t>
      </w:r>
      <w:r w:rsidR="00282C7A" w:rsidRPr="008C6299">
        <w:rPr>
          <w:rStyle w:val="Znakapoznpodarou"/>
          <w:b/>
          <w:sz w:val="22"/>
          <w:szCs w:val="22"/>
        </w:rPr>
        <w:footnoteReference w:id="8"/>
      </w:r>
      <w:r w:rsidRPr="008C6299">
        <w:rPr>
          <w:sz w:val="22"/>
          <w:szCs w:val="22"/>
        </w:rPr>
        <w:t xml:space="preserve"> – na </w:t>
      </w:r>
      <w:r w:rsidRPr="001B1C21">
        <w:rPr>
          <w:b/>
          <w:sz w:val="22"/>
          <w:szCs w:val="22"/>
        </w:rPr>
        <w:t>cíl 1</w:t>
      </w:r>
      <w:r w:rsidRPr="008C6299">
        <w:rPr>
          <w:sz w:val="22"/>
          <w:szCs w:val="22"/>
        </w:rPr>
        <w:t xml:space="preserve"> to je v případě ČR </w:t>
      </w:r>
      <w:r w:rsidRPr="008C6299">
        <w:rPr>
          <w:b/>
          <w:sz w:val="22"/>
          <w:szCs w:val="22"/>
        </w:rPr>
        <w:t>45 %</w:t>
      </w:r>
      <w:r w:rsidRPr="008C6299">
        <w:rPr>
          <w:sz w:val="22"/>
          <w:szCs w:val="22"/>
        </w:rPr>
        <w:t xml:space="preserve"> celé alokace</w:t>
      </w:r>
      <w:r w:rsidR="00E84E8C" w:rsidRPr="008C6299">
        <w:rPr>
          <w:sz w:val="22"/>
          <w:szCs w:val="22"/>
        </w:rPr>
        <w:t xml:space="preserve"> EFRR</w:t>
      </w:r>
      <w:r w:rsidRPr="008C6299">
        <w:rPr>
          <w:sz w:val="22"/>
          <w:szCs w:val="22"/>
        </w:rPr>
        <w:t xml:space="preserve">, na </w:t>
      </w:r>
      <w:r w:rsidRPr="008C6299">
        <w:rPr>
          <w:b/>
          <w:sz w:val="22"/>
          <w:szCs w:val="22"/>
        </w:rPr>
        <w:t>cíl 2</w:t>
      </w:r>
      <w:r w:rsidRPr="008C6299">
        <w:rPr>
          <w:sz w:val="22"/>
          <w:szCs w:val="22"/>
        </w:rPr>
        <w:t xml:space="preserve"> je to </w:t>
      </w:r>
      <w:r w:rsidRPr="008C6299">
        <w:rPr>
          <w:b/>
          <w:sz w:val="22"/>
          <w:szCs w:val="22"/>
        </w:rPr>
        <w:t>30 %</w:t>
      </w:r>
      <w:r w:rsidRPr="008C6299">
        <w:rPr>
          <w:sz w:val="22"/>
          <w:szCs w:val="22"/>
        </w:rPr>
        <w:t xml:space="preserve"> alokace</w:t>
      </w:r>
      <w:r w:rsidR="00E84E8C" w:rsidRPr="008C6299">
        <w:rPr>
          <w:sz w:val="22"/>
          <w:szCs w:val="22"/>
        </w:rPr>
        <w:t xml:space="preserve"> EFRR</w:t>
      </w:r>
      <w:r w:rsidRPr="008C6299">
        <w:rPr>
          <w:sz w:val="22"/>
          <w:szCs w:val="22"/>
        </w:rPr>
        <w:t>, na klima 25 %</w:t>
      </w:r>
      <w:r w:rsidR="00E84E8C" w:rsidRPr="008C6299">
        <w:rPr>
          <w:sz w:val="22"/>
          <w:szCs w:val="22"/>
        </w:rPr>
        <w:t xml:space="preserve"> celkové alokace pro ČR</w:t>
      </w:r>
      <w:r w:rsidRPr="008C6299">
        <w:rPr>
          <w:sz w:val="22"/>
          <w:szCs w:val="22"/>
        </w:rPr>
        <w:t>, v rámci ESF</w:t>
      </w:r>
      <w:r w:rsidR="00D223A9">
        <w:rPr>
          <w:sz w:val="22"/>
          <w:szCs w:val="22"/>
        </w:rPr>
        <w:t>+</w:t>
      </w:r>
      <w:r w:rsidRPr="008C6299">
        <w:rPr>
          <w:sz w:val="22"/>
          <w:szCs w:val="22"/>
        </w:rPr>
        <w:t xml:space="preserve"> je také několik pravidel</w:t>
      </w:r>
      <w:r w:rsidR="00D223A9">
        <w:rPr>
          <w:sz w:val="22"/>
          <w:szCs w:val="22"/>
        </w:rPr>
        <w:t>:</w:t>
      </w:r>
      <w:r w:rsidR="0019140D" w:rsidRPr="008C6299">
        <w:rPr>
          <w:sz w:val="22"/>
          <w:szCs w:val="22"/>
        </w:rPr>
        <w:t xml:space="preserve"> </w:t>
      </w:r>
      <w:r w:rsidR="00E84E8C" w:rsidRPr="008C6299">
        <w:rPr>
          <w:sz w:val="22"/>
          <w:szCs w:val="22"/>
        </w:rPr>
        <w:t>2</w:t>
      </w:r>
      <w:r w:rsidR="00C5223A" w:rsidRPr="008C6299">
        <w:rPr>
          <w:sz w:val="22"/>
          <w:szCs w:val="22"/>
        </w:rPr>
        <w:t xml:space="preserve"> %</w:t>
      </w:r>
      <w:r w:rsidR="00E84E8C" w:rsidRPr="008C6299">
        <w:rPr>
          <w:sz w:val="22"/>
          <w:szCs w:val="22"/>
        </w:rPr>
        <w:t xml:space="preserve"> </w:t>
      </w:r>
      <w:r w:rsidRPr="008C6299">
        <w:rPr>
          <w:sz w:val="22"/>
          <w:szCs w:val="22"/>
        </w:rPr>
        <w:t xml:space="preserve">alokace musí jít na </w:t>
      </w:r>
      <w:r w:rsidR="00362621">
        <w:rPr>
          <w:sz w:val="22"/>
          <w:szCs w:val="22"/>
        </w:rPr>
        <w:t>řešení materiální deprivace nejchudších osob</w:t>
      </w:r>
      <w:r w:rsidRPr="008C6299">
        <w:rPr>
          <w:sz w:val="22"/>
          <w:szCs w:val="22"/>
        </w:rPr>
        <w:t xml:space="preserve">, </w:t>
      </w:r>
      <w:r w:rsidR="00C5223A" w:rsidRPr="008C6299">
        <w:rPr>
          <w:sz w:val="22"/>
          <w:szCs w:val="22"/>
        </w:rPr>
        <w:t xml:space="preserve">minimálně </w:t>
      </w:r>
      <w:r w:rsidRPr="008C6299">
        <w:rPr>
          <w:sz w:val="22"/>
          <w:szCs w:val="22"/>
        </w:rPr>
        <w:t>čtvrtina ESF</w:t>
      </w:r>
      <w:r w:rsidR="00D223A9">
        <w:rPr>
          <w:sz w:val="22"/>
          <w:szCs w:val="22"/>
        </w:rPr>
        <w:t>+</w:t>
      </w:r>
      <w:r w:rsidRPr="008C6299">
        <w:rPr>
          <w:sz w:val="22"/>
          <w:szCs w:val="22"/>
        </w:rPr>
        <w:t xml:space="preserve"> prostředků na sociální </w:t>
      </w:r>
      <w:r w:rsidR="00C5223A" w:rsidRPr="008C6299">
        <w:rPr>
          <w:sz w:val="22"/>
          <w:szCs w:val="22"/>
        </w:rPr>
        <w:t>začleňování</w:t>
      </w:r>
      <w:r w:rsidRPr="008C6299">
        <w:rPr>
          <w:sz w:val="22"/>
          <w:szCs w:val="22"/>
        </w:rPr>
        <w:t>. Pro oblast městského rozvoje je pak vyčleněno 6 %</w:t>
      </w:r>
      <w:r w:rsidR="00C5223A" w:rsidRPr="008C6299">
        <w:rPr>
          <w:sz w:val="22"/>
          <w:szCs w:val="22"/>
        </w:rPr>
        <w:t xml:space="preserve"> celé alokace EFRR</w:t>
      </w:r>
      <w:r w:rsidRPr="008C6299">
        <w:rPr>
          <w:sz w:val="22"/>
          <w:szCs w:val="22"/>
        </w:rPr>
        <w:t xml:space="preserve">. </w:t>
      </w:r>
      <w:r w:rsidR="00282C7A" w:rsidRPr="008C6299">
        <w:rPr>
          <w:sz w:val="22"/>
          <w:szCs w:val="22"/>
        </w:rPr>
        <w:t>V rámci nařízení jsou také minimální podíly na technickou pomoc. Jsou stanoveny povinné podíly na kategorie regionů a fondy.</w:t>
      </w:r>
    </w:p>
    <w:p w:rsidR="00282C7A" w:rsidRPr="008C6299" w:rsidRDefault="00311975" w:rsidP="00282C7A">
      <w:pPr>
        <w:spacing w:after="120"/>
        <w:rPr>
          <w:sz w:val="22"/>
          <w:szCs w:val="22"/>
        </w:rPr>
      </w:pPr>
      <w:r>
        <w:rPr>
          <w:sz w:val="22"/>
          <w:szCs w:val="22"/>
        </w:rPr>
        <w:t>EK rovněž navrhuje</w:t>
      </w:r>
      <w:r w:rsidR="00282C7A" w:rsidRPr="008C6299">
        <w:rPr>
          <w:sz w:val="22"/>
          <w:szCs w:val="22"/>
        </w:rPr>
        <w:t xml:space="preserve"> možnost </w:t>
      </w:r>
      <w:r>
        <w:rPr>
          <w:sz w:val="22"/>
          <w:szCs w:val="22"/>
        </w:rPr>
        <w:t>určitých</w:t>
      </w:r>
      <w:r w:rsidR="00282C7A" w:rsidRPr="008C6299">
        <w:rPr>
          <w:sz w:val="22"/>
          <w:szCs w:val="22"/>
        </w:rPr>
        <w:t xml:space="preserve"> přesunů</w:t>
      </w:r>
      <w:r>
        <w:rPr>
          <w:sz w:val="22"/>
          <w:szCs w:val="22"/>
        </w:rPr>
        <w:t xml:space="preserve"> prostředků</w:t>
      </w:r>
      <w:r w:rsidR="00282C7A" w:rsidRPr="008C6299">
        <w:rPr>
          <w:sz w:val="22"/>
          <w:szCs w:val="22"/>
        </w:rPr>
        <w:t xml:space="preserve">, a </w:t>
      </w:r>
      <w:r>
        <w:rPr>
          <w:sz w:val="22"/>
          <w:szCs w:val="22"/>
        </w:rPr>
        <w:t xml:space="preserve">to </w:t>
      </w:r>
      <w:r w:rsidR="00282C7A" w:rsidRPr="008C6299">
        <w:rPr>
          <w:sz w:val="22"/>
          <w:szCs w:val="22"/>
        </w:rPr>
        <w:t>(1) na počátku programového období, kde jde například o možnost převodu části alokace mezi kategoriemi regionů, nebo převodu do nástroje InvestEU či (2) v průběhu programového období, kde bude možné převést do určité výše alokaci programu z jakéhokoliv fondu do jakéhokoliv fondu v rámci sdíleného řízení, případně do nástroje v přímém či nepřímém řízení, nebo bude možné v rámci programu bez schválení Komise převést určit</w:t>
      </w:r>
      <w:r w:rsidR="00D223A9">
        <w:rPr>
          <w:sz w:val="22"/>
          <w:szCs w:val="22"/>
        </w:rPr>
        <w:t>é procento</w:t>
      </w:r>
      <w:r w:rsidR="00282C7A" w:rsidRPr="008C6299">
        <w:rPr>
          <w:sz w:val="22"/>
          <w:szCs w:val="22"/>
        </w:rPr>
        <w:t xml:space="preserve"> původního přídělu na prioritu na jinou prioritu při zachování fondu a kategorie regionů.</w:t>
      </w:r>
    </w:p>
    <w:p w:rsidR="00282C7A" w:rsidRPr="008C6299" w:rsidRDefault="00053B1D" w:rsidP="003F065E">
      <w:pPr>
        <w:spacing w:after="120"/>
        <w:rPr>
          <w:rFonts w:eastAsia="Arial"/>
          <w:sz w:val="22"/>
          <w:szCs w:val="22"/>
          <w:lang w:eastAsia="x-none"/>
        </w:rPr>
      </w:pPr>
      <w:r w:rsidRPr="008C6299">
        <w:rPr>
          <w:sz w:val="22"/>
          <w:szCs w:val="22"/>
        </w:rPr>
        <w:t>ČR nicméně ve vyjednávání prosazuje větší volnost/flexibilitu</w:t>
      </w:r>
      <w:r w:rsidR="00311975">
        <w:rPr>
          <w:sz w:val="22"/>
          <w:szCs w:val="22"/>
        </w:rPr>
        <w:t xml:space="preserve"> pro využívání prostředků</w:t>
      </w:r>
      <w:r w:rsidRPr="008C6299">
        <w:rPr>
          <w:sz w:val="22"/>
          <w:szCs w:val="22"/>
        </w:rPr>
        <w:t xml:space="preserve">, tudíž stanovení </w:t>
      </w:r>
      <w:r w:rsidR="00311975">
        <w:rPr>
          <w:sz w:val="22"/>
          <w:szCs w:val="22"/>
        </w:rPr>
        <w:t>vyšší</w:t>
      </w:r>
      <w:r w:rsidR="00311975" w:rsidRPr="008C6299">
        <w:rPr>
          <w:sz w:val="22"/>
          <w:szCs w:val="22"/>
        </w:rPr>
        <w:t xml:space="preserve"> </w:t>
      </w:r>
      <w:r w:rsidRPr="008C6299">
        <w:rPr>
          <w:sz w:val="22"/>
          <w:szCs w:val="22"/>
        </w:rPr>
        <w:t xml:space="preserve">procentní hranice </w:t>
      </w:r>
      <w:r w:rsidR="00311975">
        <w:rPr>
          <w:sz w:val="22"/>
          <w:szCs w:val="22"/>
        </w:rPr>
        <w:t>pro jejich převod mezi fondy/kategoriemi regionů</w:t>
      </w:r>
      <w:r w:rsidR="00282C7A" w:rsidRPr="008C6299">
        <w:rPr>
          <w:sz w:val="22"/>
          <w:szCs w:val="22"/>
        </w:rPr>
        <w:t>, které by ČR přinesly větší manévrovací prostor po celou dobu implementace (i z důvodů toho, že nelze s přesností předem</w:t>
      </w:r>
      <w:r w:rsidR="005A146B">
        <w:rPr>
          <w:sz w:val="22"/>
          <w:szCs w:val="22"/>
        </w:rPr>
        <w:t xml:space="preserve"> u</w:t>
      </w:r>
      <w:r w:rsidR="00311975">
        <w:rPr>
          <w:sz w:val="22"/>
          <w:szCs w:val="22"/>
        </w:rPr>
        <w:t>r</w:t>
      </w:r>
      <w:r w:rsidR="005A146B">
        <w:rPr>
          <w:sz w:val="22"/>
          <w:szCs w:val="22"/>
        </w:rPr>
        <w:t>čit</w:t>
      </w:r>
      <w:r w:rsidR="00311975">
        <w:rPr>
          <w:sz w:val="22"/>
          <w:szCs w:val="22"/>
        </w:rPr>
        <w:t xml:space="preserve"> předem</w:t>
      </w:r>
      <w:r w:rsidR="00282C7A" w:rsidRPr="008C6299">
        <w:rPr>
          <w:sz w:val="22"/>
          <w:szCs w:val="22"/>
        </w:rPr>
        <w:t>, jak se ekonomika zachová, zda bude poptávka po oblastech v takové výši, jak byla zamýšlena na počátku, apod.)</w:t>
      </w:r>
      <w:r w:rsidRPr="008C6299">
        <w:rPr>
          <w:sz w:val="22"/>
          <w:szCs w:val="22"/>
        </w:rPr>
        <w:t>.</w:t>
      </w:r>
      <w:r w:rsidR="0019140D" w:rsidRPr="008C6299">
        <w:rPr>
          <w:sz w:val="22"/>
          <w:szCs w:val="22"/>
        </w:rPr>
        <w:t xml:space="preserve"> Jelikož pět uvedených politických cílů neobsahuje některé z tematických (pod)oblastí NKR (např. oblast veřejné správy), usiluje ČR ve vyjednávání o tematické rozšíření těchto politických cílů, definovaných v návrhu nařízení pro EU fondy.</w:t>
      </w:r>
    </w:p>
    <w:p w:rsidR="003F065E" w:rsidRPr="00274B52" w:rsidRDefault="003F065E" w:rsidP="003F065E">
      <w:pPr>
        <w:spacing w:after="120"/>
        <w:rPr>
          <w:rFonts w:eastAsia="Arial"/>
          <w:sz w:val="22"/>
          <w:szCs w:val="22"/>
        </w:rPr>
      </w:pPr>
      <w:r w:rsidRPr="00274B52">
        <w:rPr>
          <w:rFonts w:eastAsia="Arial"/>
          <w:sz w:val="22"/>
          <w:szCs w:val="22"/>
          <w:lang w:eastAsia="x-none"/>
        </w:rPr>
        <w:t xml:space="preserve">V současném programovém období 2014-2020 spadaly všechny regiony v České republice (s výjimkou Prahy) do kategorie méně vyspělých regionů, tj. s HDP na obyv. do 75 % průměru EU. Díky dobrým hospodářským výsledkům ČR a jejich regionů však pro budoucí programové období na roky 2021-2027 některé z regionů přejdou do kategorie tzv. </w:t>
      </w:r>
      <w:r w:rsidRPr="002C1AD5">
        <w:rPr>
          <w:rFonts w:eastAsia="Arial"/>
          <w:sz w:val="22"/>
          <w:szCs w:val="22"/>
          <w:lang w:eastAsia="x-none"/>
        </w:rPr>
        <w:t>přechodových (tranzitivních) regionů</w:t>
      </w:r>
      <w:r w:rsidRPr="00274B52">
        <w:rPr>
          <w:rFonts w:eastAsia="Arial"/>
          <w:sz w:val="22"/>
          <w:szCs w:val="22"/>
          <w:lang w:eastAsia="x-none"/>
        </w:rPr>
        <w:t xml:space="preserve">, </w:t>
      </w:r>
      <w:r w:rsidR="005A146B">
        <w:rPr>
          <w:rFonts w:eastAsia="Arial"/>
          <w:sz w:val="22"/>
          <w:szCs w:val="22"/>
          <w:lang w:eastAsia="x-none"/>
        </w:rPr>
        <w:t>které mají</w:t>
      </w:r>
      <w:r w:rsidRPr="00274B52">
        <w:rPr>
          <w:rFonts w:eastAsia="Arial"/>
          <w:sz w:val="22"/>
          <w:szCs w:val="22"/>
          <w:lang w:eastAsia="x-none"/>
        </w:rPr>
        <w:t xml:space="preserve"> s průměrný HDP na obyv. mezi 75 % - 100 % průměru EU. </w:t>
      </w:r>
    </w:p>
    <w:p w:rsidR="003F065E" w:rsidRDefault="003F065E" w:rsidP="003F065E">
      <w:pPr>
        <w:spacing w:before="0" w:after="120" w:line="269" w:lineRule="auto"/>
        <w:rPr>
          <w:rFonts w:eastAsia="Arial"/>
          <w:sz w:val="22"/>
          <w:szCs w:val="22"/>
          <w:lang w:eastAsia="x-none"/>
        </w:rPr>
      </w:pPr>
      <w:r w:rsidRPr="00274B52">
        <w:rPr>
          <w:rFonts w:eastAsia="Arial"/>
          <w:sz w:val="22"/>
          <w:szCs w:val="22"/>
          <w:lang w:eastAsia="x-none"/>
        </w:rPr>
        <w:t xml:space="preserve">Jak vyplývá z níže uvedené tabulky, regiony Moravskoslezsko a Severovýchod postupně konvergují k průměru EU, nicméně nadále zůstávají pod hranicí </w:t>
      </w:r>
      <w:r w:rsidRPr="00590FD1">
        <w:rPr>
          <w:rFonts w:eastAsia="Arial"/>
          <w:sz w:val="22"/>
          <w:szCs w:val="22"/>
          <w:u w:val="single"/>
          <w:lang w:eastAsia="x-none"/>
        </w:rPr>
        <w:t>75 % průměru EU27</w:t>
      </w:r>
      <w:r w:rsidRPr="00274B52">
        <w:rPr>
          <w:rFonts w:eastAsia="Arial"/>
          <w:sz w:val="22"/>
          <w:szCs w:val="22"/>
          <w:lang w:eastAsia="x-none"/>
        </w:rPr>
        <w:t xml:space="preserve">. Pro období 2021-2027 tedy zůstanou </w:t>
      </w:r>
      <w:r w:rsidRPr="00A21372">
        <w:rPr>
          <w:rFonts w:eastAsia="Arial"/>
          <w:b/>
          <w:sz w:val="22"/>
          <w:szCs w:val="22"/>
          <w:lang w:eastAsia="x-none"/>
        </w:rPr>
        <w:t>méně rozvinutými regiony</w:t>
      </w:r>
      <w:r w:rsidRPr="00274B52">
        <w:rPr>
          <w:rFonts w:eastAsia="Arial"/>
          <w:sz w:val="22"/>
          <w:szCs w:val="22"/>
          <w:lang w:eastAsia="x-none"/>
        </w:rPr>
        <w:t xml:space="preserve"> s mírou evropského spolufinancování (dle návrhu Komise) ve výši 70 %</w:t>
      </w:r>
      <w:r w:rsidR="00A21372">
        <w:rPr>
          <w:rFonts w:eastAsia="Arial"/>
          <w:sz w:val="22"/>
          <w:szCs w:val="22"/>
          <w:lang w:eastAsia="x-none"/>
        </w:rPr>
        <w:t>, stejně tak jako region Severozápad a</w:t>
      </w:r>
      <w:r w:rsidR="00D223A9">
        <w:rPr>
          <w:rFonts w:eastAsia="Arial"/>
          <w:sz w:val="22"/>
          <w:szCs w:val="22"/>
          <w:lang w:eastAsia="x-none"/>
        </w:rPr>
        <w:t> </w:t>
      </w:r>
      <w:r w:rsidR="00A21372">
        <w:rPr>
          <w:rFonts w:eastAsia="Arial"/>
          <w:sz w:val="22"/>
          <w:szCs w:val="22"/>
          <w:lang w:eastAsia="x-none"/>
        </w:rPr>
        <w:t xml:space="preserve">Střední Morava. Praha nadále zůstává tzv. </w:t>
      </w:r>
      <w:r w:rsidR="00A21372" w:rsidRPr="002C1AD5">
        <w:rPr>
          <w:rFonts w:eastAsia="Arial"/>
          <w:b/>
          <w:sz w:val="22"/>
          <w:szCs w:val="22"/>
          <w:lang w:eastAsia="x-none"/>
        </w:rPr>
        <w:t>více rozvinutým regionem</w:t>
      </w:r>
      <w:r w:rsidR="00A21372">
        <w:rPr>
          <w:rFonts w:eastAsia="Arial"/>
          <w:sz w:val="22"/>
          <w:szCs w:val="22"/>
          <w:lang w:eastAsia="x-none"/>
        </w:rPr>
        <w:t xml:space="preserve"> s mírou evropského spolufinancování</w:t>
      </w:r>
      <w:r w:rsidR="002C1AD5">
        <w:rPr>
          <w:rFonts w:eastAsia="Arial"/>
          <w:sz w:val="22"/>
          <w:szCs w:val="22"/>
          <w:lang w:eastAsia="x-none"/>
        </w:rPr>
        <w:t xml:space="preserve"> ve výši 40</w:t>
      </w:r>
      <w:r w:rsidR="003C45CE">
        <w:rPr>
          <w:rFonts w:eastAsia="Arial"/>
          <w:sz w:val="22"/>
          <w:szCs w:val="22"/>
          <w:lang w:eastAsia="x-none"/>
        </w:rPr>
        <w:t xml:space="preserve"> </w:t>
      </w:r>
      <w:r w:rsidR="00A21372">
        <w:rPr>
          <w:rFonts w:eastAsia="Arial"/>
          <w:sz w:val="22"/>
          <w:szCs w:val="22"/>
          <w:lang w:eastAsia="x-none"/>
        </w:rPr>
        <w:t>%.</w:t>
      </w:r>
      <w:r w:rsidR="002C1AD5">
        <w:rPr>
          <w:rFonts w:eastAsia="Arial"/>
          <w:sz w:val="22"/>
          <w:szCs w:val="22"/>
          <w:lang w:eastAsia="x-none"/>
        </w:rPr>
        <w:t xml:space="preserve"> Ostatní tzv. přechodové regiony mají navrženu míru evropského spolufinancování ve výši 55 %.</w:t>
      </w:r>
    </w:p>
    <w:p w:rsidR="000845BD" w:rsidRDefault="000845BD" w:rsidP="003F065E">
      <w:pPr>
        <w:spacing w:before="0" w:after="120" w:line="269" w:lineRule="auto"/>
        <w:rPr>
          <w:rFonts w:eastAsia="Arial"/>
          <w:sz w:val="22"/>
          <w:szCs w:val="22"/>
        </w:rPr>
      </w:pPr>
    </w:p>
    <w:p w:rsidR="000845BD" w:rsidRDefault="000845BD" w:rsidP="003F065E">
      <w:pPr>
        <w:spacing w:before="0" w:after="120" w:line="269" w:lineRule="auto"/>
        <w:rPr>
          <w:rFonts w:eastAsia="Arial"/>
          <w:sz w:val="22"/>
          <w:szCs w:val="22"/>
        </w:rPr>
      </w:pPr>
    </w:p>
    <w:p w:rsidR="000845BD" w:rsidRPr="00590FD1" w:rsidRDefault="00B65759" w:rsidP="00590FD1">
      <w:pPr>
        <w:spacing w:before="0" w:line="269" w:lineRule="auto"/>
        <w:rPr>
          <w:rFonts w:eastAsia="Arial"/>
          <w:i/>
          <w:sz w:val="22"/>
          <w:szCs w:val="22"/>
        </w:rPr>
      </w:pPr>
      <w:r>
        <w:rPr>
          <w:rFonts w:eastAsia="Arial"/>
          <w:i/>
          <w:sz w:val="22"/>
          <w:szCs w:val="22"/>
        </w:rPr>
        <w:t xml:space="preserve">Tabulka: </w:t>
      </w:r>
      <w:r w:rsidR="00BA7DE2" w:rsidRPr="00590FD1">
        <w:rPr>
          <w:rFonts w:eastAsia="Arial"/>
          <w:i/>
          <w:sz w:val="22"/>
          <w:szCs w:val="22"/>
        </w:rPr>
        <w:t>HDP na obyvatele vztažené k průměru EU27 v českých regionech NUTS II a ČR v letech 2014 až 2017</w:t>
      </w:r>
    </w:p>
    <w:tbl>
      <w:tblPr>
        <w:tblW w:w="9072" w:type="dxa"/>
        <w:tblInd w:w="70" w:type="dxa"/>
        <w:tblCellMar>
          <w:left w:w="70" w:type="dxa"/>
          <w:right w:w="70" w:type="dxa"/>
        </w:tblCellMar>
        <w:tblLook w:val="04A0" w:firstRow="1" w:lastRow="0" w:firstColumn="1" w:lastColumn="0" w:noHBand="0" w:noVBand="1"/>
      </w:tblPr>
      <w:tblGrid>
        <w:gridCol w:w="3748"/>
        <w:gridCol w:w="708"/>
        <w:gridCol w:w="709"/>
        <w:gridCol w:w="709"/>
        <w:gridCol w:w="709"/>
        <w:gridCol w:w="1134"/>
        <w:gridCol w:w="1355"/>
      </w:tblGrid>
      <w:tr w:rsidR="003F065E" w:rsidRPr="00DB5DD8" w:rsidTr="00C02894">
        <w:trPr>
          <w:trHeight w:val="300"/>
        </w:trPr>
        <w:tc>
          <w:tcPr>
            <w:tcW w:w="3748" w:type="dxa"/>
            <w:tcBorders>
              <w:top w:val="single" w:sz="8" w:space="0" w:color="auto"/>
              <w:left w:val="single" w:sz="8" w:space="0" w:color="auto"/>
              <w:bottom w:val="single" w:sz="8" w:space="0" w:color="auto"/>
              <w:right w:val="single" w:sz="8" w:space="0" w:color="auto"/>
            </w:tcBorders>
            <w:shd w:val="clear" w:color="auto" w:fill="365F91" w:themeFill="accent1" w:themeFillShade="BF"/>
            <w:noWrap/>
            <w:vAlign w:val="bottom"/>
            <w:hideMark/>
          </w:tcPr>
          <w:p w:rsidR="003F065E" w:rsidRPr="00062678" w:rsidRDefault="003F065E" w:rsidP="003F065E">
            <w:pPr>
              <w:spacing w:before="60" w:after="60" w:line="240" w:lineRule="auto"/>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HDP/obyv. průměru EU27 (PPS, %)</w:t>
            </w:r>
          </w:p>
        </w:tc>
        <w:tc>
          <w:tcPr>
            <w:tcW w:w="708" w:type="dxa"/>
            <w:tcBorders>
              <w:top w:val="single" w:sz="8" w:space="0" w:color="auto"/>
              <w:left w:val="nil"/>
              <w:bottom w:val="single" w:sz="8" w:space="0" w:color="auto"/>
              <w:right w:val="single" w:sz="4" w:space="0" w:color="000000" w:themeColor="text1"/>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2014</w:t>
            </w:r>
          </w:p>
        </w:tc>
        <w:tc>
          <w:tcPr>
            <w:tcW w:w="709" w:type="dxa"/>
            <w:tcBorders>
              <w:top w:val="single" w:sz="8" w:space="0" w:color="auto"/>
              <w:left w:val="nil"/>
              <w:bottom w:val="single" w:sz="8" w:space="0" w:color="auto"/>
              <w:right w:val="single" w:sz="4" w:space="0" w:color="000000" w:themeColor="text1"/>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2015</w:t>
            </w:r>
          </w:p>
        </w:tc>
        <w:tc>
          <w:tcPr>
            <w:tcW w:w="709" w:type="dxa"/>
            <w:tcBorders>
              <w:top w:val="single" w:sz="8" w:space="0" w:color="auto"/>
              <w:left w:val="nil"/>
              <w:bottom w:val="single" w:sz="8" w:space="0" w:color="auto"/>
              <w:right w:val="single" w:sz="4" w:space="0" w:color="000000" w:themeColor="text1"/>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2016</w:t>
            </w:r>
          </w:p>
        </w:tc>
        <w:tc>
          <w:tcPr>
            <w:tcW w:w="709" w:type="dxa"/>
            <w:tcBorders>
              <w:top w:val="single" w:sz="8" w:space="0" w:color="auto"/>
              <w:left w:val="nil"/>
              <w:bottom w:val="single" w:sz="8" w:space="0" w:color="auto"/>
              <w:right w:val="nil"/>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2017</w:t>
            </w:r>
          </w:p>
        </w:tc>
        <w:tc>
          <w:tcPr>
            <w:tcW w:w="1134" w:type="dxa"/>
            <w:tcBorders>
              <w:top w:val="single" w:sz="8" w:space="0" w:color="auto"/>
              <w:left w:val="single" w:sz="4" w:space="0" w:color="auto"/>
              <w:bottom w:val="single" w:sz="8" w:space="0" w:color="auto"/>
              <w:right w:val="single" w:sz="4" w:space="0" w:color="auto"/>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2014-2016</w:t>
            </w:r>
          </w:p>
        </w:tc>
        <w:tc>
          <w:tcPr>
            <w:tcW w:w="1355" w:type="dxa"/>
            <w:tcBorders>
              <w:top w:val="single" w:sz="8" w:space="0" w:color="auto"/>
              <w:left w:val="nil"/>
              <w:bottom w:val="single" w:sz="8" w:space="0" w:color="auto"/>
              <w:right w:val="single" w:sz="8" w:space="0" w:color="auto"/>
            </w:tcBorders>
            <w:shd w:val="clear" w:color="auto" w:fill="365F91" w:themeFill="accent1" w:themeFillShade="BF"/>
            <w:noWrap/>
            <w:vAlign w:val="bottom"/>
            <w:hideMark/>
          </w:tcPr>
          <w:p w:rsidR="003F065E" w:rsidRPr="00062678" w:rsidRDefault="003F065E" w:rsidP="00062678">
            <w:pPr>
              <w:spacing w:before="60" w:after="60" w:line="240" w:lineRule="auto"/>
              <w:jc w:val="right"/>
              <w:rPr>
                <w:rFonts w:eastAsia="Arial"/>
                <w:b/>
                <w:bCs/>
                <w:iCs/>
                <w:color w:val="DBE5F1" w:themeColor="accent1" w:themeTint="33"/>
                <w:sz w:val="19"/>
                <w:szCs w:val="19"/>
                <w:lang w:eastAsia="cs-CZ"/>
              </w:rPr>
            </w:pPr>
            <w:r w:rsidRPr="00062678">
              <w:rPr>
                <w:rFonts w:eastAsia="Arial"/>
                <w:b/>
                <w:bCs/>
                <w:iCs/>
                <w:color w:val="DBE5F1" w:themeColor="accent1" w:themeTint="33"/>
                <w:sz w:val="19"/>
                <w:szCs w:val="19"/>
                <w:lang w:eastAsia="cs-CZ"/>
              </w:rPr>
              <w:t>2015-2017</w:t>
            </w:r>
          </w:p>
        </w:tc>
      </w:tr>
      <w:tr w:rsidR="003F065E" w:rsidRPr="00DB5DD8" w:rsidTr="00C02894">
        <w:trPr>
          <w:trHeight w:val="300"/>
        </w:trPr>
        <w:tc>
          <w:tcPr>
            <w:tcW w:w="3748" w:type="dxa"/>
            <w:tcBorders>
              <w:top w:val="nil"/>
              <w:left w:val="single" w:sz="8" w:space="0" w:color="auto"/>
              <w:bottom w:val="single" w:sz="8" w:space="0" w:color="auto"/>
              <w:right w:val="single" w:sz="8" w:space="0" w:color="auto"/>
            </w:tcBorders>
            <w:shd w:val="clear" w:color="auto" w:fill="auto"/>
            <w:noWrap/>
            <w:hideMark/>
          </w:tcPr>
          <w:p w:rsidR="003F065E" w:rsidRPr="00274B52" w:rsidRDefault="003F065E" w:rsidP="003F065E">
            <w:pPr>
              <w:spacing w:before="60" w:after="60" w:line="240" w:lineRule="auto"/>
              <w:rPr>
                <w:rFonts w:eastAsia="Arial"/>
                <w:b/>
                <w:bCs/>
                <w:sz w:val="19"/>
                <w:szCs w:val="19"/>
                <w:lang w:eastAsia="cs-CZ"/>
              </w:rPr>
            </w:pPr>
            <w:r w:rsidRPr="00274B52">
              <w:rPr>
                <w:rFonts w:eastAsia="Arial"/>
                <w:b/>
                <w:bCs/>
                <w:sz w:val="19"/>
                <w:szCs w:val="19"/>
                <w:lang w:eastAsia="cs-CZ"/>
              </w:rPr>
              <w:t>EU27</w:t>
            </w:r>
          </w:p>
        </w:tc>
        <w:tc>
          <w:tcPr>
            <w:tcW w:w="708" w:type="dxa"/>
            <w:tcBorders>
              <w:top w:val="nil"/>
              <w:left w:val="nil"/>
              <w:bottom w:val="single" w:sz="8" w:space="0" w:color="auto"/>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w:t>
            </w:r>
          </w:p>
        </w:tc>
        <w:tc>
          <w:tcPr>
            <w:tcW w:w="709" w:type="dxa"/>
            <w:tcBorders>
              <w:top w:val="nil"/>
              <w:left w:val="nil"/>
              <w:bottom w:val="single" w:sz="8" w:space="0" w:color="auto"/>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w:t>
            </w:r>
          </w:p>
        </w:tc>
        <w:tc>
          <w:tcPr>
            <w:tcW w:w="709" w:type="dxa"/>
            <w:tcBorders>
              <w:top w:val="nil"/>
              <w:left w:val="nil"/>
              <w:bottom w:val="single" w:sz="8" w:space="0" w:color="auto"/>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w:t>
            </w:r>
          </w:p>
        </w:tc>
        <w:tc>
          <w:tcPr>
            <w:tcW w:w="709" w:type="dxa"/>
            <w:tcBorders>
              <w:top w:val="nil"/>
              <w:left w:val="nil"/>
              <w:bottom w:val="single" w:sz="8" w:space="0" w:color="auto"/>
              <w:right w:val="nil"/>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w:t>
            </w:r>
          </w:p>
        </w:tc>
        <w:tc>
          <w:tcPr>
            <w:tcW w:w="1134" w:type="dxa"/>
            <w:tcBorders>
              <w:top w:val="nil"/>
              <w:left w:val="single" w:sz="4" w:space="0" w:color="auto"/>
              <w:bottom w:val="single" w:sz="8" w:space="0" w:color="auto"/>
              <w:right w:val="single" w:sz="4" w:space="0" w:color="auto"/>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100,0</w:t>
            </w:r>
          </w:p>
        </w:tc>
        <w:tc>
          <w:tcPr>
            <w:tcW w:w="1355" w:type="dxa"/>
            <w:tcBorders>
              <w:top w:val="nil"/>
              <w:left w:val="nil"/>
              <w:bottom w:val="single" w:sz="8" w:space="0" w:color="auto"/>
              <w:right w:val="single" w:sz="8" w:space="0" w:color="auto"/>
            </w:tcBorders>
            <w:shd w:val="clear" w:color="auto" w:fill="auto"/>
            <w:noWrap/>
            <w:hideMark/>
          </w:tcPr>
          <w:p w:rsidR="003F065E" w:rsidRPr="00274B52" w:rsidRDefault="003F065E" w:rsidP="003F065E">
            <w:pPr>
              <w:spacing w:before="60" w:after="60" w:line="240" w:lineRule="auto"/>
              <w:jc w:val="right"/>
              <w:rPr>
                <w:rFonts w:eastAsia="Arial"/>
                <w:b/>
                <w:bCs/>
                <w:sz w:val="19"/>
                <w:szCs w:val="19"/>
                <w:lang w:eastAsia="cs-CZ"/>
              </w:rPr>
            </w:pPr>
            <w:r w:rsidRPr="00274B52">
              <w:rPr>
                <w:rFonts w:eastAsia="Arial"/>
                <w:b/>
                <w:bCs/>
                <w:sz w:val="19"/>
                <w:szCs w:val="19"/>
                <w:lang w:eastAsia="cs-CZ"/>
              </w:rPr>
              <w:t>100,0</w:t>
            </w:r>
          </w:p>
        </w:tc>
      </w:tr>
      <w:tr w:rsidR="003F065E" w:rsidRPr="00007A09" w:rsidTr="00C02894">
        <w:trPr>
          <w:trHeight w:val="285"/>
        </w:trPr>
        <w:tc>
          <w:tcPr>
            <w:tcW w:w="3748" w:type="dxa"/>
            <w:tcBorders>
              <w:top w:val="nil"/>
              <w:left w:val="single" w:sz="8" w:space="0" w:color="auto"/>
              <w:bottom w:val="single" w:sz="4" w:space="0" w:color="000000" w:themeColor="text1"/>
              <w:right w:val="single" w:sz="8" w:space="0" w:color="auto"/>
            </w:tcBorders>
            <w:shd w:val="clear" w:color="auto" w:fill="B8CCE4" w:themeFill="accent1" w:themeFillTint="66"/>
            <w:noWrap/>
            <w:hideMark/>
          </w:tcPr>
          <w:p w:rsidR="003F065E" w:rsidRPr="00A21372" w:rsidRDefault="003F065E" w:rsidP="003F065E">
            <w:pPr>
              <w:spacing w:before="60" w:after="60" w:line="240" w:lineRule="auto"/>
              <w:rPr>
                <w:rFonts w:eastAsia="Arial"/>
                <w:b/>
                <w:sz w:val="19"/>
                <w:szCs w:val="19"/>
                <w:lang w:eastAsia="cs-CZ"/>
              </w:rPr>
            </w:pPr>
            <w:r w:rsidRPr="00A21372">
              <w:rPr>
                <w:rFonts w:eastAsia="Arial"/>
                <w:b/>
                <w:sz w:val="19"/>
                <w:szCs w:val="19"/>
                <w:lang w:eastAsia="cs-CZ"/>
              </w:rPr>
              <w:t>Česká republika</w:t>
            </w:r>
          </w:p>
        </w:tc>
        <w:tc>
          <w:tcPr>
            <w:tcW w:w="708" w:type="dxa"/>
            <w:tcBorders>
              <w:top w:val="nil"/>
              <w:left w:val="nil"/>
              <w:bottom w:val="single" w:sz="4" w:space="0" w:color="000000" w:themeColor="text1"/>
              <w:right w:val="single" w:sz="4" w:space="0" w:color="000000" w:themeColor="text1"/>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87</w:t>
            </w:r>
          </w:p>
        </w:tc>
        <w:tc>
          <w:tcPr>
            <w:tcW w:w="709" w:type="dxa"/>
            <w:tcBorders>
              <w:top w:val="nil"/>
              <w:left w:val="nil"/>
              <w:bottom w:val="single" w:sz="4" w:space="0" w:color="000000" w:themeColor="text1"/>
              <w:right w:val="single" w:sz="4" w:space="0" w:color="000000" w:themeColor="text1"/>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88</w:t>
            </w:r>
          </w:p>
        </w:tc>
        <w:tc>
          <w:tcPr>
            <w:tcW w:w="709" w:type="dxa"/>
            <w:tcBorders>
              <w:top w:val="nil"/>
              <w:left w:val="nil"/>
              <w:bottom w:val="single" w:sz="4" w:space="0" w:color="000000" w:themeColor="text1"/>
              <w:right w:val="single" w:sz="4" w:space="0" w:color="000000" w:themeColor="text1"/>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88</w:t>
            </w:r>
          </w:p>
        </w:tc>
        <w:tc>
          <w:tcPr>
            <w:tcW w:w="709" w:type="dxa"/>
            <w:tcBorders>
              <w:top w:val="nil"/>
              <w:left w:val="nil"/>
              <w:bottom w:val="single" w:sz="4" w:space="0" w:color="000000" w:themeColor="text1"/>
              <w:right w:val="nil"/>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90</w:t>
            </w:r>
          </w:p>
        </w:tc>
        <w:tc>
          <w:tcPr>
            <w:tcW w:w="1134" w:type="dxa"/>
            <w:tcBorders>
              <w:top w:val="nil"/>
              <w:left w:val="single" w:sz="4" w:space="0" w:color="auto"/>
              <w:bottom w:val="single" w:sz="4" w:space="0" w:color="auto"/>
              <w:right w:val="single" w:sz="4" w:space="0" w:color="auto"/>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87,7</w:t>
            </w:r>
          </w:p>
        </w:tc>
        <w:tc>
          <w:tcPr>
            <w:tcW w:w="1355" w:type="dxa"/>
            <w:tcBorders>
              <w:top w:val="nil"/>
              <w:left w:val="nil"/>
              <w:bottom w:val="single" w:sz="4" w:space="0" w:color="auto"/>
              <w:right w:val="single" w:sz="8" w:space="0" w:color="auto"/>
            </w:tcBorders>
            <w:shd w:val="clear" w:color="auto" w:fill="B8CCE4" w:themeFill="accent1" w:themeFillTint="66"/>
            <w:noWrap/>
            <w:hideMark/>
          </w:tcPr>
          <w:p w:rsidR="003F065E" w:rsidRPr="00A21372" w:rsidRDefault="003F065E" w:rsidP="003F065E">
            <w:pPr>
              <w:spacing w:before="60" w:after="60" w:line="240" w:lineRule="auto"/>
              <w:jc w:val="right"/>
              <w:rPr>
                <w:rFonts w:eastAsia="Arial"/>
                <w:b/>
                <w:sz w:val="19"/>
                <w:szCs w:val="19"/>
                <w:lang w:eastAsia="cs-CZ"/>
              </w:rPr>
            </w:pPr>
            <w:r w:rsidRPr="00A21372">
              <w:rPr>
                <w:rFonts w:eastAsia="Arial"/>
                <w:b/>
                <w:sz w:val="19"/>
                <w:szCs w:val="19"/>
                <w:lang w:eastAsia="cs-CZ"/>
              </w:rPr>
              <w:t>88,7</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Praha</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177</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185</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185</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189</w:t>
            </w:r>
          </w:p>
        </w:tc>
        <w:tc>
          <w:tcPr>
            <w:tcW w:w="1134" w:type="dxa"/>
            <w:tcBorders>
              <w:top w:val="nil"/>
              <w:left w:val="single" w:sz="4" w:space="0" w:color="auto"/>
              <w:bottom w:val="single" w:sz="4" w:space="0" w:color="auto"/>
              <w:right w:val="single" w:sz="4" w:space="0" w:color="auto"/>
            </w:tcBorders>
            <w:shd w:val="clear" w:color="auto" w:fill="92D05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182,3</w:t>
            </w:r>
          </w:p>
        </w:tc>
        <w:tc>
          <w:tcPr>
            <w:tcW w:w="1355" w:type="dxa"/>
            <w:tcBorders>
              <w:top w:val="nil"/>
              <w:left w:val="nil"/>
              <w:bottom w:val="single" w:sz="4" w:space="0" w:color="auto"/>
              <w:right w:val="single" w:sz="8" w:space="0" w:color="auto"/>
            </w:tcBorders>
            <w:shd w:val="clear" w:color="auto" w:fill="92D05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186,3</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Střední Čechy</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80</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79</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84</w:t>
            </w:r>
          </w:p>
        </w:tc>
        <w:tc>
          <w:tcPr>
            <w:tcW w:w="1134" w:type="dxa"/>
            <w:tcBorders>
              <w:top w:val="nil"/>
              <w:left w:val="single" w:sz="4" w:space="0" w:color="auto"/>
              <w:bottom w:val="single" w:sz="4" w:space="0" w:color="auto"/>
              <w:right w:val="single" w:sz="4"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80,3</w:t>
            </w:r>
          </w:p>
        </w:tc>
        <w:tc>
          <w:tcPr>
            <w:tcW w:w="1355" w:type="dxa"/>
            <w:tcBorders>
              <w:top w:val="nil"/>
              <w:left w:val="nil"/>
              <w:bottom w:val="single" w:sz="4" w:space="0" w:color="auto"/>
              <w:right w:val="single" w:sz="8"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81,7</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Jihozápad</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78</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77</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78</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78</w:t>
            </w:r>
          </w:p>
        </w:tc>
        <w:tc>
          <w:tcPr>
            <w:tcW w:w="1134" w:type="dxa"/>
            <w:tcBorders>
              <w:top w:val="nil"/>
              <w:left w:val="single" w:sz="4" w:space="0" w:color="auto"/>
              <w:bottom w:val="single" w:sz="4" w:space="0" w:color="auto"/>
              <w:right w:val="single" w:sz="4"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77,7</w:t>
            </w:r>
          </w:p>
        </w:tc>
        <w:tc>
          <w:tcPr>
            <w:tcW w:w="1355" w:type="dxa"/>
            <w:tcBorders>
              <w:top w:val="nil"/>
              <w:left w:val="nil"/>
              <w:bottom w:val="single" w:sz="4" w:space="0" w:color="auto"/>
              <w:right w:val="single" w:sz="8"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77,7</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Severozápad</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64</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65</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63</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64</w:t>
            </w:r>
          </w:p>
        </w:tc>
        <w:tc>
          <w:tcPr>
            <w:tcW w:w="1134" w:type="dxa"/>
            <w:tcBorders>
              <w:top w:val="nil"/>
              <w:left w:val="single" w:sz="4" w:space="0" w:color="auto"/>
              <w:bottom w:val="single" w:sz="4" w:space="0" w:color="auto"/>
              <w:right w:val="single" w:sz="4"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64,0</w:t>
            </w:r>
          </w:p>
        </w:tc>
        <w:tc>
          <w:tcPr>
            <w:tcW w:w="1355" w:type="dxa"/>
            <w:tcBorders>
              <w:top w:val="nil"/>
              <w:left w:val="nil"/>
              <w:bottom w:val="single" w:sz="4" w:space="0" w:color="auto"/>
              <w:right w:val="single" w:sz="8"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64,0</w:t>
            </w:r>
          </w:p>
        </w:tc>
      </w:tr>
      <w:tr w:rsidR="003F065E" w:rsidRPr="003265B4"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Severovýchod</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73</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76</w:t>
            </w:r>
          </w:p>
        </w:tc>
        <w:tc>
          <w:tcPr>
            <w:tcW w:w="1134" w:type="dxa"/>
            <w:tcBorders>
              <w:top w:val="nil"/>
              <w:left w:val="single" w:sz="4" w:space="0" w:color="auto"/>
              <w:bottom w:val="single" w:sz="4" w:space="0" w:color="auto"/>
              <w:right w:val="single" w:sz="4"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72,3</w:t>
            </w:r>
          </w:p>
        </w:tc>
        <w:tc>
          <w:tcPr>
            <w:tcW w:w="1355" w:type="dxa"/>
            <w:tcBorders>
              <w:top w:val="nil"/>
              <w:left w:val="nil"/>
              <w:bottom w:val="single" w:sz="4" w:space="0" w:color="auto"/>
              <w:right w:val="single" w:sz="8"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A21372">
              <w:rPr>
                <w:rFonts w:eastAsia="Arial"/>
                <w:sz w:val="19"/>
                <w:szCs w:val="19"/>
                <w:shd w:val="clear" w:color="auto" w:fill="FFC000"/>
                <w:lang w:eastAsia="cs-CZ"/>
              </w:rPr>
              <w:t>73,7</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Jihovýchod</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w:t>
            </w:r>
          </w:p>
        </w:tc>
        <w:tc>
          <w:tcPr>
            <w:tcW w:w="1134" w:type="dxa"/>
            <w:tcBorders>
              <w:top w:val="nil"/>
              <w:left w:val="single" w:sz="4" w:space="0" w:color="auto"/>
              <w:bottom w:val="single" w:sz="4" w:space="0" w:color="auto"/>
              <w:right w:val="single" w:sz="4"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82,0</w:t>
            </w:r>
          </w:p>
        </w:tc>
        <w:tc>
          <w:tcPr>
            <w:tcW w:w="1355" w:type="dxa"/>
            <w:tcBorders>
              <w:top w:val="nil"/>
              <w:left w:val="nil"/>
              <w:bottom w:val="single" w:sz="4" w:space="0" w:color="auto"/>
              <w:right w:val="single" w:sz="8" w:space="0" w:color="auto"/>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82,0</w:t>
            </w:r>
          </w:p>
        </w:tc>
      </w:tr>
      <w:tr w:rsidR="003F065E" w:rsidRPr="00007A09" w:rsidTr="00062678">
        <w:trPr>
          <w:trHeight w:val="285"/>
        </w:trPr>
        <w:tc>
          <w:tcPr>
            <w:tcW w:w="3748" w:type="dxa"/>
            <w:tcBorders>
              <w:top w:val="nil"/>
              <w:left w:val="single" w:sz="8" w:space="0" w:color="auto"/>
              <w:bottom w:val="single" w:sz="4" w:space="0" w:color="000000" w:themeColor="text1"/>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Střední Morava</w:t>
            </w:r>
          </w:p>
        </w:tc>
        <w:tc>
          <w:tcPr>
            <w:tcW w:w="708"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w:t>
            </w:r>
          </w:p>
        </w:tc>
        <w:tc>
          <w:tcPr>
            <w:tcW w:w="709" w:type="dxa"/>
            <w:tcBorders>
              <w:top w:val="nil"/>
              <w:left w:val="nil"/>
              <w:bottom w:val="single" w:sz="4" w:space="0" w:color="000000" w:themeColor="text1"/>
              <w:right w:val="single" w:sz="4" w:space="0" w:color="000000" w:themeColor="text1"/>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w:t>
            </w:r>
          </w:p>
        </w:tc>
        <w:tc>
          <w:tcPr>
            <w:tcW w:w="709" w:type="dxa"/>
            <w:tcBorders>
              <w:top w:val="nil"/>
              <w:left w:val="nil"/>
              <w:bottom w:val="single" w:sz="4" w:space="0" w:color="000000" w:themeColor="text1"/>
              <w:right w:val="nil"/>
            </w:tcBorders>
            <w:shd w:val="clear" w:color="auto" w:fill="auto"/>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74</w:t>
            </w:r>
          </w:p>
        </w:tc>
        <w:tc>
          <w:tcPr>
            <w:tcW w:w="1134" w:type="dxa"/>
            <w:tcBorders>
              <w:top w:val="nil"/>
              <w:left w:val="single" w:sz="4" w:space="0" w:color="auto"/>
              <w:bottom w:val="single" w:sz="4" w:space="0" w:color="auto"/>
              <w:right w:val="single" w:sz="4"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72,0</w:t>
            </w:r>
          </w:p>
        </w:tc>
        <w:tc>
          <w:tcPr>
            <w:tcW w:w="1355" w:type="dxa"/>
            <w:tcBorders>
              <w:top w:val="nil"/>
              <w:left w:val="nil"/>
              <w:bottom w:val="single" w:sz="4" w:space="0" w:color="auto"/>
              <w:right w:val="single" w:sz="8" w:space="0" w:color="auto"/>
            </w:tcBorders>
            <w:shd w:val="clear" w:color="auto" w:fill="FFC000"/>
            <w:noWrap/>
            <w:hideMark/>
          </w:tcPr>
          <w:p w:rsidR="003F065E" w:rsidRPr="00274B52" w:rsidRDefault="003F065E" w:rsidP="003F065E">
            <w:pPr>
              <w:spacing w:before="60" w:after="60" w:line="240" w:lineRule="auto"/>
              <w:jc w:val="right"/>
              <w:rPr>
                <w:rFonts w:eastAsia="Arial"/>
                <w:sz w:val="19"/>
                <w:szCs w:val="19"/>
                <w:lang w:eastAsia="cs-CZ"/>
              </w:rPr>
            </w:pPr>
            <w:r w:rsidRPr="00274B52">
              <w:rPr>
                <w:rFonts w:eastAsia="Arial"/>
                <w:sz w:val="19"/>
                <w:szCs w:val="19"/>
                <w:lang w:eastAsia="cs-CZ"/>
              </w:rPr>
              <w:t>72,7</w:t>
            </w:r>
          </w:p>
        </w:tc>
      </w:tr>
      <w:tr w:rsidR="003F065E" w:rsidRPr="00007A09" w:rsidTr="00062678">
        <w:trPr>
          <w:trHeight w:val="300"/>
        </w:trPr>
        <w:tc>
          <w:tcPr>
            <w:tcW w:w="3748" w:type="dxa"/>
            <w:tcBorders>
              <w:top w:val="nil"/>
              <w:left w:val="single" w:sz="8" w:space="0" w:color="auto"/>
              <w:bottom w:val="single" w:sz="8" w:space="0" w:color="auto"/>
              <w:right w:val="single" w:sz="8" w:space="0" w:color="auto"/>
            </w:tcBorders>
            <w:shd w:val="clear" w:color="auto" w:fill="DBE5F1" w:themeFill="accent1" w:themeFillTint="33"/>
            <w:noWrap/>
            <w:hideMark/>
          </w:tcPr>
          <w:p w:rsidR="003F065E" w:rsidRPr="00274B52" w:rsidRDefault="003F065E" w:rsidP="003F065E">
            <w:pPr>
              <w:spacing w:before="60" w:after="60" w:line="240" w:lineRule="auto"/>
              <w:rPr>
                <w:rFonts w:eastAsia="Arial"/>
                <w:sz w:val="19"/>
                <w:szCs w:val="19"/>
                <w:lang w:eastAsia="cs-CZ"/>
              </w:rPr>
            </w:pPr>
            <w:r w:rsidRPr="00274B52">
              <w:rPr>
                <w:rFonts w:eastAsia="Arial"/>
                <w:sz w:val="19"/>
                <w:szCs w:val="19"/>
                <w:lang w:eastAsia="cs-CZ"/>
              </w:rPr>
              <w:t>Moravskoslezsko</w:t>
            </w:r>
          </w:p>
        </w:tc>
        <w:tc>
          <w:tcPr>
            <w:tcW w:w="708" w:type="dxa"/>
            <w:tcBorders>
              <w:top w:val="nil"/>
              <w:left w:val="nil"/>
              <w:bottom w:val="single" w:sz="8" w:space="0" w:color="auto"/>
              <w:right w:val="single" w:sz="4" w:space="0" w:color="000000" w:themeColor="text1"/>
            </w:tcBorders>
            <w:shd w:val="clear" w:color="auto" w:fill="auto"/>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73</w:t>
            </w:r>
          </w:p>
        </w:tc>
        <w:tc>
          <w:tcPr>
            <w:tcW w:w="709" w:type="dxa"/>
            <w:tcBorders>
              <w:top w:val="nil"/>
              <w:left w:val="nil"/>
              <w:bottom w:val="single" w:sz="8" w:space="0" w:color="auto"/>
              <w:right w:val="single" w:sz="4" w:space="0" w:color="000000" w:themeColor="text1"/>
            </w:tcBorders>
            <w:shd w:val="clear" w:color="auto" w:fill="auto"/>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73</w:t>
            </w:r>
          </w:p>
        </w:tc>
        <w:tc>
          <w:tcPr>
            <w:tcW w:w="709" w:type="dxa"/>
            <w:tcBorders>
              <w:top w:val="nil"/>
              <w:left w:val="nil"/>
              <w:bottom w:val="single" w:sz="8" w:space="0" w:color="auto"/>
              <w:right w:val="single" w:sz="4" w:space="0" w:color="000000" w:themeColor="text1"/>
            </w:tcBorders>
            <w:shd w:val="clear" w:color="auto" w:fill="auto"/>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73</w:t>
            </w:r>
          </w:p>
        </w:tc>
        <w:tc>
          <w:tcPr>
            <w:tcW w:w="709" w:type="dxa"/>
            <w:tcBorders>
              <w:top w:val="nil"/>
              <w:left w:val="nil"/>
              <w:bottom w:val="single" w:sz="8" w:space="0" w:color="auto"/>
              <w:right w:val="nil"/>
            </w:tcBorders>
            <w:shd w:val="clear" w:color="auto" w:fill="auto"/>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74</w:t>
            </w:r>
          </w:p>
        </w:tc>
        <w:tc>
          <w:tcPr>
            <w:tcW w:w="1134" w:type="dxa"/>
            <w:tcBorders>
              <w:top w:val="nil"/>
              <w:left w:val="single" w:sz="4" w:space="0" w:color="auto"/>
              <w:bottom w:val="single" w:sz="8" w:space="0" w:color="auto"/>
              <w:right w:val="single" w:sz="4" w:space="0" w:color="auto"/>
            </w:tcBorders>
            <w:shd w:val="clear" w:color="auto" w:fill="FFC000"/>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73,0</w:t>
            </w:r>
          </w:p>
        </w:tc>
        <w:tc>
          <w:tcPr>
            <w:tcW w:w="1355" w:type="dxa"/>
            <w:tcBorders>
              <w:top w:val="nil"/>
              <w:left w:val="nil"/>
              <w:bottom w:val="single" w:sz="8" w:space="0" w:color="auto"/>
              <w:right w:val="single" w:sz="8" w:space="0" w:color="auto"/>
            </w:tcBorders>
            <w:shd w:val="clear" w:color="auto" w:fill="FFC000"/>
            <w:noWrap/>
            <w:hideMark/>
          </w:tcPr>
          <w:p w:rsidR="003F065E" w:rsidRPr="00A21372" w:rsidRDefault="003F065E" w:rsidP="003F065E">
            <w:pPr>
              <w:spacing w:before="60" w:after="60" w:line="240" w:lineRule="auto"/>
              <w:jc w:val="right"/>
              <w:rPr>
                <w:rFonts w:eastAsia="Arial"/>
                <w:bCs/>
                <w:sz w:val="19"/>
                <w:szCs w:val="19"/>
                <w:lang w:eastAsia="cs-CZ"/>
              </w:rPr>
            </w:pPr>
            <w:r w:rsidRPr="00A21372">
              <w:rPr>
                <w:rFonts w:eastAsia="Arial"/>
                <w:bCs/>
                <w:sz w:val="19"/>
                <w:szCs w:val="19"/>
                <w:lang w:eastAsia="cs-CZ"/>
              </w:rPr>
              <w:t>73,3</w:t>
            </w:r>
          </w:p>
        </w:tc>
      </w:tr>
    </w:tbl>
    <w:p w:rsidR="003F065E" w:rsidRPr="00274B52" w:rsidRDefault="003F065E" w:rsidP="00590FD1">
      <w:pPr>
        <w:spacing w:before="0"/>
        <w:rPr>
          <w:rFonts w:eastAsia="Arial"/>
          <w:i/>
          <w:iCs/>
          <w:sz w:val="18"/>
          <w:szCs w:val="18"/>
        </w:rPr>
      </w:pPr>
      <w:r w:rsidRPr="00274B52">
        <w:rPr>
          <w:rFonts w:eastAsia="Arial"/>
          <w:i/>
          <w:iCs/>
          <w:sz w:val="18"/>
          <w:szCs w:val="18"/>
        </w:rPr>
        <w:t>Zdroj: Eurostat</w:t>
      </w:r>
      <w:r w:rsidR="008A2F17">
        <w:rPr>
          <w:rFonts w:eastAsia="Arial"/>
          <w:i/>
          <w:iCs/>
          <w:sz w:val="18"/>
          <w:szCs w:val="18"/>
        </w:rPr>
        <w:t xml:space="preserve">, Pozn: návrh nařízení EK vychází z tříletého průměru </w:t>
      </w:r>
      <w:r w:rsidR="002A1F62">
        <w:rPr>
          <w:rFonts w:eastAsia="Arial"/>
          <w:i/>
          <w:iCs/>
          <w:sz w:val="18"/>
          <w:szCs w:val="18"/>
        </w:rPr>
        <w:t xml:space="preserve">zemí </w:t>
      </w:r>
      <w:r w:rsidR="008A2F17">
        <w:rPr>
          <w:rFonts w:eastAsia="Arial"/>
          <w:i/>
          <w:iCs/>
          <w:sz w:val="18"/>
          <w:szCs w:val="18"/>
        </w:rPr>
        <w:t>EU z let 2014-2016</w:t>
      </w:r>
      <w:r w:rsidR="002A1F62">
        <w:rPr>
          <w:rFonts w:eastAsia="Arial"/>
          <w:i/>
          <w:iCs/>
          <w:sz w:val="18"/>
          <w:szCs w:val="18"/>
        </w:rPr>
        <w:t xml:space="preserve"> dle Eurostatu</w:t>
      </w:r>
      <w:r w:rsidR="00062678">
        <w:rPr>
          <w:rFonts w:eastAsia="Arial"/>
          <w:i/>
          <w:iCs/>
          <w:sz w:val="18"/>
          <w:szCs w:val="18"/>
        </w:rPr>
        <w:t>.</w:t>
      </w:r>
    </w:p>
    <w:p w:rsidR="00053B1D" w:rsidRDefault="00053B1D" w:rsidP="00254F4C">
      <w:pPr>
        <w:pStyle w:val="Nadpis1"/>
        <w:numPr>
          <w:ilvl w:val="0"/>
          <w:numId w:val="9"/>
        </w:numPr>
        <w:spacing w:before="240" w:after="120" w:line="240" w:lineRule="auto"/>
        <w:ind w:left="357" w:hanging="357"/>
        <w:jc w:val="left"/>
      </w:pPr>
      <w:bookmarkStart w:id="66" w:name="_Toc7774222"/>
      <w:bookmarkStart w:id="67" w:name="_Toc13828218"/>
      <w:r w:rsidRPr="00F427D2">
        <w:t>NÁVRHOVÁ ČÁST</w:t>
      </w:r>
      <w:bookmarkEnd w:id="66"/>
      <w:bookmarkEnd w:id="67"/>
    </w:p>
    <w:p w:rsidR="00053B1D" w:rsidRPr="003D45AD" w:rsidRDefault="00053B1D" w:rsidP="00254F4C">
      <w:pPr>
        <w:pStyle w:val="Nadpis2"/>
        <w:numPr>
          <w:ilvl w:val="1"/>
          <w:numId w:val="9"/>
        </w:numPr>
        <w:spacing w:line="240" w:lineRule="auto"/>
        <w:ind w:left="425" w:hanging="431"/>
        <w:jc w:val="left"/>
      </w:pPr>
      <w:bookmarkStart w:id="68" w:name="_Toc13828219"/>
      <w:bookmarkStart w:id="69" w:name="_Toc7774223"/>
      <w:r>
        <w:t>Východiska</w:t>
      </w:r>
      <w:bookmarkEnd w:id="68"/>
      <w:r w:rsidRPr="00F427D2">
        <w:t xml:space="preserve"> </w:t>
      </w:r>
      <w:bookmarkEnd w:id="69"/>
    </w:p>
    <w:p w:rsidR="00053B1D" w:rsidRPr="0005558F" w:rsidRDefault="00053B1D" w:rsidP="00053B1D">
      <w:pPr>
        <w:rPr>
          <w:sz w:val="22"/>
          <w:szCs w:val="22"/>
        </w:rPr>
      </w:pPr>
      <w:r w:rsidRPr="0005558F">
        <w:rPr>
          <w:sz w:val="22"/>
          <w:szCs w:val="22"/>
        </w:rPr>
        <w:t>Vedle důrazu na makroekonomickou souvislost mezi stavem ekonomiky ČR a příspěvkem k jejímu celkovému zlepšení díky využití evropských fondů, bylo definováno celkem 1</w:t>
      </w:r>
      <w:r w:rsidR="00D223A9">
        <w:rPr>
          <w:sz w:val="22"/>
          <w:szCs w:val="22"/>
        </w:rPr>
        <w:t>1</w:t>
      </w:r>
      <w:r w:rsidRPr="0005558F">
        <w:rPr>
          <w:sz w:val="22"/>
          <w:szCs w:val="22"/>
        </w:rPr>
        <w:t xml:space="preserve"> tematických oblastí, na které by se měla soustředit pozornost při přípravě národních cílů ve vztahu k evropským strukturálním fondům.</w:t>
      </w:r>
    </w:p>
    <w:p w:rsidR="00CE0D12" w:rsidRDefault="00CE0D12" w:rsidP="00CE0D12">
      <w:pPr>
        <w:rPr>
          <w:sz w:val="22"/>
          <w:szCs w:val="22"/>
        </w:rPr>
      </w:pPr>
      <w:r w:rsidRPr="008D6BBC">
        <w:rPr>
          <w:sz w:val="22"/>
          <w:szCs w:val="22"/>
        </w:rPr>
        <w:t xml:space="preserve">V rámci přípravy návrhové části byly </w:t>
      </w:r>
      <w:r>
        <w:rPr>
          <w:sz w:val="22"/>
          <w:szCs w:val="22"/>
        </w:rPr>
        <w:t xml:space="preserve">ve spolupráci s věcnými garanty z řad rezortů </w:t>
      </w:r>
      <w:r w:rsidRPr="008D6BBC">
        <w:rPr>
          <w:sz w:val="22"/>
          <w:szCs w:val="22"/>
        </w:rPr>
        <w:t>zpracovány karty jednotlivých tematických podoblastí</w:t>
      </w:r>
      <w:r>
        <w:rPr>
          <w:sz w:val="22"/>
          <w:szCs w:val="22"/>
        </w:rPr>
        <w:t xml:space="preserve"> (celkem 4</w:t>
      </w:r>
      <w:r w:rsidR="00D00E75">
        <w:rPr>
          <w:sz w:val="22"/>
          <w:szCs w:val="22"/>
        </w:rPr>
        <w:t>3</w:t>
      </w:r>
      <w:r>
        <w:rPr>
          <w:sz w:val="22"/>
          <w:szCs w:val="22"/>
        </w:rPr>
        <w:t xml:space="preserve"> karet)</w:t>
      </w:r>
      <w:r w:rsidRPr="008D6BBC">
        <w:rPr>
          <w:sz w:val="22"/>
          <w:szCs w:val="22"/>
        </w:rPr>
        <w:t xml:space="preserve">, které věnovaly pozornost klíčovým problémům ve zmíněných </w:t>
      </w:r>
      <w:r w:rsidR="00435029">
        <w:rPr>
          <w:sz w:val="22"/>
          <w:szCs w:val="22"/>
        </w:rPr>
        <w:t>11</w:t>
      </w:r>
      <w:r w:rsidRPr="008D6BBC">
        <w:rPr>
          <w:sz w:val="22"/>
          <w:szCs w:val="22"/>
        </w:rPr>
        <w:t>tematických oblastech</w:t>
      </w:r>
      <w:r>
        <w:rPr>
          <w:sz w:val="22"/>
          <w:szCs w:val="22"/>
        </w:rPr>
        <w:t>. Karty a jejich obsah byly dále projedná</w:t>
      </w:r>
      <w:r w:rsidR="001B0532">
        <w:rPr>
          <w:sz w:val="22"/>
          <w:szCs w:val="22"/>
        </w:rPr>
        <w:t>vá</w:t>
      </w:r>
      <w:r>
        <w:rPr>
          <w:sz w:val="22"/>
          <w:szCs w:val="22"/>
        </w:rPr>
        <w:t xml:space="preserve">ny s územními, sociálními i dalšími partnery </w:t>
      </w:r>
      <w:r w:rsidR="001B0532">
        <w:rPr>
          <w:sz w:val="22"/>
          <w:szCs w:val="22"/>
        </w:rPr>
        <w:t xml:space="preserve">a to </w:t>
      </w:r>
      <w:r>
        <w:rPr>
          <w:sz w:val="22"/>
          <w:szCs w:val="22"/>
        </w:rPr>
        <w:t xml:space="preserve">v rámci </w:t>
      </w:r>
      <w:r w:rsidR="001B0532">
        <w:rPr>
          <w:sz w:val="22"/>
          <w:szCs w:val="22"/>
        </w:rPr>
        <w:t xml:space="preserve">relevantních </w:t>
      </w:r>
      <w:r w:rsidR="00264394">
        <w:rPr>
          <w:sz w:val="22"/>
          <w:szCs w:val="22"/>
        </w:rPr>
        <w:t>platforem Ministerstva pro místní rozvoj</w:t>
      </w:r>
      <w:r>
        <w:rPr>
          <w:sz w:val="22"/>
          <w:szCs w:val="22"/>
        </w:rPr>
        <w:t xml:space="preserve"> (Expertní skupina pro strategickou práci, Pracovní tým Rady hospodářské a sociální dohody, Meziregionální pracovní skupina, Expertní poradní skupina pro budoucnost politiky soudržnosti, ad.). Účelem karet tematických podoblastí bylo jednotlivá témata </w:t>
      </w:r>
      <w:r w:rsidR="00FA6E28">
        <w:rPr>
          <w:sz w:val="22"/>
          <w:szCs w:val="22"/>
        </w:rPr>
        <w:t>z</w:t>
      </w:r>
      <w:r>
        <w:rPr>
          <w:sz w:val="22"/>
          <w:szCs w:val="22"/>
        </w:rPr>
        <w:t xml:space="preserve">přesnit s ohledem na </w:t>
      </w:r>
      <w:r w:rsidR="001B0532">
        <w:rPr>
          <w:sz w:val="22"/>
          <w:szCs w:val="22"/>
        </w:rPr>
        <w:t xml:space="preserve">1) </w:t>
      </w:r>
      <w:r>
        <w:rPr>
          <w:sz w:val="22"/>
          <w:szCs w:val="22"/>
        </w:rPr>
        <w:t xml:space="preserve">vazbu cílů v dané podoblasti na problémy, které má podoblast v rámci budoucí podpory řešit; </w:t>
      </w:r>
      <w:r w:rsidR="001B0532">
        <w:rPr>
          <w:sz w:val="22"/>
          <w:szCs w:val="22"/>
        </w:rPr>
        <w:t xml:space="preserve">2) </w:t>
      </w:r>
      <w:r>
        <w:rPr>
          <w:sz w:val="22"/>
          <w:szCs w:val="22"/>
        </w:rPr>
        <w:t xml:space="preserve">efektivitu stávající podpory; </w:t>
      </w:r>
      <w:r w:rsidR="001B0532">
        <w:rPr>
          <w:sz w:val="22"/>
          <w:szCs w:val="22"/>
        </w:rPr>
        <w:t>3)</w:t>
      </w:r>
      <w:r>
        <w:rPr>
          <w:sz w:val="22"/>
          <w:szCs w:val="22"/>
        </w:rPr>
        <w:t xml:space="preserve"> identifikaci posunu oproti stávajícímu období, resp. popisu jakým způsobem podoblast reaguje na nové výzvy.</w:t>
      </w:r>
    </w:p>
    <w:p w:rsidR="00CE0D12" w:rsidRPr="008D6BBC" w:rsidRDefault="00CE0D12" w:rsidP="6A9D794E">
      <w:pPr>
        <w:rPr>
          <w:sz w:val="22"/>
          <w:szCs w:val="22"/>
        </w:rPr>
      </w:pPr>
      <w:r>
        <w:rPr>
          <w:sz w:val="22"/>
          <w:szCs w:val="22"/>
        </w:rPr>
        <w:t xml:space="preserve">Na základě Analýzy NKR byly </w:t>
      </w:r>
      <w:r w:rsidR="001B0532">
        <w:rPr>
          <w:sz w:val="22"/>
          <w:szCs w:val="22"/>
        </w:rPr>
        <w:t>ve spolupráci</w:t>
      </w:r>
      <w:r>
        <w:rPr>
          <w:sz w:val="22"/>
          <w:szCs w:val="22"/>
        </w:rPr>
        <w:t xml:space="preserve"> s věcnými gestory vybrány a rozpracovány následující </w:t>
      </w:r>
      <w:r w:rsidR="00D223A9">
        <w:rPr>
          <w:sz w:val="22"/>
          <w:szCs w:val="22"/>
        </w:rPr>
        <w:t xml:space="preserve">národní </w:t>
      </w:r>
      <w:r w:rsidR="004E5589">
        <w:rPr>
          <w:sz w:val="22"/>
          <w:szCs w:val="22"/>
        </w:rPr>
        <w:t>specifické cíle</w:t>
      </w:r>
      <w:r>
        <w:rPr>
          <w:sz w:val="22"/>
          <w:szCs w:val="22"/>
        </w:rPr>
        <w:t>:</w:t>
      </w:r>
    </w:p>
    <w:p w:rsidR="00053B1D" w:rsidRPr="008D6BBC" w:rsidRDefault="00053B1D" w:rsidP="00062678">
      <w:pPr>
        <w:spacing w:before="240"/>
        <w:rPr>
          <w:b/>
          <w:sz w:val="22"/>
          <w:szCs w:val="22"/>
        </w:rPr>
      </w:pPr>
      <w:r w:rsidRPr="008D6BBC">
        <w:rPr>
          <w:b/>
          <w:sz w:val="22"/>
          <w:szCs w:val="22"/>
        </w:rPr>
        <w:t>Trh práce a zaměstnanost</w:t>
      </w:r>
    </w:p>
    <w:p w:rsidR="00A719A3" w:rsidRDefault="00A719A3" w:rsidP="00254F4C">
      <w:pPr>
        <w:pStyle w:val="Odstavecseseznamem"/>
        <w:numPr>
          <w:ilvl w:val="0"/>
          <w:numId w:val="14"/>
        </w:numPr>
        <w:spacing w:before="40" w:after="80"/>
        <w:ind w:left="426" w:hanging="357"/>
        <w:contextualSpacing w:val="0"/>
        <w:rPr>
          <w:rFonts w:ascii="Arial" w:hAnsi="Arial"/>
          <w:sz w:val="22"/>
          <w:szCs w:val="22"/>
        </w:rPr>
      </w:pPr>
      <w:r w:rsidRPr="00A719A3">
        <w:rPr>
          <w:rFonts w:ascii="Arial" w:hAnsi="Arial"/>
          <w:sz w:val="22"/>
          <w:szCs w:val="22"/>
        </w:rPr>
        <w:t>Zvýšení účasti znevýhodněných skupin na trhu práce</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Modernizace institucí na trhu práce</w:t>
      </w:r>
    </w:p>
    <w:p w:rsidR="00A719A3" w:rsidRDefault="00DC5C56" w:rsidP="00254F4C">
      <w:pPr>
        <w:pStyle w:val="Odstavecseseznamem"/>
        <w:numPr>
          <w:ilvl w:val="0"/>
          <w:numId w:val="14"/>
        </w:numPr>
        <w:spacing w:before="40" w:after="80"/>
        <w:ind w:left="426" w:hanging="357"/>
        <w:contextualSpacing w:val="0"/>
        <w:rPr>
          <w:rFonts w:ascii="Arial" w:hAnsi="Arial"/>
          <w:sz w:val="22"/>
          <w:szCs w:val="22"/>
        </w:rPr>
      </w:pPr>
      <w:r w:rsidRPr="00F55D09">
        <w:rPr>
          <w:rFonts w:ascii="Arial" w:hAnsi="Arial"/>
          <w:sz w:val="22"/>
        </w:rPr>
        <w:t>Podpora rovnosti žen a mužů</w:t>
      </w:r>
      <w:r w:rsidDel="00DC5C56">
        <w:rPr>
          <w:rFonts w:ascii="Arial" w:hAnsi="Arial"/>
          <w:sz w:val="22"/>
        </w:rPr>
        <w:t xml:space="preserve"> </w:t>
      </w:r>
      <w:r w:rsidR="00A719A3" w:rsidRPr="00A719A3">
        <w:rPr>
          <w:rFonts w:ascii="Arial" w:hAnsi="Arial"/>
          <w:sz w:val="22"/>
          <w:szCs w:val="22"/>
        </w:rPr>
        <w:t>a slaďování pracovního a osobního života</w:t>
      </w:r>
    </w:p>
    <w:p w:rsidR="00A719A3" w:rsidRDefault="00A719A3" w:rsidP="00254F4C">
      <w:pPr>
        <w:pStyle w:val="Odstavecseseznamem"/>
        <w:numPr>
          <w:ilvl w:val="0"/>
          <w:numId w:val="14"/>
        </w:numPr>
        <w:spacing w:before="40" w:after="80"/>
        <w:ind w:left="426" w:hanging="357"/>
        <w:contextualSpacing w:val="0"/>
        <w:rPr>
          <w:rFonts w:ascii="Arial" w:hAnsi="Arial"/>
          <w:sz w:val="22"/>
          <w:szCs w:val="22"/>
        </w:rPr>
      </w:pPr>
      <w:r w:rsidRPr="00A719A3">
        <w:rPr>
          <w:rFonts w:ascii="Arial" w:hAnsi="Arial"/>
          <w:sz w:val="22"/>
          <w:szCs w:val="22"/>
        </w:rPr>
        <w:t>Fungující systém dalšího profesního vzdělávání</w:t>
      </w:r>
    </w:p>
    <w:p w:rsidR="00A719A3" w:rsidRPr="00A719A3" w:rsidRDefault="00A719A3" w:rsidP="00254F4C">
      <w:pPr>
        <w:pStyle w:val="Odstavecseseznamem"/>
        <w:numPr>
          <w:ilvl w:val="0"/>
          <w:numId w:val="14"/>
        </w:numPr>
        <w:spacing w:before="40" w:after="80"/>
        <w:ind w:left="426" w:hanging="357"/>
        <w:contextualSpacing w:val="0"/>
        <w:rPr>
          <w:rFonts w:ascii="Arial" w:hAnsi="Arial"/>
          <w:sz w:val="22"/>
          <w:szCs w:val="22"/>
        </w:rPr>
      </w:pPr>
      <w:r w:rsidRPr="00A719A3">
        <w:rPr>
          <w:rFonts w:ascii="Arial" w:hAnsi="Arial"/>
          <w:sz w:val="22"/>
          <w:szCs w:val="22"/>
        </w:rPr>
        <w:t>Podpora a využití pracovní mobility</w:t>
      </w:r>
    </w:p>
    <w:p w:rsidR="00062678" w:rsidRDefault="00062678">
      <w:pPr>
        <w:spacing w:before="0" w:line="240" w:lineRule="auto"/>
        <w:jc w:val="left"/>
        <w:rPr>
          <w:b/>
          <w:sz w:val="22"/>
          <w:szCs w:val="22"/>
        </w:rPr>
      </w:pPr>
      <w:r>
        <w:rPr>
          <w:b/>
          <w:sz w:val="22"/>
          <w:szCs w:val="22"/>
        </w:rPr>
        <w:br w:type="page"/>
      </w:r>
    </w:p>
    <w:p w:rsidR="00053B1D" w:rsidRPr="008D6BBC" w:rsidRDefault="00053B1D" w:rsidP="00062678">
      <w:pPr>
        <w:spacing w:before="240"/>
        <w:rPr>
          <w:b/>
          <w:sz w:val="22"/>
          <w:szCs w:val="22"/>
        </w:rPr>
      </w:pPr>
      <w:r w:rsidRPr="008D6BBC">
        <w:rPr>
          <w:b/>
          <w:sz w:val="22"/>
          <w:szCs w:val="22"/>
        </w:rPr>
        <w:t>Vzdělávání</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Zlepšení vzdělávacího systému s ohledem na moderní kompetence a potřeby trhu práce, mimo jiné s ohledem na digitalizaci průmyslu a společnosti</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Zajištění rovného přístupu ke vzdělání</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Zvýšení kompetencí a kvality pracovníků ve vzdělávání</w:t>
      </w:r>
    </w:p>
    <w:p w:rsidR="00053B1D" w:rsidRPr="008D6BBC" w:rsidRDefault="00053B1D" w:rsidP="00062678">
      <w:pPr>
        <w:spacing w:before="240"/>
        <w:rPr>
          <w:b/>
          <w:sz w:val="22"/>
          <w:szCs w:val="22"/>
        </w:rPr>
      </w:pPr>
      <w:r w:rsidRPr="008D6BBC">
        <w:rPr>
          <w:b/>
          <w:sz w:val="22"/>
          <w:szCs w:val="22"/>
        </w:rPr>
        <w:t>Sociální začleňování, boj s chudobou a péče o zdraví</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Sociální začleňování</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Sociální bydlení</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Klientsky orientované sociální služby</w:t>
      </w:r>
    </w:p>
    <w:p w:rsidR="00053B1D" w:rsidRPr="008D6BBC" w:rsidRDefault="00AF6460" w:rsidP="00254F4C">
      <w:pPr>
        <w:pStyle w:val="Odstavecseseznamem"/>
        <w:numPr>
          <w:ilvl w:val="0"/>
          <w:numId w:val="14"/>
        </w:numPr>
        <w:spacing w:before="40" w:after="80"/>
        <w:ind w:left="426" w:hanging="357"/>
        <w:contextualSpacing w:val="0"/>
        <w:rPr>
          <w:rFonts w:ascii="Arial" w:hAnsi="Arial"/>
          <w:sz w:val="22"/>
          <w:szCs w:val="22"/>
        </w:rPr>
      </w:pPr>
      <w:r w:rsidRPr="00095D3A">
        <w:rPr>
          <w:rFonts w:ascii="Arial" w:hAnsi="Arial"/>
          <w:sz w:val="22"/>
          <w:szCs w:val="22"/>
        </w:rPr>
        <w:t>Kvalitní a do</w:t>
      </w:r>
      <w:r w:rsidRPr="005C58A1">
        <w:rPr>
          <w:rFonts w:ascii="Arial" w:hAnsi="Arial"/>
          <w:sz w:val="22"/>
          <w:szCs w:val="22"/>
        </w:rPr>
        <w:t>stupná zdravotní péče</w:t>
      </w:r>
    </w:p>
    <w:p w:rsidR="00053B1D" w:rsidRPr="008D6BBC" w:rsidRDefault="00053B1D" w:rsidP="00062678">
      <w:pPr>
        <w:spacing w:before="240"/>
        <w:rPr>
          <w:b/>
          <w:sz w:val="22"/>
          <w:szCs w:val="22"/>
        </w:rPr>
      </w:pPr>
      <w:r w:rsidRPr="008D6BBC">
        <w:rPr>
          <w:b/>
          <w:sz w:val="22"/>
          <w:szCs w:val="22"/>
        </w:rPr>
        <w:t>Veřejná správa a bezpečnost</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Zefektivnění veřejné správy pro poskytování kvalitních služeb</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Ochrana obyvatelstva</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Elektronizace výkonu veřejné správy a zavedení související infrastruktury</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Účinné zabezpečení informačních a komunikačních systémů veřejné správy včetně složek IZS a adekvátní reakce na rostoucí kybernetické hrozby</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Digitalizace územního plánování (elektronizace a digitalizace agend stavebního práva)</w:t>
      </w:r>
    </w:p>
    <w:p w:rsidR="00053B1D" w:rsidRPr="008D6BBC" w:rsidRDefault="00053B1D" w:rsidP="00062678">
      <w:pPr>
        <w:spacing w:before="240"/>
        <w:rPr>
          <w:b/>
          <w:sz w:val="22"/>
          <w:szCs w:val="22"/>
        </w:rPr>
      </w:pPr>
      <w:r w:rsidRPr="008D6BBC">
        <w:rPr>
          <w:b/>
          <w:sz w:val="22"/>
          <w:szCs w:val="22"/>
        </w:rPr>
        <w:t>Výzkumný a inovační systém</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Zkvalitnění strategického řízení VaVaI</w:t>
      </w:r>
    </w:p>
    <w:p w:rsidR="00E577A3" w:rsidRDefault="00E577A3" w:rsidP="00254F4C">
      <w:pPr>
        <w:pStyle w:val="Odstavecseseznamem"/>
        <w:numPr>
          <w:ilvl w:val="0"/>
          <w:numId w:val="14"/>
        </w:numPr>
        <w:spacing w:before="40" w:after="80"/>
        <w:ind w:left="426" w:hanging="357"/>
        <w:contextualSpacing w:val="0"/>
        <w:rPr>
          <w:rFonts w:ascii="Arial" w:hAnsi="Arial"/>
          <w:sz w:val="22"/>
          <w:szCs w:val="22"/>
        </w:rPr>
      </w:pPr>
      <w:r w:rsidRPr="00E577A3">
        <w:rPr>
          <w:rFonts w:ascii="Arial" w:hAnsi="Arial"/>
          <w:sz w:val="22"/>
          <w:szCs w:val="22"/>
        </w:rPr>
        <w:t>Podpora inovac</w:t>
      </w:r>
      <w:r w:rsidR="00BE4B04">
        <w:rPr>
          <w:rFonts w:ascii="Arial" w:hAnsi="Arial"/>
          <w:sz w:val="22"/>
          <w:szCs w:val="22"/>
        </w:rPr>
        <w:t>í</w:t>
      </w:r>
      <w:r w:rsidRPr="00E577A3">
        <w:rPr>
          <w:rFonts w:ascii="Arial" w:hAnsi="Arial"/>
          <w:sz w:val="22"/>
          <w:szCs w:val="22"/>
        </w:rPr>
        <w:t xml:space="preserve"> prostřednictvím aplikovaného výzkumu a experimentálního vývoje</w:t>
      </w:r>
    </w:p>
    <w:p w:rsidR="00E577A3" w:rsidRPr="00A9356E" w:rsidRDefault="00E577A3" w:rsidP="00254F4C">
      <w:pPr>
        <w:pStyle w:val="Odstavecseseznamem"/>
        <w:numPr>
          <w:ilvl w:val="0"/>
          <w:numId w:val="14"/>
        </w:numPr>
        <w:spacing w:before="40" w:after="80"/>
        <w:ind w:left="426" w:hanging="357"/>
        <w:contextualSpacing w:val="0"/>
        <w:rPr>
          <w:rFonts w:ascii="Arial" w:hAnsi="Arial"/>
        </w:rPr>
      </w:pPr>
      <w:r w:rsidRPr="00A9356E">
        <w:rPr>
          <w:rFonts w:ascii="Arial" w:hAnsi="Arial"/>
          <w:sz w:val="22"/>
          <w:szCs w:val="22"/>
        </w:rPr>
        <w:t>Rozvoj zázemí pro kvalitní a relevantní výzkum</w:t>
      </w:r>
    </w:p>
    <w:p w:rsidR="00053B1D" w:rsidRPr="008D6BBC" w:rsidRDefault="00053B1D" w:rsidP="00062678">
      <w:pPr>
        <w:spacing w:before="240"/>
        <w:rPr>
          <w:b/>
          <w:sz w:val="22"/>
          <w:szCs w:val="22"/>
        </w:rPr>
      </w:pPr>
      <w:r w:rsidRPr="008D6BBC">
        <w:rPr>
          <w:b/>
          <w:sz w:val="22"/>
          <w:szCs w:val="22"/>
        </w:rPr>
        <w:t>Podpora podnikání a průmyslu</w:t>
      </w:r>
    </w:p>
    <w:p w:rsidR="001572B6" w:rsidRDefault="001572B6" w:rsidP="00254F4C">
      <w:pPr>
        <w:pStyle w:val="Odstavecseseznamem"/>
        <w:numPr>
          <w:ilvl w:val="0"/>
          <w:numId w:val="14"/>
        </w:numPr>
        <w:spacing w:before="40" w:after="80"/>
        <w:ind w:left="426" w:hanging="357"/>
        <w:contextualSpacing w:val="0"/>
        <w:rPr>
          <w:rFonts w:ascii="Arial" w:hAnsi="Arial"/>
          <w:sz w:val="22"/>
          <w:szCs w:val="22"/>
        </w:rPr>
      </w:pPr>
      <w:r w:rsidRPr="001572B6">
        <w:rPr>
          <w:rFonts w:ascii="Arial" w:hAnsi="Arial"/>
          <w:sz w:val="22"/>
          <w:szCs w:val="22"/>
        </w:rPr>
        <w:t>Zlepšení inovační schopnosti MSP</w:t>
      </w:r>
    </w:p>
    <w:p w:rsidR="001572B6" w:rsidRDefault="001572B6" w:rsidP="00254F4C">
      <w:pPr>
        <w:pStyle w:val="Odstavecseseznamem"/>
        <w:numPr>
          <w:ilvl w:val="0"/>
          <w:numId w:val="14"/>
        </w:numPr>
        <w:spacing w:before="40" w:after="80"/>
        <w:ind w:left="426" w:hanging="357"/>
        <w:contextualSpacing w:val="0"/>
        <w:rPr>
          <w:rFonts w:ascii="Arial" w:hAnsi="Arial"/>
          <w:sz w:val="22"/>
          <w:szCs w:val="22"/>
        </w:rPr>
      </w:pPr>
      <w:r w:rsidRPr="001572B6">
        <w:rPr>
          <w:rFonts w:ascii="Arial" w:hAnsi="Arial"/>
          <w:sz w:val="22"/>
          <w:szCs w:val="22"/>
        </w:rPr>
        <w:t>Zvýšení přidané hodnoty výrobků a služeb podniků v produkčním řetězci</w:t>
      </w:r>
    </w:p>
    <w:p w:rsidR="001572B6" w:rsidRDefault="001572B6" w:rsidP="00254F4C">
      <w:pPr>
        <w:pStyle w:val="Odstavecseseznamem"/>
        <w:numPr>
          <w:ilvl w:val="0"/>
          <w:numId w:val="14"/>
        </w:numPr>
        <w:spacing w:before="40" w:after="80"/>
        <w:ind w:left="426" w:hanging="357"/>
        <w:contextualSpacing w:val="0"/>
        <w:rPr>
          <w:rFonts w:ascii="Arial" w:hAnsi="Arial"/>
          <w:sz w:val="22"/>
          <w:szCs w:val="22"/>
        </w:rPr>
      </w:pPr>
      <w:r w:rsidRPr="001572B6">
        <w:rPr>
          <w:rFonts w:ascii="Arial" w:hAnsi="Arial"/>
          <w:sz w:val="22"/>
          <w:szCs w:val="22"/>
        </w:rPr>
        <w:t>Zavedení principů digitální ekonomiky a průmyslu 4.0 ve firmách</w:t>
      </w:r>
    </w:p>
    <w:p w:rsidR="00053B1D" w:rsidRPr="008D6BBC" w:rsidRDefault="00053B1D" w:rsidP="00062678">
      <w:pPr>
        <w:spacing w:before="240"/>
        <w:rPr>
          <w:b/>
          <w:sz w:val="22"/>
          <w:szCs w:val="22"/>
        </w:rPr>
      </w:pPr>
      <w:r w:rsidRPr="008D6BBC">
        <w:rPr>
          <w:b/>
          <w:sz w:val="22"/>
          <w:szCs w:val="22"/>
        </w:rPr>
        <w:t>Doprava</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Rozvoj a zkvalitnění dopravní infrastruktury</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Rozvoj a zlepšení integrace dopravy</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Zavedení moderních technologií pro organizaci dopravy a snížení dopravní zátěže</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Efektivní využití multimodální nákladní dopravy</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Zvýšení využití a dostupnosti alternativních paliv v</w:t>
      </w:r>
      <w:r>
        <w:rPr>
          <w:rFonts w:ascii="Arial" w:hAnsi="Arial"/>
          <w:sz w:val="22"/>
          <w:szCs w:val="22"/>
        </w:rPr>
        <w:t> </w:t>
      </w:r>
      <w:r w:rsidRPr="004E5589">
        <w:rPr>
          <w:rFonts w:ascii="Arial" w:hAnsi="Arial"/>
          <w:sz w:val="22"/>
          <w:szCs w:val="22"/>
        </w:rPr>
        <w:t>dopravě</w:t>
      </w:r>
    </w:p>
    <w:p w:rsidR="004E5589" w:rsidRPr="00A9356E" w:rsidRDefault="004E5589" w:rsidP="00254F4C">
      <w:pPr>
        <w:pStyle w:val="Odstavecseseznamem"/>
        <w:numPr>
          <w:ilvl w:val="0"/>
          <w:numId w:val="14"/>
        </w:numPr>
        <w:spacing w:before="40" w:after="80"/>
        <w:ind w:left="426" w:hanging="357"/>
        <w:contextualSpacing w:val="0"/>
        <w:rPr>
          <w:rFonts w:ascii="Arial" w:hAnsi="Arial"/>
          <w:sz w:val="22"/>
          <w:szCs w:val="22"/>
        </w:rPr>
      </w:pPr>
      <w:r w:rsidRPr="00A9356E">
        <w:rPr>
          <w:rFonts w:ascii="Arial" w:hAnsi="Arial"/>
          <w:sz w:val="22"/>
          <w:szCs w:val="22"/>
        </w:rPr>
        <w:t>Využívání vozidel s alternativním pohonem ve veřejné dopravě</w:t>
      </w:r>
    </w:p>
    <w:p w:rsidR="004E5589" w:rsidRPr="00A9356E"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Rozvoj bezmotorové dopravy</w:t>
      </w:r>
    </w:p>
    <w:p w:rsidR="00053B1D" w:rsidRPr="008D6BBC" w:rsidRDefault="00053B1D" w:rsidP="00062678">
      <w:pPr>
        <w:spacing w:before="240"/>
        <w:rPr>
          <w:b/>
          <w:sz w:val="22"/>
          <w:szCs w:val="22"/>
        </w:rPr>
      </w:pPr>
      <w:r w:rsidRPr="008D6BBC">
        <w:rPr>
          <w:b/>
          <w:sz w:val="22"/>
          <w:szCs w:val="22"/>
        </w:rPr>
        <w:t>Posun k nízkouhlíkovému hospodářství</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Modernizace a zefektivnění výroby, přenosu, přepravy, distribuce a akumulace energie</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Zavedení moderních a vysoce účinných způsobů výroby, distribuce a akumulace tepelné energie</w:t>
      </w:r>
    </w:p>
    <w:p w:rsidR="004E5589" w:rsidRDefault="004E5589" w:rsidP="00254F4C">
      <w:pPr>
        <w:pStyle w:val="Odstavecseseznamem"/>
        <w:numPr>
          <w:ilvl w:val="0"/>
          <w:numId w:val="14"/>
        </w:numPr>
        <w:spacing w:before="40" w:after="80"/>
        <w:ind w:left="426" w:hanging="357"/>
        <w:contextualSpacing w:val="0"/>
        <w:rPr>
          <w:rFonts w:ascii="Arial" w:hAnsi="Arial"/>
          <w:sz w:val="22"/>
          <w:szCs w:val="22"/>
        </w:rPr>
      </w:pPr>
      <w:r w:rsidRPr="004E5589">
        <w:rPr>
          <w:rFonts w:ascii="Arial" w:hAnsi="Arial"/>
          <w:sz w:val="22"/>
          <w:szCs w:val="22"/>
        </w:rPr>
        <w:t>Podpora vzniku a zavádění inovativních nízkouhlíkových technologií a efektivní a šetrné využívání obnovitelných zdrojů energie</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Zvyšování energetické účinnosti a úspory energie</w:t>
      </w:r>
    </w:p>
    <w:p w:rsidR="00053B1D" w:rsidRPr="008D6BBC" w:rsidRDefault="00053B1D" w:rsidP="00062678">
      <w:pPr>
        <w:spacing w:before="240"/>
        <w:rPr>
          <w:b/>
          <w:sz w:val="22"/>
          <w:szCs w:val="22"/>
        </w:rPr>
      </w:pPr>
      <w:r w:rsidRPr="008D6BBC">
        <w:rPr>
          <w:b/>
          <w:sz w:val="22"/>
          <w:szCs w:val="22"/>
        </w:rPr>
        <w:t>Ochrana životního prostředí a oběhové hospodářství</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Ochrana a péče o přírodu a krajinu</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Ochrana a zlepšení stavu vody a vodního hospodářství</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Zlepšení kvality ovzduší</w:t>
      </w:r>
    </w:p>
    <w:p w:rsidR="00053B1D" w:rsidRPr="008D6BB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Oběhové hospodářství, odpady a účinné využívání zdrojů</w:t>
      </w:r>
    </w:p>
    <w:p w:rsidR="00AF6460" w:rsidRPr="008D6BBC" w:rsidRDefault="00AF6460" w:rsidP="00254F4C">
      <w:pPr>
        <w:pStyle w:val="Odstavecseseznamem"/>
        <w:numPr>
          <w:ilvl w:val="0"/>
          <w:numId w:val="14"/>
        </w:numPr>
        <w:spacing w:before="40" w:after="80"/>
        <w:ind w:left="426" w:hanging="357"/>
        <w:contextualSpacing w:val="0"/>
        <w:rPr>
          <w:rFonts w:ascii="Arial" w:hAnsi="Arial"/>
          <w:sz w:val="22"/>
          <w:szCs w:val="22"/>
        </w:rPr>
      </w:pPr>
      <w:r w:rsidRPr="00A9356E">
        <w:rPr>
          <w:rFonts w:ascii="Arial" w:hAnsi="Arial"/>
          <w:sz w:val="22"/>
          <w:szCs w:val="22"/>
        </w:rPr>
        <w:t>Sanace míst s ekologickou zátěží a revitalizace brownfieldů</w:t>
      </w:r>
      <w:r w:rsidR="00463EF5">
        <w:rPr>
          <w:rFonts w:ascii="Arial" w:hAnsi="Arial"/>
          <w:sz w:val="22"/>
          <w:szCs w:val="22"/>
        </w:rPr>
        <w:t xml:space="preserve"> </w:t>
      </w:r>
      <w:r w:rsidR="00463EF5" w:rsidRPr="00590FD1">
        <w:rPr>
          <w:rFonts w:ascii="Arial" w:hAnsi="Arial"/>
          <w:sz w:val="22"/>
          <w:szCs w:val="22"/>
        </w:rPr>
        <w:t>a  přírodě blízké rekultivace částí krajiny narušených těžbou nerostných surovin  a souvisejícími aktivitami</w:t>
      </w:r>
    </w:p>
    <w:p w:rsidR="00AF6460" w:rsidRDefault="00AF6460" w:rsidP="00254F4C">
      <w:pPr>
        <w:pStyle w:val="Odstavecseseznamem"/>
        <w:numPr>
          <w:ilvl w:val="0"/>
          <w:numId w:val="14"/>
        </w:numPr>
        <w:spacing w:before="40" w:after="80"/>
        <w:ind w:left="426" w:hanging="357"/>
        <w:contextualSpacing w:val="0"/>
        <w:rPr>
          <w:rFonts w:ascii="Arial" w:hAnsi="Arial"/>
          <w:sz w:val="22"/>
          <w:szCs w:val="22"/>
        </w:rPr>
      </w:pPr>
      <w:r w:rsidRPr="00AF6460">
        <w:rPr>
          <w:rFonts w:ascii="Arial" w:hAnsi="Arial"/>
          <w:sz w:val="22"/>
          <w:szCs w:val="22"/>
        </w:rPr>
        <w:t>Vytvoření zázemí pro vzdělávání pro udržitelný rozvoj</w:t>
      </w:r>
    </w:p>
    <w:p w:rsidR="0060514C" w:rsidRPr="00A9356E" w:rsidRDefault="0060514C" w:rsidP="00254F4C">
      <w:pPr>
        <w:pStyle w:val="Odstavecseseznamem"/>
        <w:numPr>
          <w:ilvl w:val="0"/>
          <w:numId w:val="14"/>
        </w:numPr>
        <w:spacing w:before="40" w:after="80"/>
        <w:ind w:left="426" w:hanging="357"/>
        <w:contextualSpacing w:val="0"/>
        <w:rPr>
          <w:rFonts w:ascii="Arial" w:hAnsi="Arial"/>
          <w:sz w:val="22"/>
          <w:szCs w:val="22"/>
        </w:rPr>
      </w:pPr>
      <w:r>
        <w:rPr>
          <w:rFonts w:ascii="Arial" w:hAnsi="Arial"/>
          <w:sz w:val="22"/>
          <w:szCs w:val="22"/>
        </w:rPr>
        <w:t>Zkvalitňování veřejných prostranství a rozvoj zelené infrastruktury</w:t>
      </w:r>
    </w:p>
    <w:p w:rsidR="00053B1D" w:rsidRPr="008D6BBC" w:rsidRDefault="00053B1D" w:rsidP="00062678">
      <w:pPr>
        <w:spacing w:before="240"/>
        <w:rPr>
          <w:b/>
          <w:sz w:val="22"/>
          <w:szCs w:val="22"/>
        </w:rPr>
      </w:pPr>
      <w:r w:rsidRPr="008D6BBC">
        <w:rPr>
          <w:b/>
          <w:sz w:val="22"/>
          <w:szCs w:val="22"/>
        </w:rPr>
        <w:t>Kultura</w:t>
      </w:r>
    </w:p>
    <w:p w:rsidR="0060514C" w:rsidRDefault="00053B1D" w:rsidP="00254F4C">
      <w:pPr>
        <w:pStyle w:val="Odstavecseseznamem"/>
        <w:numPr>
          <w:ilvl w:val="0"/>
          <w:numId w:val="14"/>
        </w:numPr>
        <w:spacing w:before="40" w:after="80"/>
        <w:ind w:left="426" w:hanging="357"/>
        <w:contextualSpacing w:val="0"/>
        <w:rPr>
          <w:rFonts w:ascii="Arial" w:hAnsi="Arial"/>
          <w:sz w:val="22"/>
          <w:szCs w:val="22"/>
        </w:rPr>
      </w:pPr>
      <w:r w:rsidRPr="008D6BBC">
        <w:rPr>
          <w:rFonts w:ascii="Arial" w:hAnsi="Arial"/>
          <w:sz w:val="22"/>
          <w:szCs w:val="22"/>
        </w:rPr>
        <w:t>Ochrana, rozvoj a podpora kulturního dědictví</w:t>
      </w:r>
    </w:p>
    <w:p w:rsidR="0060514C" w:rsidRPr="005C58A1" w:rsidRDefault="0060514C" w:rsidP="00062678">
      <w:pPr>
        <w:spacing w:before="240"/>
        <w:rPr>
          <w:b/>
          <w:sz w:val="22"/>
          <w:szCs w:val="22"/>
        </w:rPr>
      </w:pPr>
      <w:r w:rsidRPr="002523DF">
        <w:rPr>
          <w:b/>
          <w:sz w:val="22"/>
          <w:szCs w:val="22"/>
        </w:rPr>
        <w:t>Cestovní ruch</w:t>
      </w:r>
    </w:p>
    <w:p w:rsidR="0060514C" w:rsidRPr="00A9356E" w:rsidRDefault="0060514C" w:rsidP="00254F4C">
      <w:pPr>
        <w:pStyle w:val="Odstavecseseznamem"/>
        <w:numPr>
          <w:ilvl w:val="0"/>
          <w:numId w:val="14"/>
        </w:numPr>
        <w:spacing w:before="40" w:after="80"/>
        <w:ind w:left="426" w:hanging="357"/>
        <w:contextualSpacing w:val="0"/>
        <w:rPr>
          <w:rFonts w:ascii="Arial" w:hAnsi="Arial"/>
          <w:sz w:val="22"/>
          <w:szCs w:val="22"/>
        </w:rPr>
      </w:pPr>
      <w:r>
        <w:rPr>
          <w:rFonts w:ascii="Arial" w:hAnsi="Arial"/>
          <w:sz w:val="22"/>
          <w:szCs w:val="22"/>
        </w:rPr>
        <w:t>Udržitelný cestovní ruch</w:t>
      </w:r>
    </w:p>
    <w:p w:rsidR="00053B1D" w:rsidRPr="00F427D2" w:rsidRDefault="00053B1D" w:rsidP="00254F4C">
      <w:pPr>
        <w:pStyle w:val="Nadpis2"/>
        <w:numPr>
          <w:ilvl w:val="1"/>
          <w:numId w:val="9"/>
        </w:numPr>
        <w:spacing w:line="240" w:lineRule="auto"/>
        <w:ind w:left="425" w:hanging="431"/>
        <w:jc w:val="left"/>
      </w:pPr>
      <w:bookmarkStart w:id="70" w:name="_Toc7774224"/>
      <w:bookmarkStart w:id="71" w:name="_Toc13828220"/>
      <w:r w:rsidRPr="00F427D2">
        <w:t>Vize a struktura cílů</w:t>
      </w:r>
      <w:bookmarkEnd w:id="70"/>
      <w:bookmarkEnd w:id="71"/>
    </w:p>
    <w:p w:rsidR="00053B1D" w:rsidRPr="00671D5F" w:rsidRDefault="00053B1D" w:rsidP="00977260">
      <w:pPr>
        <w:pStyle w:val="Nadpis3"/>
        <w:numPr>
          <w:ilvl w:val="0"/>
          <w:numId w:val="0"/>
        </w:numPr>
        <w:spacing w:before="240" w:after="120"/>
        <w:rPr>
          <w:sz w:val="22"/>
        </w:rPr>
      </w:pPr>
      <w:bookmarkStart w:id="72" w:name="_Toc7774225"/>
      <w:bookmarkStart w:id="73" w:name="_Toc13828221"/>
      <w:r w:rsidRPr="00671D5F">
        <w:rPr>
          <w:sz w:val="22"/>
        </w:rPr>
        <w:t>3.2.1. Vize</w:t>
      </w:r>
      <w:bookmarkEnd w:id="72"/>
      <w:bookmarkEnd w:id="73"/>
      <w:r w:rsidRPr="00671D5F">
        <w:rPr>
          <w:sz w:val="22"/>
        </w:rPr>
        <w:t xml:space="preserve"> </w:t>
      </w:r>
    </w:p>
    <w:p w:rsidR="0005558F" w:rsidRDefault="0005558F" w:rsidP="0005558F">
      <w:pPr>
        <w:rPr>
          <w:sz w:val="22"/>
        </w:rPr>
      </w:pPr>
      <w:r>
        <w:rPr>
          <w:sz w:val="22"/>
        </w:rPr>
        <w:t>V</w:t>
      </w:r>
      <w:r w:rsidRPr="00671D5F">
        <w:rPr>
          <w:sz w:val="22"/>
        </w:rPr>
        <w:t xml:space="preserve">ize vychází z analytické části NKR, ale i ze zastřešujícího dokumentu ČR 2030, z nějž analytická část NKR ve své obecné části čerpala. </w:t>
      </w:r>
    </w:p>
    <w:p w:rsidR="00053B1D" w:rsidRPr="00C4716B" w:rsidRDefault="00053B1D" w:rsidP="00A216F6">
      <w:pPr>
        <w:keepNext/>
        <w:keepLines/>
        <w:pBdr>
          <w:top w:val="single" w:sz="4" w:space="1" w:color="auto"/>
          <w:left w:val="single" w:sz="4" w:space="3" w:color="auto"/>
          <w:bottom w:val="single" w:sz="4" w:space="1" w:color="auto"/>
          <w:right w:val="single" w:sz="4" w:space="4" w:color="auto"/>
        </w:pBdr>
        <w:shd w:val="clear" w:color="auto" w:fill="DBE5F1" w:themeFill="accent1" w:themeFillTint="33"/>
        <w:rPr>
          <w:i/>
          <w:sz w:val="22"/>
        </w:rPr>
      </w:pPr>
      <w:r w:rsidRPr="00C4716B">
        <w:rPr>
          <w:i/>
          <w:sz w:val="22"/>
        </w:rPr>
        <w:t xml:space="preserve">ČR je soudržnou společností </w:t>
      </w:r>
      <w:r w:rsidR="00AD67A1">
        <w:rPr>
          <w:i/>
          <w:sz w:val="22"/>
        </w:rPr>
        <w:t xml:space="preserve">21. století, tedy </w:t>
      </w:r>
      <w:r w:rsidRPr="00C4716B">
        <w:rPr>
          <w:i/>
          <w:sz w:val="22"/>
        </w:rPr>
        <w:t>s</w:t>
      </w:r>
      <w:r w:rsidR="00AD67A1">
        <w:rPr>
          <w:i/>
          <w:sz w:val="22"/>
        </w:rPr>
        <w:t xml:space="preserve"> ekonomikou </w:t>
      </w:r>
      <w:r w:rsidRPr="00C4716B">
        <w:rPr>
          <w:i/>
          <w:sz w:val="22"/>
        </w:rPr>
        <w:t xml:space="preserve">konkurenceschopnou jak </w:t>
      </w:r>
      <w:r w:rsidR="00AD67A1">
        <w:rPr>
          <w:i/>
          <w:sz w:val="22"/>
        </w:rPr>
        <w:t>v</w:t>
      </w:r>
      <w:r w:rsidRPr="00C4716B">
        <w:rPr>
          <w:i/>
          <w:sz w:val="22"/>
        </w:rPr>
        <w:t xml:space="preserve"> evropském, tak globálním </w:t>
      </w:r>
      <w:r w:rsidR="00AD67A1">
        <w:rPr>
          <w:i/>
          <w:sz w:val="22"/>
        </w:rPr>
        <w:t>kontextu</w:t>
      </w:r>
      <w:r w:rsidRPr="00C4716B">
        <w:rPr>
          <w:i/>
          <w:sz w:val="22"/>
        </w:rPr>
        <w:t xml:space="preserve">, která </w:t>
      </w:r>
      <w:r w:rsidR="00AD67A1" w:rsidRPr="00C4716B">
        <w:rPr>
          <w:i/>
          <w:sz w:val="22"/>
        </w:rPr>
        <w:t>zajišťuje vysokou kvalitu života obyvatel</w:t>
      </w:r>
      <w:r w:rsidR="00AD67A1">
        <w:rPr>
          <w:i/>
          <w:sz w:val="22"/>
        </w:rPr>
        <w:t>,</w:t>
      </w:r>
      <w:r w:rsidR="00AD67A1" w:rsidRPr="00C4716B">
        <w:rPr>
          <w:i/>
          <w:sz w:val="22"/>
        </w:rPr>
        <w:t xml:space="preserve"> </w:t>
      </w:r>
      <w:r w:rsidRPr="00C4716B">
        <w:rPr>
          <w:i/>
          <w:sz w:val="22"/>
        </w:rPr>
        <w:t xml:space="preserve">minimalizuje </w:t>
      </w:r>
      <w:r w:rsidR="007001E6">
        <w:rPr>
          <w:i/>
          <w:sz w:val="22"/>
        </w:rPr>
        <w:t>ekonomické</w:t>
      </w:r>
      <w:r w:rsidR="007001E6" w:rsidRPr="00C4716B">
        <w:rPr>
          <w:i/>
          <w:sz w:val="22"/>
        </w:rPr>
        <w:t xml:space="preserve"> </w:t>
      </w:r>
      <w:r w:rsidRPr="00C4716B">
        <w:rPr>
          <w:i/>
          <w:sz w:val="22"/>
        </w:rPr>
        <w:t xml:space="preserve">a sociální nerovnosti, respektuje přírodní a územní limity a úspěšně se adaptuje na globální </w:t>
      </w:r>
      <w:r w:rsidR="00AD67A1">
        <w:rPr>
          <w:i/>
          <w:sz w:val="22"/>
        </w:rPr>
        <w:t>změny</w:t>
      </w:r>
      <w:r w:rsidRPr="00C4716B">
        <w:rPr>
          <w:i/>
          <w:sz w:val="22"/>
        </w:rPr>
        <w:t>.</w:t>
      </w:r>
    </w:p>
    <w:p w:rsidR="00053B1D" w:rsidRPr="00671D5F" w:rsidRDefault="00053B1D" w:rsidP="00977260">
      <w:pPr>
        <w:pStyle w:val="Nadpis3"/>
        <w:numPr>
          <w:ilvl w:val="0"/>
          <w:numId w:val="0"/>
        </w:numPr>
        <w:spacing w:before="240" w:after="120"/>
        <w:rPr>
          <w:sz w:val="22"/>
        </w:rPr>
      </w:pPr>
      <w:bookmarkStart w:id="74" w:name="_Toc7774226"/>
      <w:bookmarkStart w:id="75" w:name="_Toc13828222"/>
      <w:r w:rsidRPr="00671D5F">
        <w:rPr>
          <w:sz w:val="22"/>
        </w:rPr>
        <w:t>3.2.2. Globální cíl</w:t>
      </w:r>
      <w:bookmarkEnd w:id="74"/>
      <w:bookmarkEnd w:id="75"/>
    </w:p>
    <w:p w:rsidR="0005558F" w:rsidRPr="00671D5F" w:rsidRDefault="54923E25" w:rsidP="54923E25">
      <w:pPr>
        <w:rPr>
          <w:sz w:val="22"/>
          <w:szCs w:val="22"/>
        </w:rPr>
      </w:pPr>
      <w:r w:rsidRPr="54923E25">
        <w:rPr>
          <w:sz w:val="22"/>
          <w:szCs w:val="22"/>
        </w:rPr>
        <w:t>Pro globální cíl NKR je klíčový udržitelný rozvoj ČR i všech jejích regionů v kontextu zásadních globálních změn, které mají nevyhnutelně i svůj územní dopad.</w:t>
      </w:r>
    </w:p>
    <w:p w:rsidR="00053B1D" w:rsidRPr="00BD2246" w:rsidRDefault="4BC9517D" w:rsidP="48ECFB8B">
      <w:pPr>
        <w:pBdr>
          <w:top w:val="single" w:sz="4" w:space="1" w:color="auto"/>
          <w:left w:val="single" w:sz="4" w:space="3" w:color="auto"/>
          <w:bottom w:val="single" w:sz="4" w:space="1" w:color="auto"/>
          <w:right w:val="single" w:sz="4" w:space="4" w:color="auto"/>
        </w:pBdr>
        <w:shd w:val="clear" w:color="auto" w:fill="DBE5F1" w:themeFill="accent1" w:themeFillTint="33"/>
        <w:rPr>
          <w:i/>
          <w:iCs/>
          <w:sz w:val="22"/>
          <w:szCs w:val="22"/>
        </w:rPr>
      </w:pPr>
      <w:r w:rsidRPr="48ECFB8B">
        <w:rPr>
          <w:i/>
          <w:iCs/>
          <w:sz w:val="22"/>
          <w:szCs w:val="22"/>
        </w:rPr>
        <w:t xml:space="preserve">Udržitelný rozvoj ČR a jejích regionů </w:t>
      </w:r>
      <w:r w:rsidR="005A146B">
        <w:rPr>
          <w:i/>
          <w:iCs/>
          <w:sz w:val="22"/>
          <w:szCs w:val="22"/>
        </w:rPr>
        <w:t>prostřednictvím</w:t>
      </w:r>
      <w:r w:rsidR="005A146B" w:rsidRPr="48ECFB8B">
        <w:rPr>
          <w:i/>
          <w:iCs/>
          <w:sz w:val="22"/>
          <w:szCs w:val="22"/>
        </w:rPr>
        <w:t xml:space="preserve"> </w:t>
      </w:r>
      <w:r w:rsidRPr="48ECFB8B">
        <w:rPr>
          <w:i/>
          <w:iCs/>
          <w:sz w:val="22"/>
          <w:szCs w:val="22"/>
        </w:rPr>
        <w:t>adaptac</w:t>
      </w:r>
      <w:r w:rsidR="005A146B">
        <w:rPr>
          <w:i/>
          <w:iCs/>
          <w:sz w:val="22"/>
          <w:szCs w:val="22"/>
        </w:rPr>
        <w:t>e</w:t>
      </w:r>
      <w:r w:rsidRPr="48ECFB8B">
        <w:rPr>
          <w:i/>
          <w:iCs/>
          <w:sz w:val="22"/>
          <w:szCs w:val="22"/>
        </w:rPr>
        <w:t xml:space="preserve"> společnosti na klíčové evropské a světové </w:t>
      </w:r>
      <w:r w:rsidR="00B12AFF" w:rsidRPr="48ECFB8B">
        <w:rPr>
          <w:i/>
          <w:iCs/>
          <w:sz w:val="22"/>
          <w:szCs w:val="22"/>
        </w:rPr>
        <w:t xml:space="preserve">změny, </w:t>
      </w:r>
      <w:r w:rsidR="007001E6" w:rsidRPr="48ECFB8B">
        <w:rPr>
          <w:i/>
          <w:iCs/>
          <w:sz w:val="22"/>
          <w:szCs w:val="22"/>
        </w:rPr>
        <w:t xml:space="preserve">opírající se o </w:t>
      </w:r>
      <w:r w:rsidR="00211E49" w:rsidRPr="48ECFB8B">
        <w:rPr>
          <w:i/>
          <w:iCs/>
          <w:sz w:val="22"/>
          <w:szCs w:val="22"/>
        </w:rPr>
        <w:t xml:space="preserve">inovace, </w:t>
      </w:r>
      <w:r w:rsidR="00B12AFF" w:rsidRPr="48ECFB8B">
        <w:rPr>
          <w:i/>
          <w:iCs/>
          <w:sz w:val="22"/>
          <w:szCs w:val="22"/>
        </w:rPr>
        <w:t xml:space="preserve">výzkum, vývoj a digitalizaci jako </w:t>
      </w:r>
      <w:r w:rsidR="007001E6" w:rsidRPr="48ECFB8B">
        <w:rPr>
          <w:i/>
          <w:iCs/>
          <w:sz w:val="22"/>
          <w:szCs w:val="22"/>
        </w:rPr>
        <w:t xml:space="preserve">hlavní předpoklady </w:t>
      </w:r>
      <w:r w:rsidR="00B12AFF" w:rsidRPr="48ECFB8B">
        <w:rPr>
          <w:i/>
          <w:iCs/>
          <w:sz w:val="22"/>
          <w:szCs w:val="22"/>
        </w:rPr>
        <w:t>rozvoje</w:t>
      </w:r>
      <w:r w:rsidR="007001E6" w:rsidRPr="48ECFB8B">
        <w:rPr>
          <w:i/>
          <w:iCs/>
          <w:sz w:val="22"/>
          <w:szCs w:val="22"/>
        </w:rPr>
        <w:t xml:space="preserve"> a</w:t>
      </w:r>
      <w:r w:rsidR="00B12AFF" w:rsidRPr="48ECFB8B">
        <w:rPr>
          <w:i/>
          <w:iCs/>
          <w:sz w:val="22"/>
          <w:szCs w:val="22"/>
        </w:rPr>
        <w:t xml:space="preserve"> </w:t>
      </w:r>
      <w:r w:rsidR="007001E6" w:rsidRPr="48ECFB8B">
        <w:rPr>
          <w:i/>
          <w:iCs/>
          <w:sz w:val="22"/>
          <w:szCs w:val="22"/>
        </w:rPr>
        <w:t>vedoucí</w:t>
      </w:r>
      <w:r w:rsidR="00B12AFF" w:rsidRPr="48ECFB8B">
        <w:rPr>
          <w:i/>
          <w:iCs/>
          <w:sz w:val="22"/>
          <w:szCs w:val="22"/>
        </w:rPr>
        <w:t xml:space="preserve"> k minimalizaci strukturálních</w:t>
      </w:r>
      <w:r w:rsidR="00B112CA" w:rsidRPr="48ECFB8B">
        <w:rPr>
          <w:i/>
          <w:iCs/>
          <w:sz w:val="22"/>
          <w:szCs w:val="22"/>
        </w:rPr>
        <w:t>, sociálních</w:t>
      </w:r>
      <w:r w:rsidR="00B12AFF" w:rsidRPr="48ECFB8B">
        <w:rPr>
          <w:i/>
          <w:iCs/>
          <w:sz w:val="22"/>
          <w:szCs w:val="22"/>
        </w:rPr>
        <w:t xml:space="preserve"> a </w:t>
      </w:r>
      <w:r w:rsidR="007001E6" w:rsidRPr="48ECFB8B">
        <w:rPr>
          <w:i/>
          <w:iCs/>
          <w:sz w:val="22"/>
          <w:szCs w:val="22"/>
        </w:rPr>
        <w:t>environmentálních</w:t>
      </w:r>
      <w:r w:rsidR="00B12AFF" w:rsidRPr="48ECFB8B">
        <w:rPr>
          <w:i/>
          <w:iCs/>
          <w:sz w:val="22"/>
          <w:szCs w:val="22"/>
        </w:rPr>
        <w:t xml:space="preserve"> nerovností</w:t>
      </w:r>
      <w:r w:rsidR="007001E6" w:rsidRPr="48ECFB8B">
        <w:rPr>
          <w:i/>
          <w:iCs/>
          <w:sz w:val="22"/>
          <w:szCs w:val="22"/>
        </w:rPr>
        <w:t>.</w:t>
      </w:r>
      <w:r w:rsidR="00B12AFF" w:rsidRPr="48ECFB8B">
        <w:rPr>
          <w:i/>
          <w:iCs/>
          <w:sz w:val="22"/>
          <w:szCs w:val="22"/>
        </w:rPr>
        <w:t xml:space="preserve"> </w:t>
      </w:r>
    </w:p>
    <w:p w:rsidR="00053B1D" w:rsidRPr="00671D5F" w:rsidRDefault="00053B1D" w:rsidP="00977260">
      <w:pPr>
        <w:pStyle w:val="Nadpis3"/>
        <w:numPr>
          <w:ilvl w:val="0"/>
          <w:numId w:val="0"/>
        </w:numPr>
        <w:spacing w:before="240" w:after="120"/>
        <w:rPr>
          <w:sz w:val="22"/>
        </w:rPr>
      </w:pPr>
      <w:bookmarkStart w:id="76" w:name="_Toc7774227"/>
      <w:bookmarkStart w:id="77" w:name="_Toc13828223"/>
      <w:r w:rsidRPr="00671D5F">
        <w:rPr>
          <w:sz w:val="22"/>
        </w:rPr>
        <w:t>3.2.3. Priority</w:t>
      </w:r>
      <w:bookmarkEnd w:id="76"/>
      <w:bookmarkEnd w:id="77"/>
    </w:p>
    <w:p w:rsidR="0005558F" w:rsidRDefault="00053B1D" w:rsidP="00053B1D">
      <w:pPr>
        <w:rPr>
          <w:sz w:val="22"/>
        </w:rPr>
      </w:pPr>
      <w:r w:rsidRPr="00671D5F">
        <w:rPr>
          <w:sz w:val="22"/>
        </w:rPr>
        <w:t>Na základě analytické části NKR a při zohlednění zastřešujícího dokumentu ČR 2030, bylo formulováno pět priorit rozvoje, k němuž mohou nejefektivněji napomoci finanční prostředky z </w:t>
      </w:r>
      <w:r w:rsidR="008C143C">
        <w:rPr>
          <w:sz w:val="22"/>
        </w:rPr>
        <w:t>fondů EU</w:t>
      </w:r>
      <w:r w:rsidRPr="00671D5F">
        <w:rPr>
          <w:sz w:val="22"/>
        </w:rPr>
        <w:t xml:space="preserve">. </w:t>
      </w:r>
    </w:p>
    <w:p w:rsidR="00053B1D" w:rsidRPr="00671D5F" w:rsidRDefault="00053B1D" w:rsidP="0005558F">
      <w:pPr>
        <w:spacing w:after="120"/>
        <w:rPr>
          <w:sz w:val="22"/>
        </w:rPr>
      </w:pPr>
      <w:r w:rsidRPr="00671D5F">
        <w:rPr>
          <w:sz w:val="22"/>
        </w:rPr>
        <w:t xml:space="preserve">Těmito prioritami jsou: </w:t>
      </w:r>
    </w:p>
    <w:p w:rsidR="00053B1D" w:rsidRPr="00C4716B" w:rsidRDefault="00053B1D" w:rsidP="0005558F">
      <w:pPr>
        <w:pBdr>
          <w:top w:val="single" w:sz="4" w:space="1" w:color="auto"/>
          <w:left w:val="single" w:sz="4" w:space="4" w:color="auto"/>
          <w:bottom w:val="single" w:sz="4" w:space="1" w:color="auto"/>
          <w:right w:val="single" w:sz="4" w:space="4" w:color="auto"/>
        </w:pBdr>
        <w:shd w:val="clear" w:color="auto" w:fill="DBE5F1" w:themeFill="accent1" w:themeFillTint="33"/>
        <w:spacing w:before="0" w:after="80" w:line="259" w:lineRule="auto"/>
        <w:rPr>
          <w:i/>
          <w:sz w:val="22"/>
        </w:rPr>
      </w:pPr>
      <w:r w:rsidRPr="00C4716B">
        <w:rPr>
          <w:i/>
          <w:sz w:val="22"/>
        </w:rPr>
        <w:t>Nízkouhlíková ekonomika a odpovědnost k životnímu prostředí</w:t>
      </w:r>
    </w:p>
    <w:p w:rsidR="00053B1D" w:rsidRPr="00BD2246" w:rsidRDefault="00053B1D" w:rsidP="00BD2246">
      <w:pPr>
        <w:pBdr>
          <w:top w:val="single" w:sz="4" w:space="1" w:color="auto"/>
          <w:left w:val="single" w:sz="4" w:space="4" w:color="auto"/>
          <w:bottom w:val="single" w:sz="4" w:space="1" w:color="auto"/>
          <w:right w:val="single" w:sz="4" w:space="4" w:color="auto"/>
        </w:pBdr>
        <w:shd w:val="clear" w:color="auto" w:fill="DBE5F1" w:themeFill="accent1" w:themeFillTint="33"/>
        <w:spacing w:before="0" w:after="80" w:line="259" w:lineRule="auto"/>
        <w:rPr>
          <w:i/>
          <w:iCs/>
          <w:sz w:val="22"/>
          <w:szCs w:val="22"/>
        </w:rPr>
      </w:pPr>
      <w:r w:rsidRPr="001951AF">
        <w:rPr>
          <w:i/>
          <w:iCs/>
          <w:sz w:val="22"/>
          <w:szCs w:val="22"/>
        </w:rPr>
        <w:t xml:space="preserve">Rozvoj </w:t>
      </w:r>
      <w:r w:rsidR="00360F69" w:rsidRPr="001951AF">
        <w:rPr>
          <w:i/>
          <w:iCs/>
          <w:sz w:val="22"/>
          <w:szCs w:val="22"/>
        </w:rPr>
        <w:t xml:space="preserve">ekonomiky </w:t>
      </w:r>
      <w:r w:rsidRPr="001951AF">
        <w:rPr>
          <w:i/>
          <w:iCs/>
          <w:sz w:val="22"/>
          <w:szCs w:val="22"/>
        </w:rPr>
        <w:t xml:space="preserve">založený na </w:t>
      </w:r>
      <w:r w:rsidR="00383451" w:rsidRPr="001951AF">
        <w:rPr>
          <w:i/>
          <w:iCs/>
          <w:sz w:val="22"/>
          <w:szCs w:val="22"/>
        </w:rPr>
        <w:t xml:space="preserve">výzkumu, </w:t>
      </w:r>
      <w:r w:rsidRPr="001951AF">
        <w:rPr>
          <w:i/>
          <w:iCs/>
          <w:sz w:val="22"/>
          <w:szCs w:val="22"/>
        </w:rPr>
        <w:t xml:space="preserve">inovacích a uplatnění </w:t>
      </w:r>
      <w:r w:rsidR="00360F69" w:rsidRPr="001951AF">
        <w:rPr>
          <w:i/>
          <w:iCs/>
          <w:sz w:val="22"/>
          <w:szCs w:val="22"/>
        </w:rPr>
        <w:t xml:space="preserve">nových </w:t>
      </w:r>
      <w:r w:rsidRPr="001951AF">
        <w:rPr>
          <w:i/>
          <w:iCs/>
          <w:sz w:val="22"/>
          <w:szCs w:val="22"/>
        </w:rPr>
        <w:t>technologií</w:t>
      </w:r>
    </w:p>
    <w:p w:rsidR="00601232" w:rsidRPr="00BD2246" w:rsidRDefault="00601232" w:rsidP="00BD2246">
      <w:pPr>
        <w:pBdr>
          <w:top w:val="single" w:sz="4" w:space="1" w:color="auto"/>
          <w:left w:val="single" w:sz="4" w:space="4" w:color="auto"/>
          <w:bottom w:val="single" w:sz="4" w:space="1" w:color="auto"/>
          <w:right w:val="single" w:sz="4" w:space="4" w:color="auto"/>
        </w:pBdr>
        <w:shd w:val="clear" w:color="auto" w:fill="DBE5F1" w:themeFill="accent1" w:themeFillTint="33"/>
        <w:spacing w:before="0" w:after="80" w:line="259" w:lineRule="auto"/>
        <w:rPr>
          <w:i/>
          <w:iCs/>
          <w:sz w:val="22"/>
          <w:szCs w:val="22"/>
        </w:rPr>
      </w:pPr>
      <w:r w:rsidRPr="00BD2246">
        <w:rPr>
          <w:i/>
          <w:iCs/>
          <w:sz w:val="22"/>
          <w:szCs w:val="22"/>
        </w:rPr>
        <w:t>Vzdělaná a sociálně soudržná společnost</w:t>
      </w:r>
      <w:r w:rsidRPr="001951AF" w:rsidDel="00601232">
        <w:rPr>
          <w:i/>
          <w:iCs/>
          <w:sz w:val="22"/>
          <w:szCs w:val="22"/>
        </w:rPr>
        <w:t xml:space="preserve"> </w:t>
      </w:r>
      <w:r w:rsidR="00C45E17">
        <w:rPr>
          <w:i/>
          <w:iCs/>
          <w:sz w:val="22"/>
          <w:szCs w:val="22"/>
        </w:rPr>
        <w:t xml:space="preserve"> </w:t>
      </w:r>
    </w:p>
    <w:p w:rsidR="00053B1D" w:rsidRPr="00C4716B" w:rsidRDefault="00053B1D" w:rsidP="0005558F">
      <w:pPr>
        <w:pBdr>
          <w:top w:val="single" w:sz="4" w:space="1" w:color="auto"/>
          <w:left w:val="single" w:sz="4" w:space="4" w:color="auto"/>
          <w:bottom w:val="single" w:sz="4" w:space="1" w:color="auto"/>
          <w:right w:val="single" w:sz="4" w:space="4" w:color="auto"/>
        </w:pBdr>
        <w:shd w:val="clear" w:color="auto" w:fill="DBE5F1" w:themeFill="accent1" w:themeFillTint="33"/>
        <w:spacing w:before="0" w:after="80" w:line="259" w:lineRule="auto"/>
        <w:rPr>
          <w:i/>
          <w:sz w:val="22"/>
        </w:rPr>
      </w:pPr>
      <w:r w:rsidRPr="00C4716B">
        <w:rPr>
          <w:i/>
          <w:sz w:val="22"/>
        </w:rPr>
        <w:t>Dostupnost a mobilita</w:t>
      </w:r>
    </w:p>
    <w:p w:rsidR="00053B1D" w:rsidRPr="00C4716B" w:rsidRDefault="00053B1D" w:rsidP="0005558F">
      <w:pPr>
        <w:pBdr>
          <w:top w:val="single" w:sz="4" w:space="1" w:color="auto"/>
          <w:left w:val="single" w:sz="4" w:space="4" w:color="auto"/>
          <w:bottom w:val="single" w:sz="4" w:space="1" w:color="auto"/>
          <w:right w:val="single" w:sz="4" w:space="4" w:color="auto"/>
        </w:pBdr>
        <w:shd w:val="clear" w:color="auto" w:fill="DBE5F1" w:themeFill="accent1" w:themeFillTint="33"/>
        <w:spacing w:before="0" w:after="80" w:line="259" w:lineRule="auto"/>
        <w:rPr>
          <w:i/>
          <w:sz w:val="22"/>
        </w:rPr>
      </w:pPr>
      <w:r w:rsidRPr="00C4716B">
        <w:rPr>
          <w:i/>
          <w:sz w:val="22"/>
        </w:rPr>
        <w:t>Udržitelný rozvoj území</w:t>
      </w:r>
    </w:p>
    <w:p w:rsidR="00053B1D" w:rsidRPr="00671D5F" w:rsidRDefault="00053B1D" w:rsidP="0005558F">
      <w:pPr>
        <w:spacing w:before="200"/>
        <w:rPr>
          <w:sz w:val="22"/>
        </w:rPr>
      </w:pPr>
      <w:r w:rsidRPr="00671D5F">
        <w:rPr>
          <w:sz w:val="22"/>
        </w:rPr>
        <w:t xml:space="preserve">Uvedené priority zároveň korespondují s cíli stanovenými EU v oblasti politiky soudržnosti, které budou definovat zaměření investic EU v letech 2021-2027, což ČR usnadní budoucí nastavení a vyjednávání. </w:t>
      </w:r>
    </w:p>
    <w:p w:rsidR="00053B1D" w:rsidRDefault="00053B1D" w:rsidP="0005558F">
      <w:pPr>
        <w:spacing w:after="120"/>
        <w:rPr>
          <w:sz w:val="22"/>
        </w:rPr>
      </w:pPr>
      <w:r w:rsidRPr="00671D5F">
        <w:rPr>
          <w:b/>
          <w:sz w:val="22"/>
        </w:rPr>
        <w:t>Každá z priorit</w:t>
      </w:r>
      <w:r w:rsidRPr="00671D5F">
        <w:rPr>
          <w:sz w:val="22"/>
        </w:rPr>
        <w:t xml:space="preserve"> byla následně transformována </w:t>
      </w:r>
      <w:r w:rsidRPr="00671D5F">
        <w:rPr>
          <w:b/>
          <w:sz w:val="22"/>
        </w:rPr>
        <w:t>do podoby strategického cíle</w:t>
      </w:r>
      <w:r w:rsidRPr="00671D5F">
        <w:rPr>
          <w:sz w:val="22"/>
        </w:rPr>
        <w:t xml:space="preserve"> a dále </w:t>
      </w:r>
      <w:r w:rsidRPr="00671D5F">
        <w:rPr>
          <w:b/>
          <w:sz w:val="22"/>
        </w:rPr>
        <w:t>rozpracována na úroveň specifických cílů, které odpovídají jednotlivým tematickým podoblastem</w:t>
      </w:r>
      <w:r w:rsidRPr="00671D5F">
        <w:rPr>
          <w:sz w:val="22"/>
        </w:rPr>
        <w:t>, jak byly zpracovány v rámci karet podoblastí navázaných na analytickou část NKR.</w:t>
      </w:r>
    </w:p>
    <w:p w:rsidR="006012A0" w:rsidRPr="00590FD1" w:rsidRDefault="006012A0" w:rsidP="00590FD1">
      <w:pPr>
        <w:rPr>
          <w:i/>
          <w:sz w:val="22"/>
        </w:rPr>
      </w:pPr>
      <w:r w:rsidRPr="00590FD1">
        <w:rPr>
          <w:i/>
          <w:sz w:val="22"/>
        </w:rPr>
        <w:t>Tabulka: Rozpad cílů NKR</w:t>
      </w:r>
    </w:p>
    <w:tbl>
      <w:tblPr>
        <w:tblStyle w:val="Mkatabulky"/>
        <w:tblW w:w="5003" w:type="pct"/>
        <w:tblInd w:w="-5" w:type="dxa"/>
        <w:tblLook w:val="04A0" w:firstRow="1" w:lastRow="0" w:firstColumn="1" w:lastColumn="0" w:noHBand="0" w:noVBand="1"/>
      </w:tblPr>
      <w:tblGrid>
        <w:gridCol w:w="1825"/>
        <w:gridCol w:w="2230"/>
        <w:gridCol w:w="2040"/>
        <w:gridCol w:w="1649"/>
        <w:gridCol w:w="1548"/>
      </w:tblGrid>
      <w:tr w:rsidR="00053B1D" w:rsidRPr="00BA13B3" w:rsidTr="00A9356E">
        <w:tc>
          <w:tcPr>
            <w:tcW w:w="5000" w:type="pct"/>
            <w:gridSpan w:val="5"/>
            <w:shd w:val="clear" w:color="auto" w:fill="95B3D7" w:themeFill="accent1" w:themeFillTint="99"/>
          </w:tcPr>
          <w:p w:rsidR="00053B1D" w:rsidRPr="00BA13B3" w:rsidRDefault="00053B1D" w:rsidP="0005558F">
            <w:pPr>
              <w:spacing w:before="40" w:after="60"/>
              <w:jc w:val="center"/>
              <w:rPr>
                <w:szCs w:val="22"/>
              </w:rPr>
            </w:pPr>
            <w:r w:rsidRPr="00BA13B3">
              <w:rPr>
                <w:szCs w:val="22"/>
              </w:rPr>
              <w:t>VIZE</w:t>
            </w:r>
          </w:p>
        </w:tc>
      </w:tr>
      <w:tr w:rsidR="00053B1D" w:rsidRPr="0005558F" w:rsidTr="00A9356E">
        <w:tc>
          <w:tcPr>
            <w:tcW w:w="5000" w:type="pct"/>
            <w:gridSpan w:val="5"/>
          </w:tcPr>
          <w:p w:rsidR="00053B1D" w:rsidRPr="0005558F" w:rsidRDefault="00807FEB" w:rsidP="0005558F">
            <w:pPr>
              <w:spacing w:before="40" w:after="60"/>
              <w:rPr>
                <w:szCs w:val="22"/>
              </w:rPr>
            </w:pPr>
            <w:r w:rsidRPr="00807FEB">
              <w:rPr>
                <w:szCs w:val="22"/>
              </w:rPr>
              <w:t>ČR je soudržnou společností 21. století, tedy s ekonomikou konkurenceschopnou jak v evropském, tak globálním kontextu, která zajišťuje vysokou kvalitu života obyvatel, minimalizuje ekonomické a sociální nerovnosti, respektuje přírodní a územní limity a úspěšně se adaptuje na globální změny.</w:t>
            </w:r>
          </w:p>
        </w:tc>
      </w:tr>
      <w:tr w:rsidR="00053B1D" w:rsidRPr="0005558F" w:rsidTr="00A9356E">
        <w:tc>
          <w:tcPr>
            <w:tcW w:w="5000" w:type="pct"/>
            <w:gridSpan w:val="5"/>
            <w:shd w:val="clear" w:color="auto" w:fill="95B3D7" w:themeFill="accent1" w:themeFillTint="99"/>
          </w:tcPr>
          <w:p w:rsidR="00053B1D" w:rsidRPr="00BA13B3" w:rsidRDefault="00053B1D" w:rsidP="0005558F">
            <w:pPr>
              <w:spacing w:before="40" w:after="60"/>
              <w:jc w:val="center"/>
              <w:rPr>
                <w:szCs w:val="22"/>
              </w:rPr>
            </w:pPr>
            <w:r w:rsidRPr="00BA13B3">
              <w:rPr>
                <w:szCs w:val="22"/>
              </w:rPr>
              <w:t>GLOBÁLNÍ CÍL</w:t>
            </w:r>
          </w:p>
        </w:tc>
      </w:tr>
      <w:tr w:rsidR="00053B1D" w:rsidRPr="0005558F" w:rsidTr="00A9356E">
        <w:tc>
          <w:tcPr>
            <w:tcW w:w="5000" w:type="pct"/>
            <w:gridSpan w:val="5"/>
          </w:tcPr>
          <w:p w:rsidR="00053B1D" w:rsidRPr="00BA13B3" w:rsidRDefault="00807FEB" w:rsidP="0095222B">
            <w:pPr>
              <w:spacing w:before="40" w:after="60"/>
              <w:rPr>
                <w:szCs w:val="22"/>
              </w:rPr>
            </w:pPr>
            <w:r w:rsidRPr="00807FEB">
              <w:t>Udržitelný rozvoj ČR a jejích regionů prostřednictvím adaptace společnosti na klíčové evropské a světové změny, opírající se o inovace, výzkum, vývoj a digitalizaci jako hlavní předpoklady rozvoje a vedoucí k minimalizaci strukturálních, sociálních a environmentálních nerovností.</w:t>
            </w:r>
          </w:p>
        </w:tc>
      </w:tr>
      <w:tr w:rsidR="00053B1D" w:rsidRPr="0005558F" w:rsidTr="00A9356E">
        <w:tc>
          <w:tcPr>
            <w:tcW w:w="5000" w:type="pct"/>
            <w:gridSpan w:val="5"/>
            <w:shd w:val="clear" w:color="auto" w:fill="95B3D7" w:themeFill="accent1" w:themeFillTint="99"/>
          </w:tcPr>
          <w:p w:rsidR="00053B1D" w:rsidRPr="00BA13B3" w:rsidRDefault="00053B1D" w:rsidP="0005558F">
            <w:pPr>
              <w:spacing w:before="40" w:after="60"/>
              <w:jc w:val="center"/>
              <w:rPr>
                <w:szCs w:val="22"/>
              </w:rPr>
            </w:pPr>
            <w:r w:rsidRPr="00BA13B3">
              <w:rPr>
                <w:szCs w:val="22"/>
              </w:rPr>
              <w:t>PRIORITY</w:t>
            </w:r>
          </w:p>
        </w:tc>
      </w:tr>
      <w:tr w:rsidR="00053B1D" w:rsidRPr="0005558F" w:rsidTr="48ECFB8B">
        <w:trPr>
          <w:trHeight w:val="1065"/>
        </w:trPr>
        <w:tc>
          <w:tcPr>
            <w:tcW w:w="996" w:type="pct"/>
          </w:tcPr>
          <w:p w:rsidR="00053B1D" w:rsidRPr="00BA13B3" w:rsidRDefault="00BA3BDA" w:rsidP="48ECFB8B">
            <w:pPr>
              <w:spacing w:before="40" w:after="60"/>
              <w:jc w:val="left"/>
              <w:rPr>
                <w:szCs w:val="22"/>
              </w:rPr>
            </w:pPr>
            <w:r w:rsidRPr="00BD2246">
              <w:t>Nízkouhlíková ekonomika a odpovědnost k životnímu prostředí</w:t>
            </w:r>
          </w:p>
        </w:tc>
        <w:tc>
          <w:tcPr>
            <w:tcW w:w="1214" w:type="pct"/>
          </w:tcPr>
          <w:p w:rsidR="00053B1D" w:rsidRPr="00BA13B3" w:rsidRDefault="00053B1D" w:rsidP="48ECFB8B">
            <w:pPr>
              <w:spacing w:before="40" w:after="60"/>
              <w:jc w:val="left"/>
              <w:rPr>
                <w:szCs w:val="22"/>
              </w:rPr>
            </w:pPr>
            <w:r w:rsidRPr="001951AF">
              <w:t xml:space="preserve">Rozvoj </w:t>
            </w:r>
            <w:r w:rsidRPr="6DE13AE7">
              <w:t>založený na</w:t>
            </w:r>
            <w:r w:rsidR="008D0D9D" w:rsidRPr="6DE13AE7">
              <w:t xml:space="preserve"> výzkumu,</w:t>
            </w:r>
            <w:r w:rsidRPr="6DE13AE7">
              <w:t xml:space="preserve"> inovacích a uplatnění </w:t>
            </w:r>
            <w:r w:rsidR="006F2A80" w:rsidRPr="6DE13AE7">
              <w:t xml:space="preserve">nových </w:t>
            </w:r>
            <w:r w:rsidRPr="6DE13AE7">
              <w:t>technologií</w:t>
            </w:r>
          </w:p>
        </w:tc>
        <w:tc>
          <w:tcPr>
            <w:tcW w:w="1104" w:type="pct"/>
          </w:tcPr>
          <w:p w:rsidR="00053B1D" w:rsidRPr="00BA13B3" w:rsidRDefault="00805E86" w:rsidP="48ECFB8B">
            <w:pPr>
              <w:spacing w:before="40" w:after="60"/>
              <w:jc w:val="left"/>
              <w:rPr>
                <w:szCs w:val="22"/>
              </w:rPr>
            </w:pPr>
            <w:r w:rsidRPr="00BD2246">
              <w:t>Vzdělaná a sociálně soudržná společnost</w:t>
            </w:r>
          </w:p>
        </w:tc>
        <w:tc>
          <w:tcPr>
            <w:tcW w:w="908" w:type="pct"/>
          </w:tcPr>
          <w:p w:rsidR="00053B1D" w:rsidRPr="00BA13B3" w:rsidRDefault="00053B1D" w:rsidP="0005558F">
            <w:pPr>
              <w:spacing w:before="40" w:after="60"/>
              <w:jc w:val="left"/>
              <w:rPr>
                <w:szCs w:val="22"/>
              </w:rPr>
            </w:pPr>
            <w:r w:rsidRPr="00BA13B3">
              <w:rPr>
                <w:szCs w:val="22"/>
              </w:rPr>
              <w:t>Dostupnost a mobilita</w:t>
            </w:r>
          </w:p>
        </w:tc>
        <w:tc>
          <w:tcPr>
            <w:tcW w:w="778" w:type="pct"/>
          </w:tcPr>
          <w:p w:rsidR="00053B1D" w:rsidRPr="00BA13B3" w:rsidRDefault="00053B1D" w:rsidP="0005558F">
            <w:pPr>
              <w:spacing w:before="40" w:after="60"/>
              <w:jc w:val="left"/>
              <w:rPr>
                <w:szCs w:val="22"/>
              </w:rPr>
            </w:pPr>
            <w:r w:rsidRPr="00BA13B3">
              <w:rPr>
                <w:szCs w:val="22"/>
              </w:rPr>
              <w:t>Udržitelný rozvoj území</w:t>
            </w:r>
          </w:p>
        </w:tc>
      </w:tr>
      <w:tr w:rsidR="00053B1D" w:rsidRPr="00BA13B3" w:rsidTr="00A9356E">
        <w:tc>
          <w:tcPr>
            <w:tcW w:w="5000" w:type="pct"/>
            <w:gridSpan w:val="5"/>
            <w:shd w:val="clear" w:color="auto" w:fill="95B3D7" w:themeFill="accent1" w:themeFillTint="99"/>
          </w:tcPr>
          <w:p w:rsidR="00053B1D" w:rsidRPr="00BA13B3" w:rsidRDefault="00053B1D" w:rsidP="0005558F">
            <w:pPr>
              <w:spacing w:before="40" w:after="60"/>
              <w:jc w:val="center"/>
              <w:rPr>
                <w:szCs w:val="22"/>
              </w:rPr>
            </w:pPr>
            <w:r w:rsidRPr="00BA13B3">
              <w:rPr>
                <w:szCs w:val="22"/>
              </w:rPr>
              <w:t>STRATEGICKÉ CÍLE</w:t>
            </w:r>
          </w:p>
        </w:tc>
      </w:tr>
      <w:tr w:rsidR="00053B1D" w:rsidRPr="00BA13B3" w:rsidTr="00A9356E">
        <w:tc>
          <w:tcPr>
            <w:tcW w:w="996" w:type="pct"/>
            <w:tcBorders>
              <w:bottom w:val="single" w:sz="4" w:space="0" w:color="auto"/>
            </w:tcBorders>
          </w:tcPr>
          <w:p w:rsidR="00053B1D" w:rsidRPr="00BA13B3" w:rsidRDefault="00966B33" w:rsidP="00883224">
            <w:pPr>
              <w:spacing w:before="40" w:after="60"/>
              <w:jc w:val="left"/>
              <w:rPr>
                <w:szCs w:val="22"/>
              </w:rPr>
            </w:pPr>
            <w:r>
              <w:t xml:space="preserve">Zlepšení kvality životního prostředí, </w:t>
            </w:r>
            <w:r w:rsidR="2D57A07C">
              <w:t xml:space="preserve">zavedení </w:t>
            </w:r>
            <w:r>
              <w:t>nízkouhlíkové ekonomiky a adaptace na změnu klimatu</w:t>
            </w:r>
          </w:p>
        </w:tc>
        <w:tc>
          <w:tcPr>
            <w:tcW w:w="1214" w:type="pct"/>
            <w:tcBorders>
              <w:bottom w:val="single" w:sz="4" w:space="0" w:color="auto"/>
            </w:tcBorders>
          </w:tcPr>
          <w:p w:rsidR="00053B1D" w:rsidRPr="00BA13B3" w:rsidRDefault="2D57A07C" w:rsidP="0005558F">
            <w:pPr>
              <w:spacing w:before="40" w:after="60"/>
              <w:jc w:val="left"/>
              <w:rPr>
                <w:szCs w:val="22"/>
              </w:rPr>
            </w:pPr>
            <w:r>
              <w:t xml:space="preserve">Výzkumný a inovační systém zvyšující konkurenceschopnost </w:t>
            </w:r>
            <w:r w:rsidR="00002533">
              <w:t>společnosti</w:t>
            </w:r>
            <w:r>
              <w:t xml:space="preserve"> v kontextu technologické změny</w:t>
            </w:r>
          </w:p>
        </w:tc>
        <w:tc>
          <w:tcPr>
            <w:tcW w:w="1104" w:type="pct"/>
            <w:tcBorders>
              <w:bottom w:val="single" w:sz="4" w:space="0" w:color="auto"/>
            </w:tcBorders>
          </w:tcPr>
          <w:p w:rsidR="00053B1D" w:rsidRPr="00BA13B3" w:rsidRDefault="2D57A07C" w:rsidP="0005558F">
            <w:pPr>
              <w:spacing w:before="40" w:after="60"/>
              <w:jc w:val="left"/>
              <w:rPr>
                <w:szCs w:val="22"/>
              </w:rPr>
            </w:pPr>
            <w:r>
              <w:t>Konkurenceschopná a soudržná společnost</w:t>
            </w:r>
          </w:p>
        </w:tc>
        <w:tc>
          <w:tcPr>
            <w:tcW w:w="908" w:type="pct"/>
            <w:tcBorders>
              <w:bottom w:val="single" w:sz="4" w:space="0" w:color="auto"/>
            </w:tcBorders>
          </w:tcPr>
          <w:p w:rsidR="00053B1D" w:rsidRPr="00BA13B3" w:rsidRDefault="2D57A07C" w:rsidP="00814B3D">
            <w:pPr>
              <w:spacing w:before="40" w:after="60"/>
              <w:jc w:val="left"/>
              <w:rPr>
                <w:szCs w:val="22"/>
              </w:rPr>
            </w:pPr>
            <w:r>
              <w:t>Efektivní, dostupná a k životnímu prostředí šetrná doprava</w:t>
            </w:r>
            <w:r w:rsidR="00053B1D" w:rsidRPr="2D57A07C">
              <w:t xml:space="preserve"> </w:t>
            </w:r>
          </w:p>
        </w:tc>
        <w:tc>
          <w:tcPr>
            <w:tcW w:w="778" w:type="pct"/>
            <w:tcBorders>
              <w:bottom w:val="single" w:sz="4" w:space="0" w:color="auto"/>
            </w:tcBorders>
          </w:tcPr>
          <w:p w:rsidR="00053B1D" w:rsidRPr="00BA13B3" w:rsidRDefault="00483223" w:rsidP="48ECFB8B">
            <w:pPr>
              <w:spacing w:before="40" w:after="60"/>
              <w:jc w:val="left"/>
              <w:rPr>
                <w:szCs w:val="22"/>
              </w:rPr>
            </w:pPr>
            <w:r w:rsidRPr="001951AF">
              <w:t>U</w:t>
            </w:r>
            <w:r w:rsidR="00053B1D" w:rsidRPr="001951AF">
              <w:t>držitelný a integrovaný rozvoj městských a venkovských oblastí</w:t>
            </w:r>
          </w:p>
        </w:tc>
      </w:tr>
      <w:tr w:rsidR="00053B1D" w:rsidRPr="00BA13B3" w:rsidTr="00A9356E">
        <w:tc>
          <w:tcPr>
            <w:tcW w:w="5000" w:type="pct"/>
            <w:gridSpan w:val="5"/>
            <w:shd w:val="clear" w:color="auto" w:fill="95B3D7" w:themeFill="accent1" w:themeFillTint="99"/>
          </w:tcPr>
          <w:p w:rsidR="00053B1D" w:rsidRPr="00BA13B3" w:rsidRDefault="00053B1D" w:rsidP="0005558F">
            <w:pPr>
              <w:spacing w:before="40" w:after="60"/>
              <w:jc w:val="center"/>
              <w:rPr>
                <w:szCs w:val="22"/>
              </w:rPr>
            </w:pPr>
            <w:r w:rsidRPr="00BA13B3">
              <w:rPr>
                <w:szCs w:val="22"/>
              </w:rPr>
              <w:t>SPECIFICKÉ CÍLE</w:t>
            </w:r>
          </w:p>
        </w:tc>
      </w:tr>
      <w:tr w:rsidR="00053B1D" w:rsidRPr="00BA13B3" w:rsidTr="00A9356E">
        <w:tc>
          <w:tcPr>
            <w:tcW w:w="996" w:type="pct"/>
            <w:tcBorders>
              <w:bottom w:val="single" w:sz="4" w:space="0" w:color="auto"/>
            </w:tcBorders>
          </w:tcPr>
          <w:p w:rsidR="00053B1D" w:rsidRPr="00BA13B3" w:rsidRDefault="54923E25" w:rsidP="00254F4C">
            <w:pPr>
              <w:pStyle w:val="Odstavecseseznamem"/>
              <w:numPr>
                <w:ilvl w:val="0"/>
                <w:numId w:val="10"/>
              </w:numPr>
              <w:spacing w:before="0" w:after="60" w:line="240" w:lineRule="auto"/>
              <w:ind w:left="171" w:hanging="189"/>
              <w:contextualSpacing w:val="0"/>
              <w:jc w:val="left"/>
              <w:rPr>
                <w:rFonts w:ascii="Arial" w:hAnsi="Arial"/>
              </w:rPr>
            </w:pPr>
            <w:r w:rsidRPr="54923E25">
              <w:rPr>
                <w:rFonts w:ascii="Arial" w:hAnsi="Arial"/>
              </w:rPr>
              <w:t xml:space="preserve">Ochrana a péče o přírodu a krajinu </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u w:val="single"/>
              </w:rPr>
            </w:pPr>
            <w:r w:rsidRPr="00BA13B3">
              <w:rPr>
                <w:rFonts w:ascii="Arial" w:hAnsi="Arial"/>
                <w:szCs w:val="22"/>
              </w:rPr>
              <w:t>Zlepšení kvality ovzduší</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u w:val="single"/>
              </w:rPr>
            </w:pPr>
            <w:r w:rsidRPr="00BA13B3">
              <w:rPr>
                <w:rFonts w:ascii="Arial" w:hAnsi="Arial"/>
                <w:szCs w:val="22"/>
              </w:rPr>
              <w:t>Ochrana a zlepšení stavu vody a vodního hospodářství</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u w:val="single"/>
              </w:rPr>
            </w:pPr>
            <w:r w:rsidRPr="00BA13B3">
              <w:rPr>
                <w:rFonts w:ascii="Arial" w:hAnsi="Arial"/>
                <w:szCs w:val="22"/>
              </w:rPr>
              <w:t>Sanace míst s ekologickou zátěží a revitalizace brownfieldů</w:t>
            </w:r>
          </w:p>
          <w:p w:rsidR="00053B1D" w:rsidRPr="004F139B" w:rsidRDefault="00053B1D" w:rsidP="00254F4C">
            <w:pPr>
              <w:pStyle w:val="Odstavecseseznamem"/>
              <w:numPr>
                <w:ilvl w:val="0"/>
                <w:numId w:val="10"/>
              </w:numPr>
              <w:spacing w:before="0" w:after="60" w:line="240" w:lineRule="auto"/>
              <w:ind w:left="171" w:hanging="189"/>
              <w:contextualSpacing w:val="0"/>
              <w:jc w:val="left"/>
              <w:rPr>
                <w:rFonts w:ascii="Arial" w:hAnsi="Arial"/>
                <w:u w:val="single"/>
              </w:rPr>
            </w:pPr>
            <w:r w:rsidRPr="004F139B">
              <w:rPr>
                <w:rFonts w:ascii="Arial" w:hAnsi="Arial"/>
              </w:rPr>
              <w:t xml:space="preserve">Vytvoření zázemí pro </w:t>
            </w:r>
            <w:r w:rsidR="0075008F" w:rsidRPr="004F139B">
              <w:rPr>
                <w:rFonts w:ascii="Arial" w:hAnsi="Arial"/>
              </w:rPr>
              <w:t>v</w:t>
            </w:r>
            <w:r w:rsidR="0075008F" w:rsidRPr="00A9356E">
              <w:rPr>
                <w:rFonts w:ascii="Arial" w:hAnsi="Arial"/>
              </w:rPr>
              <w:t>zdělávání pro udržitelný rozvoj</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u w:val="single"/>
              </w:rPr>
            </w:pPr>
            <w:r w:rsidRPr="2D57A07C">
              <w:rPr>
                <w:rFonts w:ascii="Arial" w:hAnsi="Arial"/>
              </w:rPr>
              <w:t>Zavedení principů oběhové</w:t>
            </w:r>
            <w:r w:rsidR="009F4F2A">
              <w:rPr>
                <w:rFonts w:ascii="Arial" w:hAnsi="Arial"/>
              </w:rPr>
              <w:t>ho</w:t>
            </w:r>
            <w:r w:rsidRPr="2D57A07C">
              <w:rPr>
                <w:rFonts w:ascii="Arial" w:hAnsi="Arial"/>
              </w:rPr>
              <w:t xml:space="preserve"> hospodářství a účinné využívání zdrojů</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 xml:space="preserve">Modernizace a zefektivnění výroby, </w:t>
            </w:r>
            <w:r w:rsidR="00283290" w:rsidRPr="00283290">
              <w:rPr>
                <w:rFonts w:ascii="Arial" w:hAnsi="Arial"/>
                <w:szCs w:val="22"/>
              </w:rPr>
              <w:t>přenosu, přepravy,</w:t>
            </w:r>
            <w:r w:rsidR="00283290">
              <w:rPr>
                <w:rFonts w:ascii="Arial" w:hAnsi="Arial"/>
                <w:szCs w:val="22"/>
              </w:rPr>
              <w:t xml:space="preserve"> </w:t>
            </w:r>
            <w:r w:rsidRPr="00BA13B3">
              <w:rPr>
                <w:rFonts w:ascii="Arial" w:hAnsi="Arial"/>
                <w:szCs w:val="22"/>
              </w:rPr>
              <w:t>distribuce a akumulace energie</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Zvýšení energetické účinnosti a úspor</w:t>
            </w:r>
            <w:r w:rsidR="00283290">
              <w:rPr>
                <w:rFonts w:ascii="Arial" w:hAnsi="Arial"/>
                <w:szCs w:val="22"/>
              </w:rPr>
              <w:t>y energie</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szCs w:val="22"/>
              </w:rPr>
            </w:pPr>
            <w:r w:rsidRPr="00095D3A">
              <w:rPr>
                <w:rFonts w:ascii="Arial" w:hAnsi="Arial"/>
              </w:rPr>
              <w:t>Zavedení inovativních nízkouhlíkových technologií</w:t>
            </w:r>
            <w:r w:rsidR="00D12045" w:rsidRPr="005C58A1">
              <w:rPr>
                <w:rFonts w:ascii="Arial" w:hAnsi="Arial"/>
              </w:rPr>
              <w:t xml:space="preserve"> a efektivní a </w:t>
            </w:r>
            <w:r w:rsidR="00D12045" w:rsidRPr="00222AA7">
              <w:rPr>
                <w:rFonts w:ascii="Arial" w:hAnsi="Arial"/>
                <w:szCs w:val="22"/>
              </w:rPr>
              <w:t>šetrné využívání OZE.</w:t>
            </w:r>
          </w:p>
          <w:p w:rsidR="00A27CEA" w:rsidRPr="002523DF" w:rsidRDefault="2D57A07C" w:rsidP="00C02894">
            <w:pPr>
              <w:pStyle w:val="Odstavecseseznamem"/>
              <w:numPr>
                <w:ilvl w:val="0"/>
                <w:numId w:val="10"/>
              </w:numPr>
              <w:spacing w:before="0" w:after="60" w:line="240" w:lineRule="auto"/>
              <w:ind w:left="171" w:hanging="189"/>
              <w:contextualSpacing w:val="0"/>
              <w:jc w:val="left"/>
            </w:pPr>
            <w:r w:rsidRPr="2D57A07C">
              <w:rPr>
                <w:rFonts w:ascii="Arial" w:hAnsi="Arial"/>
              </w:rPr>
              <w:t>Zavedení moderních a vysoce účinných způsobů výroby, distribuce a akumulace tepelné energie.</w:t>
            </w:r>
          </w:p>
        </w:tc>
        <w:tc>
          <w:tcPr>
            <w:tcW w:w="1214" w:type="pct"/>
            <w:tcBorders>
              <w:bottom w:val="single" w:sz="4" w:space="0" w:color="auto"/>
            </w:tcBorders>
          </w:tcPr>
          <w:p w:rsidR="00053B1D" w:rsidRPr="00BA13B3" w:rsidRDefault="005C71EC" w:rsidP="00254F4C">
            <w:pPr>
              <w:pStyle w:val="Odstavecseseznamem"/>
              <w:numPr>
                <w:ilvl w:val="0"/>
                <w:numId w:val="10"/>
              </w:numPr>
              <w:spacing w:before="0" w:after="60" w:line="240" w:lineRule="auto"/>
              <w:ind w:left="171" w:hanging="189"/>
              <w:contextualSpacing w:val="0"/>
              <w:jc w:val="left"/>
              <w:rPr>
                <w:rFonts w:ascii="Arial" w:hAnsi="Arial"/>
              </w:rPr>
            </w:pPr>
            <w:r>
              <w:rPr>
                <w:rFonts w:ascii="Arial" w:hAnsi="Arial"/>
              </w:rPr>
              <w:t>Rozvoj zázemí pro kvalitní a relevantní výzkum</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Podpo</w:t>
            </w:r>
            <w:r w:rsidR="009B059E" w:rsidRPr="6A9D794E">
              <w:rPr>
                <w:rFonts w:ascii="Arial" w:hAnsi="Arial"/>
              </w:rPr>
              <w:t>ra</w:t>
            </w:r>
            <w:r w:rsidRPr="6A9D794E">
              <w:rPr>
                <w:rFonts w:ascii="Arial" w:hAnsi="Arial"/>
              </w:rPr>
              <w:t xml:space="preserve"> inovac</w:t>
            </w:r>
            <w:r w:rsidR="00BE4B04">
              <w:rPr>
                <w:rFonts w:ascii="Arial" w:hAnsi="Arial"/>
              </w:rPr>
              <w:t>í</w:t>
            </w:r>
            <w:r w:rsidRPr="6A9D794E">
              <w:rPr>
                <w:rFonts w:ascii="Arial" w:hAnsi="Arial"/>
              </w:rPr>
              <w:t xml:space="preserve"> prostřednictvím aplikovaného </w:t>
            </w:r>
            <w:r w:rsidR="005C71EC">
              <w:rPr>
                <w:rFonts w:ascii="Arial" w:hAnsi="Arial"/>
              </w:rPr>
              <w:t xml:space="preserve">výzkumu </w:t>
            </w:r>
            <w:r w:rsidRPr="6A9D794E">
              <w:rPr>
                <w:rFonts w:ascii="Arial" w:hAnsi="Arial"/>
              </w:rPr>
              <w:t xml:space="preserve">a experimentálního </w:t>
            </w:r>
            <w:r w:rsidR="005C71EC" w:rsidRPr="6A9D794E">
              <w:rPr>
                <w:rFonts w:ascii="Arial" w:hAnsi="Arial"/>
              </w:rPr>
              <w:t>vý</w:t>
            </w:r>
            <w:r w:rsidR="005C71EC">
              <w:rPr>
                <w:rFonts w:ascii="Arial" w:hAnsi="Arial"/>
              </w:rPr>
              <w:t>voje</w:t>
            </w:r>
          </w:p>
          <w:p w:rsidR="00053B1D" w:rsidRPr="00BA13B3" w:rsidRDefault="005C71EC" w:rsidP="00254F4C">
            <w:pPr>
              <w:pStyle w:val="Odstavecseseznamem"/>
              <w:numPr>
                <w:ilvl w:val="0"/>
                <w:numId w:val="10"/>
              </w:numPr>
              <w:spacing w:before="0" w:after="60" w:line="240" w:lineRule="auto"/>
              <w:ind w:left="171" w:hanging="189"/>
              <w:contextualSpacing w:val="0"/>
              <w:jc w:val="left"/>
              <w:rPr>
                <w:rFonts w:ascii="Arial" w:hAnsi="Arial"/>
              </w:rPr>
            </w:pPr>
            <w:r>
              <w:rPr>
                <w:rFonts w:ascii="Arial" w:hAnsi="Arial"/>
              </w:rPr>
              <w:t>Zkvalitnění strategického řízení VaVaI</w:t>
            </w:r>
          </w:p>
          <w:p w:rsidR="00053B1D" w:rsidRPr="00BA13B3" w:rsidRDefault="009B059E"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 xml:space="preserve">Zlepšení </w:t>
            </w:r>
            <w:r w:rsidR="00053B1D" w:rsidRPr="6A9D794E">
              <w:rPr>
                <w:rFonts w:ascii="Arial" w:hAnsi="Arial"/>
              </w:rPr>
              <w:t>inovační schopnosti MSP</w:t>
            </w:r>
          </w:p>
          <w:p w:rsidR="00053B1D" w:rsidRPr="00BA13B3" w:rsidRDefault="009B059E"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 xml:space="preserve">Zvýšení </w:t>
            </w:r>
            <w:r w:rsidR="00053B1D" w:rsidRPr="6A9D794E">
              <w:rPr>
                <w:rFonts w:ascii="Arial" w:hAnsi="Arial"/>
              </w:rPr>
              <w:t>přidan</w:t>
            </w:r>
            <w:r w:rsidRPr="6A9D794E">
              <w:rPr>
                <w:rFonts w:ascii="Arial" w:hAnsi="Arial"/>
              </w:rPr>
              <w:t>é</w:t>
            </w:r>
            <w:r w:rsidR="00053B1D" w:rsidRPr="6A9D794E">
              <w:rPr>
                <w:rFonts w:ascii="Arial" w:hAnsi="Arial"/>
              </w:rPr>
              <w:t xml:space="preserve"> hodnot</w:t>
            </w:r>
            <w:r w:rsidRPr="6A9D794E">
              <w:rPr>
                <w:rFonts w:ascii="Arial" w:hAnsi="Arial"/>
              </w:rPr>
              <w:t>y</w:t>
            </w:r>
            <w:r w:rsidR="00053B1D" w:rsidRPr="6A9D794E">
              <w:rPr>
                <w:rFonts w:ascii="Arial" w:hAnsi="Arial"/>
              </w:rPr>
              <w:t xml:space="preserve"> výrobků a služeb podniků v produkčním řetězci</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Z</w:t>
            </w:r>
            <w:r w:rsidR="00053B1D" w:rsidRPr="6A9D794E">
              <w:rPr>
                <w:rFonts w:ascii="Arial" w:hAnsi="Arial"/>
              </w:rPr>
              <w:t xml:space="preserve">avedení </w:t>
            </w:r>
            <w:r w:rsidRPr="6A9D794E">
              <w:rPr>
                <w:rFonts w:ascii="Arial" w:hAnsi="Arial"/>
              </w:rPr>
              <w:t xml:space="preserve">principů </w:t>
            </w:r>
            <w:r w:rsidR="005C71EC">
              <w:rPr>
                <w:rFonts w:ascii="Arial" w:hAnsi="Arial"/>
              </w:rPr>
              <w:t xml:space="preserve">digitální ekonomiky a </w:t>
            </w:r>
            <w:r w:rsidR="00053B1D" w:rsidRPr="6A9D794E">
              <w:rPr>
                <w:rFonts w:ascii="Arial" w:hAnsi="Arial"/>
              </w:rPr>
              <w:t>průmyslu 4.0 ve firmách</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Účinné zabezpečení informačních systémů veřejné správy a adekvátní reakce na rostoucí kybernetické hrozby</w:t>
            </w:r>
          </w:p>
          <w:p w:rsidR="00053B1D" w:rsidRPr="00BA13B3" w:rsidRDefault="3BD56343" w:rsidP="00254F4C">
            <w:pPr>
              <w:pStyle w:val="Odstavecseseznamem"/>
              <w:numPr>
                <w:ilvl w:val="0"/>
                <w:numId w:val="10"/>
              </w:numPr>
              <w:spacing w:before="0" w:after="60" w:line="240" w:lineRule="auto"/>
              <w:ind w:left="171" w:hanging="189"/>
              <w:contextualSpacing w:val="0"/>
              <w:jc w:val="left"/>
              <w:rPr>
                <w:rFonts w:ascii="Arial" w:hAnsi="Arial"/>
              </w:rPr>
            </w:pPr>
            <w:r w:rsidRPr="3BD56343">
              <w:rPr>
                <w:rFonts w:ascii="Arial" w:hAnsi="Arial"/>
              </w:rPr>
              <w:t>Elektronizace výkonu veřejné správy a zavedení související infrastruktury</w:t>
            </w:r>
          </w:p>
          <w:p w:rsidR="3BD56343" w:rsidRPr="00A9356E" w:rsidRDefault="3BD56343" w:rsidP="00254F4C">
            <w:pPr>
              <w:pStyle w:val="Odstavecseseznamem"/>
              <w:numPr>
                <w:ilvl w:val="0"/>
                <w:numId w:val="10"/>
              </w:numPr>
              <w:spacing w:before="0" w:after="60" w:line="240" w:lineRule="auto"/>
              <w:ind w:left="171" w:hanging="189"/>
              <w:jc w:val="left"/>
              <w:rPr>
                <w:rFonts w:ascii="Arial" w:hAnsi="Arial"/>
              </w:rPr>
            </w:pPr>
            <w:r w:rsidRPr="3BD56343">
              <w:rPr>
                <w:rFonts w:ascii="Arial" w:hAnsi="Arial"/>
              </w:rPr>
              <w:t>Digitalizace územního plánování</w:t>
            </w:r>
          </w:p>
          <w:p w:rsidR="00053B1D" w:rsidRPr="00BA13B3" w:rsidRDefault="00002533" w:rsidP="00254F4C">
            <w:pPr>
              <w:pStyle w:val="Odstavecseseznamem"/>
              <w:numPr>
                <w:ilvl w:val="0"/>
                <w:numId w:val="10"/>
              </w:numPr>
              <w:spacing w:before="0" w:after="60" w:line="240" w:lineRule="auto"/>
              <w:ind w:left="171" w:hanging="189"/>
              <w:contextualSpacing w:val="0"/>
              <w:jc w:val="left"/>
              <w:rPr>
                <w:rFonts w:ascii="Arial" w:hAnsi="Arial"/>
                <w:szCs w:val="22"/>
              </w:rPr>
            </w:pPr>
            <w:r>
              <w:rPr>
                <w:rFonts w:ascii="Arial" w:hAnsi="Arial"/>
              </w:rPr>
              <w:t>Ochrana obyvatelstva</w:t>
            </w:r>
          </w:p>
        </w:tc>
        <w:tc>
          <w:tcPr>
            <w:tcW w:w="1104" w:type="pct"/>
            <w:tcBorders>
              <w:bottom w:val="single" w:sz="4" w:space="0" w:color="auto"/>
            </w:tcBorders>
          </w:tcPr>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 xml:space="preserve">Zefektivnění veřejné správy pro poskytování kvalitních služeb </w:t>
            </w:r>
          </w:p>
          <w:p w:rsidR="00053B1D" w:rsidRPr="00BA13B3" w:rsidRDefault="54923E25" w:rsidP="00254F4C">
            <w:pPr>
              <w:pStyle w:val="Odstavecseseznamem"/>
              <w:numPr>
                <w:ilvl w:val="0"/>
                <w:numId w:val="10"/>
              </w:numPr>
              <w:spacing w:before="0" w:after="60" w:line="240" w:lineRule="auto"/>
              <w:ind w:left="171" w:hanging="189"/>
              <w:contextualSpacing w:val="0"/>
              <w:jc w:val="left"/>
              <w:rPr>
                <w:rFonts w:ascii="Arial" w:hAnsi="Arial"/>
              </w:rPr>
            </w:pPr>
            <w:r w:rsidRPr="54923E25">
              <w:rPr>
                <w:rFonts w:ascii="Arial" w:hAnsi="Arial"/>
              </w:rPr>
              <w:t>Zvýšení účasti znevýhodněných skupin na trhu práce</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Modernizace institucí na trhu práce</w:t>
            </w:r>
          </w:p>
          <w:p w:rsidR="00053B1D" w:rsidRPr="00BA13B3" w:rsidRDefault="00DC5C56" w:rsidP="00254F4C">
            <w:pPr>
              <w:pStyle w:val="Odstavecseseznamem"/>
              <w:numPr>
                <w:ilvl w:val="0"/>
                <w:numId w:val="10"/>
              </w:numPr>
              <w:spacing w:before="0" w:after="60" w:line="240" w:lineRule="auto"/>
              <w:ind w:left="171" w:hanging="189"/>
              <w:contextualSpacing w:val="0"/>
              <w:jc w:val="left"/>
              <w:rPr>
                <w:rFonts w:ascii="Arial" w:hAnsi="Arial"/>
                <w:szCs w:val="22"/>
              </w:rPr>
            </w:pPr>
            <w:r w:rsidRPr="00590FD1">
              <w:rPr>
                <w:rFonts w:ascii="Arial" w:hAnsi="Arial"/>
                <w:szCs w:val="22"/>
              </w:rPr>
              <w:t>Podpora rovnosti žen a mužů</w:t>
            </w:r>
            <w:r w:rsidRPr="00590FD1" w:rsidDel="00DC5C56">
              <w:rPr>
                <w:rFonts w:ascii="Arial" w:hAnsi="Arial"/>
                <w:szCs w:val="22"/>
              </w:rPr>
              <w:t xml:space="preserve"> </w:t>
            </w:r>
            <w:r w:rsidR="00053B1D" w:rsidRPr="00BA13B3">
              <w:rPr>
                <w:rFonts w:ascii="Arial" w:hAnsi="Arial"/>
                <w:szCs w:val="22"/>
              </w:rPr>
              <w:t>a slaďování pracovního a osobního života</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Fungující systém dalšího profesního vzdělávání</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 xml:space="preserve">Podpora a využití pracovní mobility </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Zlepšení výsledků vzdělávacího systému s ohledem na moderní kompetence</w:t>
            </w:r>
            <w:r w:rsidR="00B1074B">
              <w:rPr>
                <w:rFonts w:ascii="Arial" w:hAnsi="Arial"/>
                <w:szCs w:val="22"/>
              </w:rPr>
              <w:t xml:space="preserve"> </w:t>
            </w:r>
            <w:r w:rsidRPr="00BA13B3">
              <w:rPr>
                <w:rFonts w:ascii="Arial" w:hAnsi="Arial"/>
                <w:szCs w:val="22"/>
              </w:rPr>
              <w:t>a potřeby trhu práce</w:t>
            </w:r>
            <w:r w:rsidR="00CD383B">
              <w:rPr>
                <w:rFonts w:ascii="Arial" w:hAnsi="Arial"/>
                <w:szCs w:val="22"/>
              </w:rPr>
              <w:t>, mimo jiné s ohledem na digitalizaci průmyslu a společnosti.</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Zajištění rovného přístupu ke vzdělání</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Zvýšení kompetencí a kvality pracovníků ve vzdělávání</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Sociální začleňování</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Sociální bydlení</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Klientsky orientované sociální služby</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Kvalitní a dostupná zdravotní péče</w:t>
            </w:r>
          </w:p>
        </w:tc>
        <w:tc>
          <w:tcPr>
            <w:tcW w:w="908" w:type="pct"/>
            <w:tcBorders>
              <w:bottom w:val="single" w:sz="4" w:space="0" w:color="auto"/>
            </w:tcBorders>
          </w:tcPr>
          <w:p w:rsidR="00053B1D" w:rsidRPr="00BB293B" w:rsidRDefault="00053B1D"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Rozvoj a zkvalitnění dopravní infrastruktury</w:t>
            </w:r>
          </w:p>
          <w:p w:rsidR="00053B1D" w:rsidRPr="00A9356E" w:rsidRDefault="005536CD"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 xml:space="preserve">Rozvoj a zlepšení integrace dopravy </w:t>
            </w:r>
          </w:p>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Z</w:t>
            </w:r>
            <w:r w:rsidR="2D57A07C" w:rsidRPr="6A9D794E">
              <w:rPr>
                <w:rFonts w:ascii="Arial" w:hAnsi="Arial"/>
              </w:rPr>
              <w:t>avedení</w:t>
            </w:r>
            <w:r w:rsidRPr="6A9D794E">
              <w:rPr>
                <w:rFonts w:ascii="Arial" w:hAnsi="Arial"/>
              </w:rPr>
              <w:t xml:space="preserve"> moderních technologií pro organizaci dopravy a snížení dopravní zátěže</w:t>
            </w:r>
          </w:p>
          <w:p w:rsidR="00053B1D" w:rsidRPr="00BA13B3"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E</w:t>
            </w:r>
            <w:r w:rsidR="00053B1D" w:rsidRPr="6A9D794E">
              <w:rPr>
                <w:rFonts w:ascii="Arial" w:hAnsi="Arial"/>
              </w:rPr>
              <w:t>fektivní využití multimodální nákladní dopravy</w:t>
            </w:r>
          </w:p>
          <w:p w:rsidR="00053B1D" w:rsidRPr="00BA13B3" w:rsidRDefault="009B059E" w:rsidP="00254F4C">
            <w:pPr>
              <w:pStyle w:val="Odstavecseseznamem"/>
              <w:numPr>
                <w:ilvl w:val="0"/>
                <w:numId w:val="10"/>
              </w:numPr>
              <w:spacing w:before="0" w:after="60" w:line="240" w:lineRule="auto"/>
              <w:ind w:left="171" w:hanging="189"/>
              <w:contextualSpacing w:val="0"/>
              <w:jc w:val="left"/>
              <w:rPr>
                <w:rFonts w:ascii="Arial" w:hAnsi="Arial"/>
              </w:rPr>
            </w:pPr>
            <w:r w:rsidRPr="6A9D794E">
              <w:rPr>
                <w:rFonts w:ascii="Arial" w:hAnsi="Arial"/>
              </w:rPr>
              <w:t xml:space="preserve">Zvýšení </w:t>
            </w:r>
            <w:r w:rsidR="00053B1D" w:rsidRPr="6A9D794E">
              <w:rPr>
                <w:rFonts w:ascii="Arial" w:hAnsi="Arial"/>
              </w:rPr>
              <w:t>využití a dostupnost</w:t>
            </w:r>
            <w:r w:rsidR="2D57A07C" w:rsidRPr="6A9D794E">
              <w:rPr>
                <w:rFonts w:ascii="Arial" w:hAnsi="Arial"/>
              </w:rPr>
              <w:t>i</w:t>
            </w:r>
            <w:r w:rsidR="00053B1D" w:rsidRPr="6A9D794E">
              <w:rPr>
                <w:rFonts w:ascii="Arial" w:hAnsi="Arial"/>
              </w:rPr>
              <w:t xml:space="preserve"> alternativních paliv v dopravě</w:t>
            </w:r>
          </w:p>
          <w:p w:rsidR="00053B1D" w:rsidRPr="00A9356E" w:rsidRDefault="2D57A07C" w:rsidP="00254F4C">
            <w:pPr>
              <w:pStyle w:val="Odstavecseseznamem"/>
              <w:numPr>
                <w:ilvl w:val="0"/>
                <w:numId w:val="10"/>
              </w:numPr>
              <w:spacing w:before="0" w:after="60" w:line="240" w:lineRule="auto"/>
              <w:ind w:left="171" w:hanging="189"/>
              <w:contextualSpacing w:val="0"/>
              <w:jc w:val="left"/>
              <w:rPr>
                <w:rFonts w:ascii="Arial" w:hAnsi="Arial"/>
              </w:rPr>
            </w:pPr>
            <w:r w:rsidRPr="2D57A07C">
              <w:rPr>
                <w:rFonts w:ascii="Arial" w:hAnsi="Arial"/>
              </w:rPr>
              <w:t>Využívání vozidel s alternativním pohonem ve veřejné dopravě</w:t>
            </w:r>
          </w:p>
        </w:tc>
        <w:tc>
          <w:tcPr>
            <w:tcW w:w="778" w:type="pct"/>
            <w:tcBorders>
              <w:bottom w:val="single" w:sz="4" w:space="0" w:color="auto"/>
            </w:tcBorders>
          </w:tcPr>
          <w:p w:rsidR="00053B1D" w:rsidRPr="00BA13B3" w:rsidRDefault="00053B1D" w:rsidP="00254F4C">
            <w:pPr>
              <w:pStyle w:val="Odstavecseseznamem"/>
              <w:numPr>
                <w:ilvl w:val="0"/>
                <w:numId w:val="10"/>
              </w:numPr>
              <w:spacing w:before="0" w:after="60" w:line="240" w:lineRule="auto"/>
              <w:ind w:left="171" w:hanging="189"/>
              <w:contextualSpacing w:val="0"/>
              <w:jc w:val="left"/>
              <w:rPr>
                <w:rFonts w:ascii="Arial" w:hAnsi="Arial"/>
                <w:szCs w:val="22"/>
              </w:rPr>
            </w:pPr>
            <w:r w:rsidRPr="00BA13B3">
              <w:rPr>
                <w:rFonts w:ascii="Arial" w:hAnsi="Arial"/>
                <w:szCs w:val="22"/>
              </w:rPr>
              <w:t>Ochrana, rozvoj a podpora kulturního dědictví</w:t>
            </w:r>
          </w:p>
          <w:p w:rsidR="00410233" w:rsidRDefault="00F909B6" w:rsidP="00254F4C">
            <w:pPr>
              <w:pStyle w:val="Odstavecseseznamem"/>
              <w:numPr>
                <w:ilvl w:val="0"/>
                <w:numId w:val="10"/>
              </w:numPr>
              <w:spacing w:before="0" w:after="60" w:line="240" w:lineRule="auto"/>
              <w:ind w:left="171" w:hanging="189"/>
              <w:contextualSpacing w:val="0"/>
              <w:jc w:val="left"/>
              <w:rPr>
                <w:rFonts w:ascii="Arial" w:hAnsi="Arial"/>
              </w:rPr>
            </w:pPr>
            <w:r>
              <w:rPr>
                <w:rFonts w:ascii="Arial" w:hAnsi="Arial"/>
              </w:rPr>
              <w:t xml:space="preserve">Zkvalitňování veřejných prostranství </w:t>
            </w:r>
            <w:r w:rsidR="005C71EC">
              <w:rPr>
                <w:rFonts w:ascii="Arial" w:hAnsi="Arial"/>
              </w:rPr>
              <w:t>a rozvoj</w:t>
            </w:r>
            <w:r>
              <w:rPr>
                <w:rFonts w:ascii="Arial" w:hAnsi="Arial"/>
              </w:rPr>
              <w:t xml:space="preserve"> </w:t>
            </w:r>
            <w:r w:rsidR="00410233" w:rsidRPr="00BD2246">
              <w:rPr>
                <w:rFonts w:ascii="Arial" w:hAnsi="Arial"/>
              </w:rPr>
              <w:t xml:space="preserve">zelené infrastruktury </w:t>
            </w:r>
          </w:p>
          <w:p w:rsidR="00053B1D" w:rsidRPr="00A9356E" w:rsidRDefault="58700E16" w:rsidP="00254F4C">
            <w:pPr>
              <w:pStyle w:val="Odstavecseseznamem"/>
              <w:numPr>
                <w:ilvl w:val="0"/>
                <w:numId w:val="10"/>
              </w:numPr>
              <w:spacing w:before="0" w:after="60" w:line="240" w:lineRule="auto"/>
              <w:ind w:left="171" w:hanging="189"/>
              <w:contextualSpacing w:val="0"/>
              <w:jc w:val="left"/>
              <w:rPr>
                <w:rFonts w:ascii="Arial" w:hAnsi="Arial"/>
              </w:rPr>
            </w:pPr>
            <w:r w:rsidRPr="58700E16">
              <w:rPr>
                <w:rFonts w:ascii="Arial" w:hAnsi="Arial"/>
              </w:rPr>
              <w:t>Udržitelný cestovní ruch</w:t>
            </w:r>
          </w:p>
          <w:p w:rsidR="00FD518E" w:rsidRPr="00A9356E" w:rsidRDefault="00FD518E" w:rsidP="00254F4C">
            <w:pPr>
              <w:pStyle w:val="Odstavecseseznamem"/>
              <w:numPr>
                <w:ilvl w:val="0"/>
                <w:numId w:val="10"/>
              </w:numPr>
              <w:spacing w:before="0" w:after="60" w:line="240" w:lineRule="auto"/>
              <w:ind w:left="171" w:hanging="189"/>
              <w:contextualSpacing w:val="0"/>
              <w:jc w:val="left"/>
              <w:rPr>
                <w:rFonts w:ascii="Arial" w:hAnsi="Arial"/>
              </w:rPr>
            </w:pPr>
            <w:r>
              <w:rPr>
                <w:rFonts w:ascii="Arial" w:hAnsi="Arial"/>
              </w:rPr>
              <w:t>Rozvoj bezmotorové dopravy</w:t>
            </w:r>
          </w:p>
        </w:tc>
      </w:tr>
    </w:tbl>
    <w:p w:rsidR="78C09F5B" w:rsidRPr="00590FD1" w:rsidRDefault="78C09F5B" w:rsidP="00590FD1">
      <w:pPr>
        <w:spacing w:before="0"/>
        <w:rPr>
          <w:i/>
        </w:rPr>
      </w:pPr>
      <w:r w:rsidRPr="00590FD1">
        <w:rPr>
          <w:i/>
        </w:rPr>
        <w:t>Pozn</w:t>
      </w:r>
      <w:r w:rsidR="3E992654" w:rsidRPr="00590FD1">
        <w:rPr>
          <w:i/>
        </w:rPr>
        <w:t>.</w:t>
      </w:r>
      <w:r w:rsidRPr="00590FD1">
        <w:rPr>
          <w:i/>
        </w:rPr>
        <w:t xml:space="preserve">: </w:t>
      </w:r>
      <w:r w:rsidR="67AA28AF" w:rsidRPr="00590FD1">
        <w:rPr>
          <w:i/>
        </w:rPr>
        <w:t>j</w:t>
      </w:r>
      <w:r w:rsidRPr="00590FD1">
        <w:rPr>
          <w:i/>
        </w:rPr>
        <w:t xml:space="preserve">ednotlivé </w:t>
      </w:r>
      <w:r w:rsidR="67AA28AF" w:rsidRPr="00590FD1">
        <w:rPr>
          <w:i/>
        </w:rPr>
        <w:t>specifické cíle jsou dále rozpracovány v kartách specifických cílů, které jsou přílohou tohoto dokumentu.</w:t>
      </w:r>
    </w:p>
    <w:p w:rsidR="00067F71" w:rsidRDefault="00067F71" w:rsidP="00254F4C">
      <w:pPr>
        <w:pStyle w:val="Nadpis2"/>
        <w:numPr>
          <w:ilvl w:val="1"/>
          <w:numId w:val="9"/>
        </w:numPr>
        <w:spacing w:line="240" w:lineRule="auto"/>
        <w:ind w:left="425" w:hanging="431"/>
        <w:jc w:val="left"/>
      </w:pPr>
      <w:bookmarkStart w:id="78" w:name="_Toc7774228"/>
      <w:bookmarkStart w:id="79" w:name="_Toc13828224"/>
      <w:r>
        <w:t>Vztah specifických cílů NKR k průřezovým oblastem</w:t>
      </w:r>
      <w:bookmarkEnd w:id="78"/>
      <w:bookmarkEnd w:id="79"/>
    </w:p>
    <w:p w:rsidR="00067F71" w:rsidRDefault="002466A5" w:rsidP="00B5354B">
      <w:pPr>
        <w:rPr>
          <w:sz w:val="22"/>
        </w:rPr>
      </w:pPr>
      <w:r w:rsidRPr="00A9356E">
        <w:rPr>
          <w:sz w:val="22"/>
        </w:rPr>
        <w:t>Průřezové oblasti se týkají zásadních témat ovlivňujících budoucnost ČR, jejichž reflexe je nutná ve většině tematických oblastí, resp. specifických cílů NKR.</w:t>
      </w:r>
      <w:r w:rsidR="00C21AB0" w:rsidRPr="00A9356E">
        <w:rPr>
          <w:sz w:val="22"/>
        </w:rPr>
        <w:t xml:space="preserve"> Společnost 4.0 je spojená s revoluční digitalizací pracovního prostředí</w:t>
      </w:r>
      <w:r w:rsidR="005A146B">
        <w:rPr>
          <w:sz w:val="22"/>
        </w:rPr>
        <w:t xml:space="preserve"> vedoucí k</w:t>
      </w:r>
      <w:r w:rsidR="005A146B" w:rsidRPr="00A9356E">
        <w:rPr>
          <w:sz w:val="22"/>
        </w:rPr>
        <w:t xml:space="preserve"> </w:t>
      </w:r>
      <w:r w:rsidR="00C21AB0" w:rsidRPr="00A9356E">
        <w:rPr>
          <w:sz w:val="22"/>
        </w:rPr>
        <w:t xml:space="preserve">zásadním změnám v ekonomice, které přinesou dopady do pracovního trhu a kladou zvýšené nároky na vzdělanost a kritické myšlení. Změna klimatu sebou přináší zásadní dopady do podmínek pro zemědělství, stejně jako např. </w:t>
      </w:r>
      <w:r w:rsidR="005A146B">
        <w:rPr>
          <w:sz w:val="22"/>
        </w:rPr>
        <w:t xml:space="preserve">pro </w:t>
      </w:r>
      <w:r w:rsidR="00C21AB0" w:rsidRPr="00A9356E">
        <w:rPr>
          <w:sz w:val="22"/>
        </w:rPr>
        <w:t>dostupnost vody nebo kvalitu života ve městech. Územní dimenze je pak specifická tam, kde jsou podstatné regionální rozdíly a je shoda na t</w:t>
      </w:r>
      <w:r w:rsidR="005A146B">
        <w:rPr>
          <w:sz w:val="22"/>
        </w:rPr>
        <w:t>o</w:t>
      </w:r>
      <w:r w:rsidR="00C21AB0" w:rsidRPr="00A9356E">
        <w:rPr>
          <w:sz w:val="22"/>
        </w:rPr>
        <w:t>m, že jejich odstraňování je opět potřeba nastavit specificky ve vztahu k charakteru jednotlivých území.</w:t>
      </w:r>
    </w:p>
    <w:p w:rsidR="000B025C" w:rsidRPr="00062678" w:rsidRDefault="000B025C" w:rsidP="00B5354B">
      <w:pPr>
        <w:rPr>
          <w:sz w:val="22"/>
          <w:szCs w:val="22"/>
        </w:rPr>
      </w:pPr>
      <w:r w:rsidRPr="00062678">
        <w:rPr>
          <w:sz w:val="22"/>
          <w:szCs w:val="22"/>
        </w:rPr>
        <w:t>Jedním z obecných principů průřezového charakteru je také aplikace horizontálních principů v oblasti dodržování lidských práv nebo rovnosti žen a mužů, a to při realizaci všech relevantních tematických opatření obsažených v tomto dokumentu, jakožto všech souvisejících resortních politikách.</w:t>
      </w:r>
    </w:p>
    <w:p w:rsidR="00067F71" w:rsidRPr="00A9356E" w:rsidRDefault="00067F71" w:rsidP="00254F4C">
      <w:pPr>
        <w:pStyle w:val="Odstavecseseznamem"/>
        <w:numPr>
          <w:ilvl w:val="2"/>
          <w:numId w:val="9"/>
        </w:numPr>
        <w:ind w:left="567" w:hanging="567"/>
        <w:rPr>
          <w:rFonts w:ascii="Arial" w:hAnsi="Arial"/>
          <w:b/>
          <w:sz w:val="22"/>
          <w:szCs w:val="22"/>
          <w:u w:val="single"/>
        </w:rPr>
      </w:pPr>
      <w:r w:rsidRPr="00A9356E">
        <w:rPr>
          <w:rFonts w:ascii="Arial" w:hAnsi="Arial"/>
          <w:b/>
          <w:sz w:val="22"/>
          <w:szCs w:val="22"/>
          <w:u w:val="single"/>
        </w:rPr>
        <w:t>Společnost 4.0</w:t>
      </w:r>
    </w:p>
    <w:p w:rsidR="003E3E0B" w:rsidRDefault="0071293A" w:rsidP="00D4319F">
      <w:pPr>
        <w:rPr>
          <w:rFonts w:eastAsia="Calibri"/>
          <w:b/>
          <w:bCs/>
          <w:color w:val="1F497D"/>
        </w:rPr>
      </w:pPr>
      <w:r w:rsidRPr="00A9356E">
        <w:rPr>
          <w:sz w:val="22"/>
          <w:szCs w:val="22"/>
        </w:rPr>
        <w:t>Průřezové téma Společnost 4.0 představuje zásadní parametr, jenž s velkou pravděpodobností determinuje v prvním sledu budoucí vývoj podnikatelského sektoru (v České republice o to zásadnější záležitost, neboť její ekonomika je silně závislá na robustně extenzivním zapojení pracovní síly do produkčního procesu, jenž je nadto nadprůměrně energeticky náročný; obě tyto charakteristiky mohou s vývojem revoluce 4.0 vést k daleko razantnějším dopadům jak na výkon tuzemské ekonomiky a její konkurenceschopnost, tak v druhém řadu též na trh práce a sociální klima v zemi).</w:t>
      </w:r>
      <w:r w:rsidR="00607722">
        <w:rPr>
          <w:sz w:val="22"/>
          <w:szCs w:val="22"/>
        </w:rPr>
        <w:t xml:space="preserve"> </w:t>
      </w:r>
    </w:p>
    <w:p w:rsidR="004108A3" w:rsidRPr="00A9356E" w:rsidRDefault="004108A3" w:rsidP="0071293A">
      <w:pPr>
        <w:rPr>
          <w:sz w:val="22"/>
          <w:szCs w:val="22"/>
        </w:rPr>
      </w:pPr>
      <w:r w:rsidRPr="00A9356E">
        <w:rPr>
          <w:sz w:val="22"/>
          <w:szCs w:val="22"/>
        </w:rPr>
        <w:t xml:space="preserve">Oblasti s vysokou </w:t>
      </w:r>
      <w:r w:rsidR="00F80E86">
        <w:rPr>
          <w:sz w:val="22"/>
          <w:szCs w:val="22"/>
        </w:rPr>
        <w:t>relevancí</w:t>
      </w:r>
      <w:r w:rsidRPr="00A9356E">
        <w:rPr>
          <w:sz w:val="22"/>
          <w:szCs w:val="22"/>
        </w:rPr>
        <w:t>:</w:t>
      </w:r>
    </w:p>
    <w:p w:rsidR="00011E7F" w:rsidRPr="00F41D0E" w:rsidRDefault="00011E7F" w:rsidP="00011E7F">
      <w:pPr>
        <w:rPr>
          <w:rFonts w:eastAsia="Calibri"/>
          <w:b/>
          <w:bCs/>
          <w:color w:val="1F497D"/>
          <w:sz w:val="22"/>
          <w:szCs w:val="22"/>
        </w:rPr>
      </w:pPr>
      <w:r w:rsidRPr="00F41D0E">
        <w:rPr>
          <w:b/>
          <w:bCs/>
          <w:sz w:val="22"/>
          <w:szCs w:val="22"/>
        </w:rPr>
        <w:t xml:space="preserve">Podpora digitální konektivity (sítě elektronických komunikací s velmi vysokou kapacitou): </w:t>
      </w:r>
      <w:r w:rsidRPr="00F41D0E">
        <w:rPr>
          <w:sz w:val="22"/>
          <w:szCs w:val="22"/>
        </w:rPr>
        <w:t xml:space="preserve">zajistit všem spotřebitelům síť s přenosovou rychlostí 100 Mb/s, kterou lze zvýšit až na 1 Gb/s; a dále poskytnout nejdůležitějším socioekonomickým subjektům, např. poskytovatelům veřejných služeb, silně digitalizovaným podnikům, hlavním dopravním uzlům, pokrytí dopravních cest, finančním institucím, nemocnicím, vzdělávacím a výzkumným institucím, sítě s rychlostí alespoň 1 Gb/s a v dlouhodobém horizontu s rychlostí 100 Gb/s. Mezi priority patří zavedení optické páteřní infrastruktury, hospodářská soutěž podněcující investice a vysoce kvalitní zkušenosti koncových uživatelů. Rovněž je tématem pokrytí území základnovými stanicemi pro mobilní sítě 5. generace. </w:t>
      </w:r>
      <w:r w:rsidR="00796A80" w:rsidRPr="00590FD1">
        <w:rPr>
          <w:sz w:val="22"/>
          <w:szCs w:val="22"/>
        </w:rPr>
        <w:t>Digitální konektivita je podmínkou pro transformaci stávajících a rozvoj nových veřejných služeb.</w:t>
      </w:r>
    </w:p>
    <w:p w:rsidR="009D6F6C" w:rsidRPr="00A9356E" w:rsidRDefault="009D6F6C" w:rsidP="009D6F6C">
      <w:pPr>
        <w:rPr>
          <w:b/>
          <w:sz w:val="22"/>
          <w:szCs w:val="22"/>
        </w:rPr>
      </w:pPr>
      <w:r w:rsidRPr="00A9356E">
        <w:rPr>
          <w:b/>
          <w:sz w:val="22"/>
          <w:szCs w:val="22"/>
        </w:rPr>
        <w:t xml:space="preserve">Podnikání: </w:t>
      </w:r>
      <w:r w:rsidR="005547CA" w:rsidRPr="00296317">
        <w:rPr>
          <w:sz w:val="22"/>
          <w:szCs w:val="22"/>
        </w:rPr>
        <w:t>r</w:t>
      </w:r>
      <w:r w:rsidRPr="00296317">
        <w:rPr>
          <w:sz w:val="22"/>
          <w:szCs w:val="22"/>
        </w:rPr>
        <w:t>evoluce 4.0 se primárně a přirozeně objeví právě v této oblasti. Předmětem podpory by měly být především tuzemské inovativní a kreativní podniky, a to jak ty s předpokladem dosažení stavu excelence (obstát v mezinárodní konkurenceschopnosti), tak též inteligentní specializace (národní a regionální konkurenceschopnost).</w:t>
      </w:r>
      <w:r w:rsidRPr="00A9356E">
        <w:rPr>
          <w:sz w:val="22"/>
          <w:szCs w:val="22"/>
        </w:rPr>
        <w:t xml:space="preserve"> </w:t>
      </w:r>
    </w:p>
    <w:p w:rsidR="009D6F6C" w:rsidRPr="00A9356E" w:rsidRDefault="009D6F6C" w:rsidP="009D6F6C">
      <w:pPr>
        <w:rPr>
          <w:b/>
          <w:sz w:val="22"/>
          <w:szCs w:val="22"/>
        </w:rPr>
      </w:pPr>
      <w:r w:rsidRPr="00A9356E">
        <w:rPr>
          <w:b/>
          <w:sz w:val="22"/>
          <w:szCs w:val="22"/>
        </w:rPr>
        <w:t xml:space="preserve">Trh práce a zaměstnanost: </w:t>
      </w:r>
      <w:r w:rsidR="005547CA" w:rsidRPr="005547CA">
        <w:rPr>
          <w:sz w:val="22"/>
          <w:szCs w:val="22"/>
        </w:rPr>
        <w:t>z</w:t>
      </w:r>
      <w:r w:rsidRPr="00A9356E">
        <w:rPr>
          <w:sz w:val="22"/>
          <w:szCs w:val="22"/>
        </w:rPr>
        <w:t xml:space="preserve">ásadní zde bude systémová kvalitativní změna, kdy stávající </w:t>
      </w:r>
      <w:r w:rsidRPr="00296317">
        <w:rPr>
          <w:sz w:val="22"/>
          <w:szCs w:val="22"/>
        </w:rPr>
        <w:t>práce bude nejen masivně nahrazena roboty, automaty, virtuálními systémy, ale dojde k vytvoření zcela nových pracovních pozic. To bude mít významné dopady do struktury zaměstnanosti a povede též patrně ke krátkodobému (střednědobému) masivnímu nárůstu nezaměstnanosti</w:t>
      </w:r>
      <w:r w:rsidR="002523DF" w:rsidRPr="00296317">
        <w:rPr>
          <w:sz w:val="22"/>
          <w:szCs w:val="22"/>
        </w:rPr>
        <w:t xml:space="preserve">. </w:t>
      </w:r>
      <w:r w:rsidR="006A1AF7">
        <w:rPr>
          <w:sz w:val="22"/>
          <w:szCs w:val="22"/>
        </w:rPr>
        <w:t xml:space="preserve">Toto předpokládané zvyšování nezaměstnanosti lze řešit ve značném předstihu v oblasti vzdělání a rekvalifikace. </w:t>
      </w:r>
      <w:r w:rsidRPr="00296317">
        <w:rPr>
          <w:sz w:val="22"/>
          <w:szCs w:val="22"/>
        </w:rPr>
        <w:t>Digitalizace se uplatní i při realizaci nástrojů aktivní politiky přizpůsobené novým požadavkům, vč. využívání smart technologií a smart aplikací při kontaktu s klienty i v rámci vlastní činnosti úřadů práce.</w:t>
      </w:r>
    </w:p>
    <w:p w:rsidR="00807FEB" w:rsidRDefault="0071293A" w:rsidP="0071293A">
      <w:pPr>
        <w:rPr>
          <w:sz w:val="22"/>
          <w:szCs w:val="22"/>
        </w:rPr>
      </w:pPr>
      <w:r w:rsidRPr="00A9356E">
        <w:rPr>
          <w:b/>
          <w:sz w:val="22"/>
          <w:szCs w:val="22"/>
        </w:rPr>
        <w:t xml:space="preserve">Vzdělávání: </w:t>
      </w:r>
      <w:r w:rsidRPr="00A9356E">
        <w:rPr>
          <w:sz w:val="22"/>
          <w:szCs w:val="22"/>
        </w:rPr>
        <w:t xml:space="preserve">digitalizace společnosti není jen o technických znalostech, nýbrž především o </w:t>
      </w:r>
      <w:r w:rsidRPr="00296317">
        <w:rPr>
          <w:sz w:val="22"/>
          <w:szCs w:val="22"/>
        </w:rPr>
        <w:t>klíčových kompetencích spočívajících ve schopnosti prakticky využívat získaných znalostí a informací. Kromě samotné výuky digitálních dovedností se bude digitalizace uplatňovat i při prohlubování kvalifikace pedagogů</w:t>
      </w:r>
      <w:r w:rsidRPr="00A9356E">
        <w:rPr>
          <w:sz w:val="22"/>
          <w:szCs w:val="22"/>
        </w:rPr>
        <w:t xml:space="preserve"> a rovněž jako didaktick</w:t>
      </w:r>
      <w:r w:rsidR="005A146B">
        <w:rPr>
          <w:sz w:val="22"/>
          <w:szCs w:val="22"/>
        </w:rPr>
        <w:t>á</w:t>
      </w:r>
      <w:r w:rsidRPr="00A9356E">
        <w:rPr>
          <w:sz w:val="22"/>
          <w:szCs w:val="22"/>
        </w:rPr>
        <w:t xml:space="preserve"> metoda při výuce všech dalších oborů.</w:t>
      </w:r>
    </w:p>
    <w:p w:rsidR="009D6F6C" w:rsidRPr="00A9356E" w:rsidRDefault="0018022C" w:rsidP="0071293A">
      <w:pPr>
        <w:rPr>
          <w:sz w:val="22"/>
          <w:szCs w:val="22"/>
        </w:rPr>
      </w:pPr>
      <w:r w:rsidRPr="00A9356E">
        <w:rPr>
          <w:sz w:val="22"/>
          <w:szCs w:val="22"/>
        </w:rPr>
        <w:t xml:space="preserve">Další </w:t>
      </w:r>
      <w:r w:rsidR="00F80E86">
        <w:rPr>
          <w:sz w:val="22"/>
          <w:szCs w:val="22"/>
        </w:rPr>
        <w:t>relevantní</w:t>
      </w:r>
      <w:r w:rsidR="00F80E86" w:rsidRPr="00A9356E">
        <w:rPr>
          <w:sz w:val="22"/>
          <w:szCs w:val="22"/>
        </w:rPr>
        <w:t xml:space="preserve"> </w:t>
      </w:r>
      <w:r w:rsidRPr="00A9356E">
        <w:rPr>
          <w:sz w:val="22"/>
          <w:szCs w:val="22"/>
        </w:rPr>
        <w:t>oblasti</w:t>
      </w:r>
      <w:r w:rsidR="009D6F6C" w:rsidRPr="00A9356E">
        <w:rPr>
          <w:sz w:val="22"/>
          <w:szCs w:val="22"/>
        </w:rPr>
        <w:t>:</w:t>
      </w:r>
    </w:p>
    <w:p w:rsidR="009D6F6C" w:rsidRPr="00A9356E" w:rsidRDefault="009D6F6C" w:rsidP="009D6F6C">
      <w:pPr>
        <w:rPr>
          <w:b/>
          <w:sz w:val="22"/>
          <w:szCs w:val="22"/>
        </w:rPr>
      </w:pPr>
      <w:r w:rsidRPr="00A9356E">
        <w:rPr>
          <w:b/>
          <w:sz w:val="22"/>
          <w:szCs w:val="22"/>
        </w:rPr>
        <w:t xml:space="preserve">Výzkumný a inovační systém: </w:t>
      </w:r>
      <w:r w:rsidRPr="00A9356E">
        <w:rPr>
          <w:sz w:val="22"/>
          <w:szCs w:val="22"/>
        </w:rPr>
        <w:t xml:space="preserve">v rámci procesu 4.0 bude vyžadovat materializaci a kapitalizaci aktivit ve vazbě na problémy řešené v rámci jednotlivých sektorových oblastí. </w:t>
      </w:r>
      <w:r w:rsidRPr="00296317">
        <w:rPr>
          <w:sz w:val="22"/>
          <w:szCs w:val="22"/>
        </w:rPr>
        <w:t xml:space="preserve">Podpora bude směřována na rozvoj výzkumných kapacit a zkvalitnění VaV v oborech souvisejících s  </w:t>
      </w:r>
      <w:r w:rsidR="002523DF" w:rsidRPr="00296317">
        <w:rPr>
          <w:sz w:val="22"/>
          <w:szCs w:val="22"/>
        </w:rPr>
        <w:t>Průmyslem 4.0</w:t>
      </w:r>
      <w:r w:rsidR="00545B6B" w:rsidRPr="00296317">
        <w:rPr>
          <w:sz w:val="22"/>
          <w:szCs w:val="22"/>
        </w:rPr>
        <w:t xml:space="preserve"> a</w:t>
      </w:r>
      <w:r w:rsidR="00C45E17" w:rsidRPr="00296317">
        <w:rPr>
          <w:sz w:val="22"/>
          <w:szCs w:val="22"/>
        </w:rPr>
        <w:t xml:space="preserve"> Strategií pro inteligentní specializaci</w:t>
      </w:r>
      <w:r w:rsidR="002523DF" w:rsidRPr="00296317">
        <w:rPr>
          <w:sz w:val="22"/>
          <w:szCs w:val="22"/>
        </w:rPr>
        <w:t xml:space="preserve"> a </w:t>
      </w:r>
      <w:r w:rsidRPr="00296317">
        <w:rPr>
          <w:sz w:val="22"/>
          <w:szCs w:val="22"/>
        </w:rPr>
        <w:t>v oblasti digitálních technologií</w:t>
      </w:r>
      <w:r w:rsidR="002523DF" w:rsidRPr="00296317">
        <w:rPr>
          <w:sz w:val="22"/>
          <w:szCs w:val="22"/>
        </w:rPr>
        <w:t>.</w:t>
      </w:r>
    </w:p>
    <w:p w:rsidR="009D6F6C" w:rsidRPr="00A9356E" w:rsidRDefault="009D6F6C" w:rsidP="009D6F6C">
      <w:pPr>
        <w:rPr>
          <w:b/>
          <w:sz w:val="22"/>
          <w:szCs w:val="22"/>
        </w:rPr>
      </w:pPr>
      <w:r w:rsidRPr="00A9356E">
        <w:rPr>
          <w:b/>
          <w:sz w:val="22"/>
          <w:szCs w:val="22"/>
        </w:rPr>
        <w:t xml:space="preserve">Doprava: </w:t>
      </w:r>
      <w:r w:rsidR="005547CA" w:rsidRPr="005547CA">
        <w:rPr>
          <w:b/>
          <w:sz w:val="22"/>
          <w:szCs w:val="22"/>
        </w:rPr>
        <w:t>v</w:t>
      </w:r>
      <w:r w:rsidRPr="00A9356E">
        <w:rPr>
          <w:sz w:val="22"/>
          <w:szCs w:val="22"/>
        </w:rPr>
        <w:t xml:space="preserve">elmi zásadně se mění obsah toho, co nazýváme rozvoj a výstavba dopravní infrastruktury. Jediným kritériem již není pouze zvyšování počtu přepravených cestujících nebo </w:t>
      </w:r>
      <w:r w:rsidRPr="00296317">
        <w:rPr>
          <w:sz w:val="22"/>
          <w:szCs w:val="22"/>
        </w:rPr>
        <w:t>náklad</w:t>
      </w:r>
      <w:r w:rsidR="005A146B">
        <w:rPr>
          <w:sz w:val="22"/>
          <w:szCs w:val="22"/>
        </w:rPr>
        <w:t>ů</w:t>
      </w:r>
      <w:r w:rsidRPr="00296317">
        <w:rPr>
          <w:sz w:val="22"/>
          <w:szCs w:val="22"/>
        </w:rPr>
        <w:t>, ale logistika, optimalizace provozu, provázanost dopravních módů a bezpečnost.</w:t>
      </w:r>
      <w:r w:rsidRPr="00A9356E">
        <w:rPr>
          <w:sz w:val="22"/>
          <w:szCs w:val="22"/>
        </w:rPr>
        <w:t xml:space="preserve"> </w:t>
      </w:r>
    </w:p>
    <w:p w:rsidR="009D6F6C" w:rsidRPr="00A9356E" w:rsidRDefault="009D6F6C" w:rsidP="009D6F6C">
      <w:pPr>
        <w:rPr>
          <w:b/>
          <w:sz w:val="22"/>
          <w:szCs w:val="22"/>
        </w:rPr>
      </w:pPr>
      <w:r w:rsidRPr="00A9356E">
        <w:rPr>
          <w:b/>
          <w:sz w:val="22"/>
          <w:szCs w:val="22"/>
        </w:rPr>
        <w:t xml:space="preserve">Veřejná správa: </w:t>
      </w:r>
      <w:r w:rsidR="005547CA" w:rsidRPr="005547CA">
        <w:rPr>
          <w:sz w:val="22"/>
          <w:szCs w:val="22"/>
        </w:rPr>
        <w:t>v</w:t>
      </w:r>
      <w:r w:rsidRPr="00A9356E">
        <w:rPr>
          <w:sz w:val="22"/>
          <w:szCs w:val="22"/>
        </w:rPr>
        <w:t xml:space="preserve">ýznamnou součást tématu tvoří </w:t>
      </w:r>
      <w:r w:rsidRPr="00296317">
        <w:rPr>
          <w:sz w:val="22"/>
          <w:szCs w:val="22"/>
        </w:rPr>
        <w:t>sdílení informací a jejich ochrana</w:t>
      </w:r>
      <w:r w:rsidR="002523DF" w:rsidRPr="00296317">
        <w:rPr>
          <w:sz w:val="22"/>
          <w:szCs w:val="22"/>
        </w:rPr>
        <w:t>.</w:t>
      </w:r>
      <w:r w:rsidR="002523DF" w:rsidRPr="005547CA">
        <w:rPr>
          <w:sz w:val="22"/>
          <w:szCs w:val="22"/>
        </w:rPr>
        <w:t xml:space="preserve"> </w:t>
      </w:r>
      <w:r w:rsidR="00F715C1" w:rsidRPr="00590FD1">
        <w:rPr>
          <w:sz w:val="22"/>
          <w:szCs w:val="22"/>
        </w:rPr>
        <w:t>Efektem je pak úspora administrativy a snížení byrokracie, možnost, aby se lidé zabývali kreativnějšími aktivitami a aby byla zvyšována kvalita služeb, které jsou veřejnou správou poskytovány občanům i podnikatelům</w:t>
      </w:r>
    </w:p>
    <w:p w:rsidR="009D6F6C" w:rsidRPr="00A9356E" w:rsidRDefault="009D6F6C" w:rsidP="0071293A">
      <w:pPr>
        <w:rPr>
          <w:sz w:val="22"/>
          <w:szCs w:val="22"/>
        </w:rPr>
      </w:pPr>
      <w:r w:rsidRPr="00A9356E">
        <w:rPr>
          <w:sz w:val="22"/>
          <w:szCs w:val="22"/>
        </w:rPr>
        <w:t>Ostatní oblasti a jejich vztah ke Společnosti 4.0:</w:t>
      </w:r>
    </w:p>
    <w:p w:rsidR="003E3E0B" w:rsidRDefault="0071293A" w:rsidP="00A9356E">
      <w:pPr>
        <w:rPr>
          <w:sz w:val="22"/>
          <w:szCs w:val="22"/>
        </w:rPr>
      </w:pPr>
      <w:r w:rsidRPr="00A9356E">
        <w:rPr>
          <w:b/>
          <w:sz w:val="22"/>
          <w:szCs w:val="22"/>
        </w:rPr>
        <w:t xml:space="preserve">Posun k nízkouhlíkovému hospodářství: </w:t>
      </w:r>
      <w:r w:rsidRPr="00A9356E">
        <w:rPr>
          <w:sz w:val="22"/>
          <w:szCs w:val="22"/>
        </w:rPr>
        <w:t>Společnost 4.0 má přímý dopad na modernizaci a rozvoj přenosové a distribuční soustavy, její napojení na nové a nestálé zdroje (zejména OZE), akumulaci energie, měření a řízení toků.</w:t>
      </w:r>
      <w:r w:rsidR="005547CA" w:rsidRPr="00A9356E">
        <w:rPr>
          <w:b/>
          <w:sz w:val="22"/>
          <w:szCs w:val="22"/>
        </w:rPr>
        <w:t xml:space="preserve"> </w:t>
      </w:r>
      <w:r w:rsidRPr="00A9356E">
        <w:rPr>
          <w:b/>
          <w:sz w:val="22"/>
          <w:szCs w:val="22"/>
        </w:rPr>
        <w:t xml:space="preserve">Ochrana </w:t>
      </w:r>
      <w:r w:rsidR="00AB1D77" w:rsidRPr="00A9356E">
        <w:rPr>
          <w:b/>
          <w:sz w:val="22"/>
          <w:szCs w:val="22"/>
        </w:rPr>
        <w:t>životního prostředí</w:t>
      </w:r>
      <w:r w:rsidRPr="00A9356E">
        <w:rPr>
          <w:b/>
          <w:sz w:val="22"/>
          <w:szCs w:val="22"/>
        </w:rPr>
        <w:t xml:space="preserve"> a oběhové hospodářství:</w:t>
      </w:r>
      <w:r w:rsidRPr="00A9356E">
        <w:rPr>
          <w:sz w:val="22"/>
          <w:szCs w:val="22"/>
        </w:rPr>
        <w:t xml:space="preserve"> Minimalizace a prev</w:t>
      </w:r>
      <w:r w:rsidR="002523DF" w:rsidRPr="005D1E67">
        <w:rPr>
          <w:sz w:val="22"/>
          <w:szCs w:val="22"/>
        </w:rPr>
        <w:t>ence vzniku odpad</w:t>
      </w:r>
      <w:r w:rsidR="005A146B">
        <w:rPr>
          <w:sz w:val="22"/>
          <w:szCs w:val="22"/>
        </w:rPr>
        <w:t>ů</w:t>
      </w:r>
      <w:r w:rsidR="002523DF" w:rsidRPr="005D1E67">
        <w:rPr>
          <w:sz w:val="22"/>
          <w:szCs w:val="22"/>
        </w:rPr>
        <w:t xml:space="preserve"> </w:t>
      </w:r>
      <w:r w:rsidRPr="00A9356E">
        <w:rPr>
          <w:sz w:val="22"/>
          <w:szCs w:val="22"/>
        </w:rPr>
        <w:t xml:space="preserve">vyžaduje různá </w:t>
      </w:r>
      <w:r w:rsidR="004B7744">
        <w:rPr>
          <w:sz w:val="22"/>
          <w:szCs w:val="22"/>
        </w:rPr>
        <w:t>chytrá</w:t>
      </w:r>
      <w:r w:rsidRPr="00A9356E">
        <w:rPr>
          <w:sz w:val="22"/>
          <w:szCs w:val="22"/>
        </w:rPr>
        <w:t xml:space="preserve"> řešení a prvky a spolehlivý informační systém pro vnitřní chod i koordinaci aktérů. Stejné</w:t>
      </w:r>
      <w:r w:rsidR="004B7744">
        <w:rPr>
          <w:sz w:val="22"/>
          <w:szCs w:val="22"/>
        </w:rPr>
        <w:t xml:space="preserve"> řešení není možné použít všude. </w:t>
      </w:r>
      <w:r w:rsidRPr="00A9356E">
        <w:rPr>
          <w:b/>
          <w:sz w:val="22"/>
          <w:szCs w:val="22"/>
        </w:rPr>
        <w:t>Sociální začleňování:</w:t>
      </w:r>
      <w:r w:rsidRPr="00A9356E">
        <w:rPr>
          <w:sz w:val="22"/>
          <w:szCs w:val="22"/>
        </w:rPr>
        <w:t xml:space="preserve"> Téma sociálního začleňování představuje nepřímý důsledek změn, vyvolaných procesem 4.0 na trhu práce. Velmi důležitým parametrem je cílené školení a vzdělávání s objektivním zdůrazněním výhod i komplikujících dopadů a překážek. </w:t>
      </w:r>
      <w:r w:rsidRPr="00A9356E">
        <w:rPr>
          <w:b/>
          <w:sz w:val="22"/>
          <w:szCs w:val="22"/>
        </w:rPr>
        <w:t>Kultura:</w:t>
      </w:r>
      <w:r w:rsidRPr="00A9356E">
        <w:rPr>
          <w:sz w:val="22"/>
          <w:szCs w:val="22"/>
        </w:rPr>
        <w:t xml:space="preserve"> Proces 4.0 má zásadní přínos pro ochranu kulturního dědictví a popularizaci kultury; využitelnost se nabízí též z pohledu synergií s cestovním ruchem a vzdělávacím procesem.</w:t>
      </w:r>
      <w:r w:rsidR="005547CA" w:rsidRPr="00A9356E">
        <w:rPr>
          <w:b/>
          <w:sz w:val="22"/>
          <w:szCs w:val="22"/>
        </w:rPr>
        <w:t xml:space="preserve"> </w:t>
      </w:r>
      <w:r w:rsidRPr="00A9356E">
        <w:rPr>
          <w:b/>
          <w:sz w:val="22"/>
          <w:szCs w:val="22"/>
        </w:rPr>
        <w:t>Cestovní ruch:</w:t>
      </w:r>
      <w:r w:rsidRPr="00A9356E">
        <w:rPr>
          <w:sz w:val="22"/>
          <w:szCs w:val="22"/>
        </w:rPr>
        <w:t xml:space="preserve"> Důležité je aplikovat </w:t>
      </w:r>
      <w:r w:rsidR="000C4C97">
        <w:rPr>
          <w:sz w:val="22"/>
          <w:szCs w:val="22"/>
        </w:rPr>
        <w:t xml:space="preserve">moderní technologie a inovace a udržitelnost do všech oblastí cestovního ruchu (např. rozvoj nabídky, tvorba </w:t>
      </w:r>
      <w:r w:rsidR="000C4C97" w:rsidRPr="00A9356E">
        <w:rPr>
          <w:sz w:val="22"/>
          <w:szCs w:val="22"/>
        </w:rPr>
        <w:t xml:space="preserve">produktu cestovního ruchu, činnosti destinačního managementu, </w:t>
      </w:r>
      <w:r w:rsidR="000C4C97">
        <w:rPr>
          <w:sz w:val="22"/>
          <w:szCs w:val="22"/>
        </w:rPr>
        <w:t xml:space="preserve">řízení návštěvnosti, </w:t>
      </w:r>
      <w:r w:rsidR="000C4C97" w:rsidRPr="00A9356E">
        <w:rPr>
          <w:sz w:val="22"/>
          <w:szCs w:val="22"/>
        </w:rPr>
        <w:t>osvět</w:t>
      </w:r>
      <w:r w:rsidR="000C4C97">
        <w:rPr>
          <w:sz w:val="22"/>
          <w:szCs w:val="22"/>
        </w:rPr>
        <w:t>a a interpretace</w:t>
      </w:r>
      <w:r w:rsidR="000C4C97" w:rsidRPr="00A9356E">
        <w:rPr>
          <w:sz w:val="22"/>
          <w:szCs w:val="22"/>
        </w:rPr>
        <w:t xml:space="preserve">, </w:t>
      </w:r>
      <w:r w:rsidR="000C4C97">
        <w:rPr>
          <w:sz w:val="22"/>
          <w:szCs w:val="22"/>
        </w:rPr>
        <w:t xml:space="preserve">marketing a </w:t>
      </w:r>
      <w:r w:rsidR="000C4C97" w:rsidRPr="00A9356E">
        <w:rPr>
          <w:sz w:val="22"/>
          <w:szCs w:val="22"/>
        </w:rPr>
        <w:t>propagace</w:t>
      </w:r>
      <w:r w:rsidR="000C4C97">
        <w:rPr>
          <w:sz w:val="22"/>
          <w:szCs w:val="22"/>
        </w:rPr>
        <w:t>)</w:t>
      </w:r>
      <w:r w:rsidR="000C4C97" w:rsidRPr="00A9356E">
        <w:rPr>
          <w:sz w:val="22"/>
          <w:szCs w:val="22"/>
        </w:rPr>
        <w:t xml:space="preserve">. </w:t>
      </w:r>
      <w:r w:rsidRPr="00A9356E">
        <w:rPr>
          <w:sz w:val="22"/>
          <w:szCs w:val="22"/>
        </w:rPr>
        <w:t>V rámci politiky soudržnosti by měly být primárně podpořeny oblasti, sledující v první řadě veřejný zájem.</w:t>
      </w:r>
      <w:r w:rsidR="005547CA" w:rsidRPr="00A9356E">
        <w:rPr>
          <w:b/>
          <w:sz w:val="22"/>
          <w:szCs w:val="22"/>
        </w:rPr>
        <w:t xml:space="preserve"> </w:t>
      </w:r>
      <w:r w:rsidRPr="00A9356E">
        <w:rPr>
          <w:b/>
          <w:sz w:val="22"/>
          <w:szCs w:val="22"/>
        </w:rPr>
        <w:t>Zkvalitňování veřejných prostranství:</w:t>
      </w:r>
      <w:r w:rsidRPr="00A9356E">
        <w:rPr>
          <w:sz w:val="22"/>
          <w:szCs w:val="22"/>
        </w:rPr>
        <w:t xml:space="preserve"> Toto představuje velmi zásadní téma zvláště pro Českou republiku, kde se rostoucí bohatství úměrně tomu nepromítá ve zvýšené kvalitě veřejného prostoru. Existuje zde potřeba kvalitativního upgrade veřejných prostranství</w:t>
      </w:r>
      <w:r w:rsidR="002523DF" w:rsidRPr="005D1E67">
        <w:rPr>
          <w:sz w:val="22"/>
          <w:szCs w:val="22"/>
        </w:rPr>
        <w:t>.</w:t>
      </w:r>
    </w:p>
    <w:p w:rsidR="00C21AB0" w:rsidRPr="00A9356E" w:rsidRDefault="00E10EDB" w:rsidP="00254F4C">
      <w:pPr>
        <w:pStyle w:val="Odstavecseseznamem"/>
        <w:numPr>
          <w:ilvl w:val="2"/>
          <w:numId w:val="9"/>
        </w:numPr>
        <w:ind w:left="567" w:hanging="567"/>
        <w:rPr>
          <w:rFonts w:ascii="Arial" w:hAnsi="Arial"/>
          <w:b/>
          <w:sz w:val="22"/>
          <w:szCs w:val="22"/>
          <w:u w:val="single"/>
        </w:rPr>
      </w:pPr>
      <w:r w:rsidRPr="00A9356E">
        <w:rPr>
          <w:rFonts w:ascii="Arial" w:hAnsi="Arial"/>
          <w:b/>
          <w:sz w:val="22"/>
          <w:szCs w:val="22"/>
          <w:u w:val="single"/>
        </w:rPr>
        <w:t>Přizpůsobení se z</w:t>
      </w:r>
      <w:r w:rsidR="00067F71" w:rsidRPr="00A9356E">
        <w:rPr>
          <w:rFonts w:ascii="Arial" w:hAnsi="Arial"/>
          <w:b/>
          <w:sz w:val="22"/>
          <w:szCs w:val="22"/>
          <w:u w:val="single"/>
        </w:rPr>
        <w:t>měn</w:t>
      </w:r>
      <w:r w:rsidRPr="00A9356E">
        <w:rPr>
          <w:rFonts w:ascii="Arial" w:hAnsi="Arial"/>
          <w:b/>
          <w:sz w:val="22"/>
          <w:szCs w:val="22"/>
          <w:u w:val="single"/>
        </w:rPr>
        <w:t>ě</w:t>
      </w:r>
      <w:r w:rsidR="00067F71" w:rsidRPr="00A9356E">
        <w:rPr>
          <w:rFonts w:ascii="Arial" w:hAnsi="Arial"/>
          <w:b/>
          <w:sz w:val="22"/>
          <w:szCs w:val="22"/>
          <w:u w:val="single"/>
        </w:rPr>
        <w:t xml:space="preserve"> klimatu</w:t>
      </w:r>
    </w:p>
    <w:p w:rsidR="005D1E67" w:rsidRDefault="00F6490D" w:rsidP="006D29F8">
      <w:pPr>
        <w:rPr>
          <w:sz w:val="22"/>
          <w:szCs w:val="22"/>
        </w:rPr>
      </w:pPr>
      <w:r w:rsidRPr="00A9356E">
        <w:rPr>
          <w:sz w:val="22"/>
          <w:szCs w:val="22"/>
        </w:rPr>
        <w:t xml:space="preserve">Toto průřezové téma je </w:t>
      </w:r>
      <w:r w:rsidR="007E7A8A" w:rsidRPr="00A9356E">
        <w:rPr>
          <w:sz w:val="22"/>
          <w:szCs w:val="22"/>
        </w:rPr>
        <w:t xml:space="preserve">akcentováno </w:t>
      </w:r>
      <w:r w:rsidR="009569EC" w:rsidRPr="00A9356E">
        <w:rPr>
          <w:sz w:val="22"/>
          <w:szCs w:val="22"/>
        </w:rPr>
        <w:t>nutnou potřebou</w:t>
      </w:r>
      <w:r w:rsidR="007E7A8A" w:rsidRPr="00A9356E">
        <w:rPr>
          <w:sz w:val="22"/>
          <w:szCs w:val="22"/>
        </w:rPr>
        <w:t xml:space="preserve"> zamezit </w:t>
      </w:r>
      <w:r w:rsidR="00C14654" w:rsidRPr="00A9356E">
        <w:rPr>
          <w:sz w:val="22"/>
          <w:szCs w:val="22"/>
        </w:rPr>
        <w:t>prohlubováním klimatických změn a také nevyhnutelnému přizpůsobení se na ně. Dopady změn klimatu se dotýkají celé planety, Evro</w:t>
      </w:r>
      <w:r w:rsidR="00AB1D77" w:rsidRPr="00A9356E">
        <w:rPr>
          <w:sz w:val="22"/>
          <w:szCs w:val="22"/>
        </w:rPr>
        <w:t xml:space="preserve">py a České republiky nevyjímaje. </w:t>
      </w:r>
      <w:r w:rsidR="00C14654" w:rsidRPr="00A9356E">
        <w:rPr>
          <w:sz w:val="22"/>
          <w:szCs w:val="22"/>
        </w:rPr>
        <w:t xml:space="preserve">Tématu se podrobněji věnuje Strategie přizpůsobení se změně klimatu v podmínkách ČR z roku 2015, která identifikuje blíže 10 prioritních oblastí, na </w:t>
      </w:r>
      <w:r w:rsidR="00AB1D77" w:rsidRPr="00A9356E">
        <w:rPr>
          <w:sz w:val="22"/>
          <w:szCs w:val="22"/>
        </w:rPr>
        <w:t xml:space="preserve">které tato změna má zásadní vliv: </w:t>
      </w:r>
      <w:r w:rsidR="00C14654" w:rsidRPr="00A9356E">
        <w:rPr>
          <w:sz w:val="22"/>
          <w:szCs w:val="22"/>
        </w:rPr>
        <w:t>1/ lesní hospodářství</w:t>
      </w:r>
      <w:r w:rsidR="00AB1D77" w:rsidRPr="00A9356E">
        <w:rPr>
          <w:sz w:val="22"/>
          <w:szCs w:val="22"/>
        </w:rPr>
        <w:t>,</w:t>
      </w:r>
      <w:r w:rsidR="00381289" w:rsidRPr="00A9356E">
        <w:rPr>
          <w:sz w:val="22"/>
          <w:szCs w:val="22"/>
        </w:rPr>
        <w:t xml:space="preserve"> 2/ zemědělství, 3/ vodní režim v krajině a vodní hospodářství</w:t>
      </w:r>
      <w:r w:rsidR="003C1B37" w:rsidRPr="00A9356E">
        <w:rPr>
          <w:sz w:val="22"/>
          <w:szCs w:val="22"/>
        </w:rPr>
        <w:t xml:space="preserve">, </w:t>
      </w:r>
      <w:r w:rsidR="00381289" w:rsidRPr="00A9356E">
        <w:rPr>
          <w:sz w:val="22"/>
          <w:szCs w:val="22"/>
        </w:rPr>
        <w:t>4/ urbanizovaná krajina</w:t>
      </w:r>
      <w:r w:rsidR="003C1B37" w:rsidRPr="00A9356E">
        <w:rPr>
          <w:sz w:val="22"/>
          <w:szCs w:val="22"/>
        </w:rPr>
        <w:t xml:space="preserve">, </w:t>
      </w:r>
      <w:r w:rsidR="00381289" w:rsidRPr="00A9356E">
        <w:rPr>
          <w:sz w:val="22"/>
          <w:szCs w:val="22"/>
        </w:rPr>
        <w:t>5/ biodiverzita a ekosystémové služby</w:t>
      </w:r>
      <w:r w:rsidR="003C1B37" w:rsidRPr="00A9356E">
        <w:rPr>
          <w:sz w:val="22"/>
          <w:szCs w:val="22"/>
        </w:rPr>
        <w:t xml:space="preserve">, </w:t>
      </w:r>
      <w:r w:rsidR="00381289" w:rsidRPr="00A9356E">
        <w:rPr>
          <w:sz w:val="22"/>
          <w:szCs w:val="22"/>
        </w:rPr>
        <w:t>6/ zdraví a hygiena</w:t>
      </w:r>
      <w:r w:rsidR="003C1B37" w:rsidRPr="00A9356E">
        <w:rPr>
          <w:sz w:val="22"/>
          <w:szCs w:val="22"/>
        </w:rPr>
        <w:t xml:space="preserve">, </w:t>
      </w:r>
      <w:r w:rsidR="00381289" w:rsidRPr="00A9356E">
        <w:rPr>
          <w:sz w:val="22"/>
          <w:szCs w:val="22"/>
        </w:rPr>
        <w:t>7/ cestovní ruch</w:t>
      </w:r>
      <w:r w:rsidR="003C1B37" w:rsidRPr="00A9356E">
        <w:rPr>
          <w:sz w:val="22"/>
          <w:szCs w:val="22"/>
        </w:rPr>
        <w:t xml:space="preserve">, </w:t>
      </w:r>
      <w:r w:rsidR="00381289" w:rsidRPr="00A9356E">
        <w:rPr>
          <w:sz w:val="22"/>
          <w:szCs w:val="22"/>
        </w:rPr>
        <w:t>8/ doprava</w:t>
      </w:r>
      <w:r w:rsidR="003C1B37" w:rsidRPr="00A9356E">
        <w:rPr>
          <w:sz w:val="22"/>
          <w:szCs w:val="22"/>
        </w:rPr>
        <w:t xml:space="preserve">, </w:t>
      </w:r>
      <w:r w:rsidR="00381289" w:rsidRPr="00A9356E">
        <w:rPr>
          <w:sz w:val="22"/>
          <w:szCs w:val="22"/>
        </w:rPr>
        <w:t>9/ průmysl a energetika</w:t>
      </w:r>
      <w:r w:rsidR="00616DA4" w:rsidRPr="00A9356E">
        <w:rPr>
          <w:sz w:val="22"/>
          <w:szCs w:val="22"/>
        </w:rPr>
        <w:t xml:space="preserve">, </w:t>
      </w:r>
      <w:r w:rsidR="00381289" w:rsidRPr="00A9356E">
        <w:rPr>
          <w:sz w:val="22"/>
          <w:szCs w:val="22"/>
        </w:rPr>
        <w:t>10/ mimořádné událost</w:t>
      </w:r>
      <w:r w:rsidR="00616DA4" w:rsidRPr="005D1E67">
        <w:rPr>
          <w:sz w:val="22"/>
          <w:szCs w:val="22"/>
        </w:rPr>
        <w:t xml:space="preserve">i. </w:t>
      </w:r>
    </w:p>
    <w:p w:rsidR="009569EC" w:rsidRPr="00A9356E" w:rsidRDefault="009569EC" w:rsidP="006D29F8">
      <w:pPr>
        <w:rPr>
          <w:sz w:val="22"/>
          <w:szCs w:val="22"/>
        </w:rPr>
      </w:pPr>
      <w:r w:rsidRPr="00A9356E">
        <w:rPr>
          <w:sz w:val="22"/>
          <w:szCs w:val="22"/>
        </w:rPr>
        <w:t xml:space="preserve">Oblasti s vysokou </w:t>
      </w:r>
      <w:r w:rsidR="00F80E86">
        <w:rPr>
          <w:sz w:val="22"/>
          <w:szCs w:val="22"/>
        </w:rPr>
        <w:t>relevancí</w:t>
      </w:r>
      <w:r w:rsidRPr="00A9356E">
        <w:rPr>
          <w:sz w:val="22"/>
          <w:szCs w:val="22"/>
        </w:rPr>
        <w:t>:</w:t>
      </w:r>
    </w:p>
    <w:p w:rsidR="00E10EDB" w:rsidRPr="00A9356E" w:rsidRDefault="009569EC" w:rsidP="006D29F8">
      <w:pPr>
        <w:rPr>
          <w:b/>
          <w:sz w:val="22"/>
          <w:szCs w:val="22"/>
        </w:rPr>
      </w:pPr>
      <w:r w:rsidRPr="00A9356E">
        <w:rPr>
          <w:b/>
          <w:sz w:val="22"/>
          <w:szCs w:val="22"/>
        </w:rPr>
        <w:t>Ochrana životního prostředí a oběhové hospodářství</w:t>
      </w:r>
      <w:r w:rsidR="002F55F6" w:rsidRPr="00A9356E">
        <w:rPr>
          <w:b/>
          <w:sz w:val="22"/>
          <w:szCs w:val="22"/>
        </w:rPr>
        <w:t>:</w:t>
      </w:r>
      <w:r w:rsidR="005547CA" w:rsidRPr="005547CA">
        <w:rPr>
          <w:b/>
          <w:sz w:val="22"/>
          <w:szCs w:val="22"/>
        </w:rPr>
        <w:t xml:space="preserve"> </w:t>
      </w:r>
      <w:r w:rsidR="005547CA" w:rsidRPr="005547CA">
        <w:rPr>
          <w:sz w:val="22"/>
          <w:szCs w:val="22"/>
        </w:rPr>
        <w:t>n</w:t>
      </w:r>
      <w:r w:rsidR="00E10EDB" w:rsidRPr="00A9356E">
        <w:rPr>
          <w:sz w:val="22"/>
          <w:szCs w:val="22"/>
        </w:rPr>
        <w:t>ejobsáhlejší ve vztahu k přizpůsobení se změně klimatu je SC Ochrana a péče o přírodu a krajinu</w:t>
      </w:r>
      <w:r w:rsidR="0079185A" w:rsidRPr="00A9356E">
        <w:rPr>
          <w:sz w:val="22"/>
          <w:szCs w:val="22"/>
        </w:rPr>
        <w:t xml:space="preserve">, dále zejména ve vztahu k hospodaření s vodou a vodnímu ekosystému ČR (což je samo o sobě průřezové téma) je vysoká priorita v SC Ochrana a zlepšení stavu vody a vodního hospodářství. </w:t>
      </w:r>
      <w:r w:rsidR="0079185A" w:rsidRPr="00296317">
        <w:rPr>
          <w:sz w:val="22"/>
          <w:szCs w:val="22"/>
        </w:rPr>
        <w:t>Revitalizace brownfieldů je významná zejména v kontextu omezování záborů zemědělské půdy ve prospěch zastavěných ploch</w:t>
      </w:r>
      <w:r w:rsidR="00204E28" w:rsidRPr="00296317">
        <w:rPr>
          <w:sz w:val="22"/>
          <w:szCs w:val="22"/>
        </w:rPr>
        <w:t>.</w:t>
      </w:r>
      <w:r w:rsidR="0079185A" w:rsidRPr="00296317">
        <w:rPr>
          <w:sz w:val="22"/>
          <w:szCs w:val="22"/>
        </w:rPr>
        <w:t xml:space="preserve"> </w:t>
      </w:r>
      <w:r w:rsidR="00D4568E" w:rsidRPr="00590FD1">
        <w:rPr>
          <w:sz w:val="22"/>
          <w:szCs w:val="22"/>
        </w:rPr>
        <w:t>Nemalý význam má i nahrazování primárních surovin druhotnými surovinami a tím i snižování energetické náročnosti výroby</w:t>
      </w:r>
      <w:r w:rsidR="00D4568E">
        <w:rPr>
          <w:sz w:val="22"/>
          <w:szCs w:val="22"/>
        </w:rPr>
        <w:t>.</w:t>
      </w:r>
      <w:r w:rsidR="00D4568E" w:rsidRPr="00296317">
        <w:rPr>
          <w:sz w:val="22"/>
          <w:szCs w:val="22"/>
        </w:rPr>
        <w:t xml:space="preserve"> </w:t>
      </w:r>
      <w:r w:rsidR="0079185A" w:rsidRPr="00296317">
        <w:rPr>
          <w:sz w:val="22"/>
          <w:szCs w:val="22"/>
        </w:rPr>
        <w:t>Téma vzdělávání pro udržitelný rozvoj je relevantní vzhledem k potřebě osvěty v oblasti dopadů změny klimatu a adaptace na ně.</w:t>
      </w:r>
    </w:p>
    <w:p w:rsidR="0079185A" w:rsidRPr="00A9356E" w:rsidRDefault="004C7E3E" w:rsidP="006D29F8">
      <w:pPr>
        <w:rPr>
          <w:b/>
          <w:sz w:val="22"/>
          <w:szCs w:val="22"/>
        </w:rPr>
      </w:pPr>
      <w:r w:rsidRPr="00A9356E">
        <w:rPr>
          <w:b/>
          <w:sz w:val="22"/>
          <w:szCs w:val="22"/>
        </w:rPr>
        <w:t>Výzkumný a inovační systém</w:t>
      </w:r>
      <w:r w:rsidR="002F55F6" w:rsidRPr="00A9356E">
        <w:rPr>
          <w:b/>
          <w:sz w:val="22"/>
          <w:szCs w:val="22"/>
        </w:rPr>
        <w:t>:</w:t>
      </w:r>
      <w:r w:rsidR="005547CA" w:rsidRPr="005547CA">
        <w:rPr>
          <w:b/>
          <w:sz w:val="22"/>
          <w:szCs w:val="22"/>
        </w:rPr>
        <w:t xml:space="preserve"> </w:t>
      </w:r>
      <w:r w:rsidR="005547CA" w:rsidRPr="005547CA">
        <w:rPr>
          <w:sz w:val="22"/>
          <w:szCs w:val="22"/>
        </w:rPr>
        <w:t>je navázán</w:t>
      </w:r>
      <w:r w:rsidR="0079185A" w:rsidRPr="00A9356E">
        <w:rPr>
          <w:sz w:val="22"/>
          <w:szCs w:val="22"/>
        </w:rPr>
        <w:t xml:space="preserve"> na otázky adapt</w:t>
      </w:r>
      <w:r w:rsidR="0079185A" w:rsidRPr="00296317">
        <w:rPr>
          <w:sz w:val="22"/>
          <w:szCs w:val="22"/>
        </w:rPr>
        <w:t>ace klimatu potřebou komplexních řešení, která zohledňují všechny souvislosti změny klimatu, má tudíž v tomto směru dlouhodobý význam.</w:t>
      </w:r>
    </w:p>
    <w:p w:rsidR="00F85569" w:rsidRPr="00A9356E" w:rsidRDefault="008071DB" w:rsidP="006D29F8">
      <w:pPr>
        <w:rPr>
          <w:b/>
          <w:sz w:val="22"/>
          <w:szCs w:val="22"/>
        </w:rPr>
      </w:pPr>
      <w:r w:rsidRPr="00A9356E">
        <w:rPr>
          <w:b/>
          <w:sz w:val="22"/>
          <w:szCs w:val="22"/>
        </w:rPr>
        <w:t>Veřejná správa</w:t>
      </w:r>
      <w:r w:rsidR="002F55F6" w:rsidRPr="00A9356E">
        <w:rPr>
          <w:b/>
          <w:sz w:val="22"/>
          <w:szCs w:val="22"/>
        </w:rPr>
        <w:t>:</w:t>
      </w:r>
      <w:r w:rsidR="005547CA" w:rsidRPr="005547CA">
        <w:rPr>
          <w:b/>
          <w:sz w:val="22"/>
          <w:szCs w:val="22"/>
        </w:rPr>
        <w:t xml:space="preserve"> </w:t>
      </w:r>
      <w:r w:rsidR="005547CA" w:rsidRPr="005547CA">
        <w:rPr>
          <w:sz w:val="22"/>
          <w:szCs w:val="22"/>
        </w:rPr>
        <w:t>téma</w:t>
      </w:r>
      <w:r w:rsidR="003862BE" w:rsidRPr="00A9356E">
        <w:rPr>
          <w:sz w:val="22"/>
          <w:szCs w:val="22"/>
        </w:rPr>
        <w:t xml:space="preserve"> </w:t>
      </w:r>
      <w:r w:rsidR="003862BE" w:rsidRPr="00296317">
        <w:rPr>
          <w:sz w:val="22"/>
          <w:szCs w:val="22"/>
        </w:rPr>
        <w:t>ochrany obyvatelstva je</w:t>
      </w:r>
      <w:r w:rsidR="0079185A" w:rsidRPr="00296317">
        <w:rPr>
          <w:sz w:val="22"/>
          <w:szCs w:val="22"/>
        </w:rPr>
        <w:t xml:space="preserve"> </w:t>
      </w:r>
      <w:r w:rsidR="003862BE" w:rsidRPr="00296317">
        <w:rPr>
          <w:sz w:val="22"/>
          <w:szCs w:val="22"/>
        </w:rPr>
        <w:t>navázáno</w:t>
      </w:r>
      <w:r w:rsidR="0079185A" w:rsidRPr="00296317">
        <w:rPr>
          <w:sz w:val="22"/>
          <w:szCs w:val="22"/>
        </w:rPr>
        <w:t xml:space="preserve"> </w:t>
      </w:r>
      <w:r w:rsidR="00C739D5">
        <w:rPr>
          <w:sz w:val="22"/>
          <w:szCs w:val="22"/>
        </w:rPr>
        <w:t xml:space="preserve">také </w:t>
      </w:r>
      <w:r w:rsidR="0079185A" w:rsidRPr="00296317">
        <w:rPr>
          <w:sz w:val="22"/>
          <w:szCs w:val="22"/>
        </w:rPr>
        <w:t>na systém včasného varování a prevence před dopady extrémních klimatických jevů</w:t>
      </w:r>
      <w:r w:rsidR="00C739D5">
        <w:rPr>
          <w:sz w:val="22"/>
          <w:szCs w:val="22"/>
        </w:rPr>
        <w:t xml:space="preserve"> a efektivního řešení mimořádných událostí nastalých v důsledku změn klimatu</w:t>
      </w:r>
      <w:r w:rsidR="003862BE" w:rsidRPr="00296317">
        <w:rPr>
          <w:sz w:val="22"/>
          <w:szCs w:val="22"/>
        </w:rPr>
        <w:t>. V této souvislosti je potřeba podporovat rozvoj a posílení IZS, zvýšení ochrany kritické infrastruktury a zvyšování enviro</w:t>
      </w:r>
      <w:r w:rsidR="00964C4A" w:rsidRPr="00296317">
        <w:rPr>
          <w:sz w:val="22"/>
          <w:szCs w:val="22"/>
        </w:rPr>
        <w:t>n</w:t>
      </w:r>
      <w:r w:rsidR="003862BE" w:rsidRPr="00296317">
        <w:rPr>
          <w:sz w:val="22"/>
          <w:szCs w:val="22"/>
        </w:rPr>
        <w:t>mentální bezpečnosti.</w:t>
      </w:r>
      <w:r w:rsidR="003862BE" w:rsidRPr="00A9356E">
        <w:rPr>
          <w:sz w:val="22"/>
          <w:szCs w:val="22"/>
        </w:rPr>
        <w:t xml:space="preserve"> </w:t>
      </w:r>
      <w:r w:rsidR="0079185A" w:rsidRPr="00A9356E">
        <w:rPr>
          <w:sz w:val="22"/>
          <w:szCs w:val="22"/>
        </w:rPr>
        <w:t xml:space="preserve"> </w:t>
      </w:r>
    </w:p>
    <w:p w:rsidR="0079185A" w:rsidRPr="00A9356E" w:rsidRDefault="00F85569" w:rsidP="000C4C97">
      <w:pPr>
        <w:rPr>
          <w:sz w:val="22"/>
          <w:szCs w:val="22"/>
        </w:rPr>
      </w:pPr>
      <w:r w:rsidRPr="005547CA">
        <w:rPr>
          <w:b/>
          <w:sz w:val="22"/>
          <w:szCs w:val="22"/>
        </w:rPr>
        <w:t>Cestovní ruch</w:t>
      </w:r>
      <w:r w:rsidRPr="005547CA">
        <w:rPr>
          <w:sz w:val="22"/>
          <w:szCs w:val="22"/>
        </w:rPr>
        <w:t>:</w:t>
      </w:r>
      <w:r w:rsidR="005547CA" w:rsidRPr="005547CA">
        <w:rPr>
          <w:sz w:val="22"/>
          <w:szCs w:val="22"/>
        </w:rPr>
        <w:t xml:space="preserve"> t</w:t>
      </w:r>
      <w:r w:rsidR="003862BE" w:rsidRPr="00A9356E">
        <w:rPr>
          <w:sz w:val="22"/>
          <w:szCs w:val="22"/>
        </w:rPr>
        <w:t xml:space="preserve">éma </w:t>
      </w:r>
      <w:r w:rsidR="003862BE" w:rsidRPr="00296317">
        <w:rPr>
          <w:sz w:val="22"/>
          <w:szCs w:val="22"/>
        </w:rPr>
        <w:t>udržitelného cestovního ruchu je ovlivněno proměnou</w:t>
      </w:r>
      <w:r w:rsidR="0079185A" w:rsidRPr="00296317">
        <w:rPr>
          <w:sz w:val="22"/>
          <w:szCs w:val="22"/>
        </w:rPr>
        <w:t xml:space="preserve"> sezónního cestovního ruchu zejména v horských a podhorských oblastech</w:t>
      </w:r>
      <w:r w:rsidR="0079185A" w:rsidRPr="00A9356E">
        <w:rPr>
          <w:sz w:val="22"/>
          <w:szCs w:val="22"/>
        </w:rPr>
        <w:t xml:space="preserve">. </w:t>
      </w:r>
      <w:r w:rsidR="000C4C97">
        <w:rPr>
          <w:sz w:val="22"/>
          <w:szCs w:val="22"/>
        </w:rPr>
        <w:t>Zároveň toto téma akcentuje nutnost přizpůsobení se služeb cestovního ruchu trendům v oblasti hospodaření s vodou. Dále toto téma řeší problematiku zachování potenciálu a řízení návštěvnosti v exponovaných místech cestovního ruchu.</w:t>
      </w:r>
    </w:p>
    <w:p w:rsidR="00F85569" w:rsidRPr="00A9356E" w:rsidRDefault="008071DB">
      <w:pPr>
        <w:rPr>
          <w:b/>
          <w:sz w:val="22"/>
          <w:szCs w:val="22"/>
        </w:rPr>
      </w:pPr>
      <w:r w:rsidRPr="00A9356E">
        <w:rPr>
          <w:b/>
          <w:sz w:val="22"/>
          <w:szCs w:val="22"/>
        </w:rPr>
        <w:t>Veřejná prostranství</w:t>
      </w:r>
      <w:r w:rsidR="002F55F6" w:rsidRPr="00A9356E">
        <w:rPr>
          <w:b/>
          <w:sz w:val="22"/>
          <w:szCs w:val="22"/>
        </w:rPr>
        <w:t>:</w:t>
      </w:r>
      <w:r w:rsidR="005547CA" w:rsidRPr="005547CA">
        <w:rPr>
          <w:b/>
          <w:sz w:val="22"/>
          <w:szCs w:val="22"/>
        </w:rPr>
        <w:t xml:space="preserve"> </w:t>
      </w:r>
      <w:r w:rsidR="005547CA" w:rsidRPr="00A9356E">
        <w:rPr>
          <w:sz w:val="22"/>
          <w:szCs w:val="22"/>
        </w:rPr>
        <w:t>t</w:t>
      </w:r>
      <w:r w:rsidR="003862BE" w:rsidRPr="00A9356E">
        <w:rPr>
          <w:sz w:val="22"/>
          <w:szCs w:val="22"/>
        </w:rPr>
        <w:t xml:space="preserve">éma kvality a funkce veřejných prostranství je navázáno na </w:t>
      </w:r>
      <w:r w:rsidR="003862BE" w:rsidRPr="00296317">
        <w:rPr>
          <w:sz w:val="22"/>
          <w:szCs w:val="22"/>
        </w:rPr>
        <w:t>připravenost urbanizovaných území</w:t>
      </w:r>
      <w:r w:rsidR="00F85569" w:rsidRPr="00296317">
        <w:rPr>
          <w:sz w:val="22"/>
          <w:szCs w:val="22"/>
        </w:rPr>
        <w:t xml:space="preserve"> (</w:t>
      </w:r>
      <w:r w:rsidR="003862BE" w:rsidRPr="00296317">
        <w:rPr>
          <w:sz w:val="22"/>
          <w:szCs w:val="22"/>
        </w:rPr>
        <w:t>sídelní krajiny</w:t>
      </w:r>
      <w:r w:rsidR="00F85569" w:rsidRPr="00296317">
        <w:rPr>
          <w:sz w:val="22"/>
          <w:szCs w:val="22"/>
        </w:rPr>
        <w:t>)</w:t>
      </w:r>
      <w:r w:rsidR="003862BE" w:rsidRPr="00296317">
        <w:rPr>
          <w:sz w:val="22"/>
          <w:szCs w:val="22"/>
        </w:rPr>
        <w:t xml:space="preserve"> na změnu klimatu</w:t>
      </w:r>
      <w:r w:rsidR="00F85569" w:rsidRPr="00296317">
        <w:rPr>
          <w:sz w:val="22"/>
          <w:szCs w:val="22"/>
        </w:rPr>
        <w:t>, která</w:t>
      </w:r>
      <w:r w:rsidR="003862BE" w:rsidRPr="00296317">
        <w:rPr>
          <w:sz w:val="22"/>
          <w:szCs w:val="22"/>
        </w:rPr>
        <w:t xml:space="preserve"> zahrnuje zejména udržitelné hospodaření s vodou, funkční propojení ploch s převažujícími přírodními složkami tvořící systém sídelní zeleně</w:t>
      </w:r>
      <w:r w:rsidR="00F85569" w:rsidRPr="00296317">
        <w:rPr>
          <w:sz w:val="22"/>
          <w:szCs w:val="22"/>
        </w:rPr>
        <w:t>, ale také souvisí se zvyšováním pasivního (případně energeticky ziskového) standardu</w:t>
      </w:r>
      <w:r w:rsidR="003862BE" w:rsidRPr="00296317">
        <w:rPr>
          <w:sz w:val="22"/>
          <w:szCs w:val="22"/>
        </w:rPr>
        <w:t xml:space="preserve"> </w:t>
      </w:r>
      <w:r w:rsidR="00F85569" w:rsidRPr="00296317">
        <w:rPr>
          <w:sz w:val="22"/>
          <w:szCs w:val="22"/>
        </w:rPr>
        <w:t>novostaveb a rekonstrukcí.</w:t>
      </w:r>
    </w:p>
    <w:p w:rsidR="00F85569" w:rsidRPr="00F86BC2" w:rsidRDefault="00E6210C" w:rsidP="00A9356E">
      <w:pPr>
        <w:rPr>
          <w:b/>
          <w:sz w:val="22"/>
          <w:szCs w:val="22"/>
        </w:rPr>
      </w:pPr>
      <w:r w:rsidRPr="00A9356E">
        <w:rPr>
          <w:sz w:val="22"/>
          <w:szCs w:val="22"/>
        </w:rPr>
        <w:t xml:space="preserve">Přizpůsobení se změně klimatu samozřejmě souvisí i s oblastmi, které </w:t>
      </w:r>
      <w:r w:rsidR="00F85569" w:rsidRPr="005D1E67">
        <w:rPr>
          <w:sz w:val="22"/>
          <w:szCs w:val="22"/>
        </w:rPr>
        <w:t xml:space="preserve">mají </w:t>
      </w:r>
      <w:r w:rsidR="00CD4151" w:rsidRPr="00A9356E">
        <w:rPr>
          <w:sz w:val="22"/>
          <w:szCs w:val="22"/>
        </w:rPr>
        <w:t>přímý příspěvek na změn</w:t>
      </w:r>
      <w:r w:rsidR="00F85569" w:rsidRPr="005D1E67">
        <w:rPr>
          <w:sz w:val="22"/>
          <w:szCs w:val="22"/>
        </w:rPr>
        <w:t>u</w:t>
      </w:r>
      <w:r w:rsidR="00CD4151" w:rsidRPr="00A9356E">
        <w:rPr>
          <w:sz w:val="22"/>
          <w:szCs w:val="22"/>
        </w:rPr>
        <w:t xml:space="preserve"> klimatu</w:t>
      </w:r>
      <w:r w:rsidR="009C2562" w:rsidRPr="00A9356E">
        <w:rPr>
          <w:sz w:val="22"/>
          <w:szCs w:val="22"/>
        </w:rPr>
        <w:t xml:space="preserve"> jako takov</w:t>
      </w:r>
      <w:r w:rsidR="00F85569" w:rsidRPr="005D1E67">
        <w:rPr>
          <w:sz w:val="22"/>
          <w:szCs w:val="22"/>
        </w:rPr>
        <w:t>ou</w:t>
      </w:r>
      <w:r w:rsidRPr="00A9356E">
        <w:rPr>
          <w:sz w:val="22"/>
          <w:szCs w:val="22"/>
        </w:rPr>
        <w:t>:</w:t>
      </w:r>
      <w:r w:rsidR="002F55F6" w:rsidRPr="00A9356E">
        <w:rPr>
          <w:sz w:val="22"/>
          <w:szCs w:val="22"/>
        </w:rPr>
        <w:t xml:space="preserve"> </w:t>
      </w:r>
      <w:r w:rsidRPr="00A9356E">
        <w:rPr>
          <w:b/>
          <w:sz w:val="22"/>
          <w:szCs w:val="22"/>
        </w:rPr>
        <w:t>Ochrana životního prostředí a oběhové hospodářství</w:t>
      </w:r>
      <w:r w:rsidR="00F85569" w:rsidRPr="00A9356E">
        <w:rPr>
          <w:b/>
          <w:sz w:val="22"/>
          <w:szCs w:val="22"/>
        </w:rPr>
        <w:t>,</w:t>
      </w:r>
      <w:r w:rsidR="00F85569" w:rsidRPr="005D1E67">
        <w:rPr>
          <w:b/>
          <w:sz w:val="22"/>
          <w:szCs w:val="22"/>
        </w:rPr>
        <w:t xml:space="preserve"> Posun k nízkouhlíkovému hospodářství, Doprava a Podpo</w:t>
      </w:r>
      <w:r w:rsidR="00313E40">
        <w:rPr>
          <w:b/>
          <w:sz w:val="22"/>
          <w:szCs w:val="22"/>
        </w:rPr>
        <w:t>ra</w:t>
      </w:r>
      <w:r w:rsidR="00F85569" w:rsidRPr="005D1E67">
        <w:rPr>
          <w:b/>
          <w:sz w:val="22"/>
          <w:szCs w:val="22"/>
        </w:rPr>
        <w:t xml:space="preserve"> podnikání a průmyslu.</w:t>
      </w:r>
    </w:p>
    <w:p w:rsidR="00067F71" w:rsidRPr="00A9356E" w:rsidRDefault="00067F71" w:rsidP="00254F4C">
      <w:pPr>
        <w:pStyle w:val="Odstavecseseznamem"/>
        <w:numPr>
          <w:ilvl w:val="2"/>
          <w:numId w:val="9"/>
        </w:numPr>
        <w:ind w:left="567" w:hanging="567"/>
        <w:rPr>
          <w:rFonts w:ascii="Arial" w:hAnsi="Arial"/>
          <w:b/>
          <w:sz w:val="22"/>
          <w:szCs w:val="22"/>
          <w:u w:val="single"/>
        </w:rPr>
      </w:pPr>
      <w:r w:rsidRPr="00A9356E">
        <w:rPr>
          <w:rFonts w:ascii="Arial" w:hAnsi="Arial"/>
          <w:b/>
          <w:sz w:val="22"/>
          <w:szCs w:val="22"/>
          <w:u w:val="single"/>
        </w:rPr>
        <w:t>Územní dimenze</w:t>
      </w:r>
    </w:p>
    <w:p w:rsidR="004108A3" w:rsidRPr="00A9356E" w:rsidRDefault="004108A3" w:rsidP="00A9356E">
      <w:pPr>
        <w:rPr>
          <w:sz w:val="22"/>
          <w:szCs w:val="22"/>
        </w:rPr>
      </w:pPr>
      <w:r w:rsidRPr="00A9356E">
        <w:rPr>
          <w:sz w:val="22"/>
          <w:szCs w:val="22"/>
        </w:rPr>
        <w:t xml:space="preserve">Územní dimenze </w:t>
      </w:r>
      <w:r w:rsidR="00313E40">
        <w:rPr>
          <w:sz w:val="22"/>
          <w:szCs w:val="22"/>
        </w:rPr>
        <w:t>(ÚD)</w:t>
      </w:r>
      <w:r w:rsidRPr="00A9356E">
        <w:rPr>
          <w:sz w:val="22"/>
          <w:szCs w:val="22"/>
        </w:rPr>
        <w:t xml:space="preserve"> je jedním ze základních rozměrů nejen kohezní politiky, ale všech politik EU, jelikož jsou vždy realizovány v určitém území a pro konkrétní populaci a mají na něj buď přímý, nebo nepřímý dopad. </w:t>
      </w:r>
    </w:p>
    <w:p w:rsidR="004108A3" w:rsidRPr="00A9356E" w:rsidRDefault="004108A3" w:rsidP="00A9356E">
      <w:pPr>
        <w:rPr>
          <w:sz w:val="22"/>
          <w:szCs w:val="22"/>
        </w:rPr>
      </w:pPr>
      <w:r w:rsidRPr="00A9356E">
        <w:rPr>
          <w:sz w:val="22"/>
          <w:szCs w:val="22"/>
        </w:rPr>
        <w:t>Zvláštní pozornost je třeba věnovat „hraničním“ oblastem správních území (např. krajů), která často vykazují stav obdobn</w:t>
      </w:r>
      <w:r w:rsidR="00062678">
        <w:rPr>
          <w:sz w:val="22"/>
          <w:szCs w:val="22"/>
        </w:rPr>
        <w:t>ý</w:t>
      </w:r>
      <w:r w:rsidRPr="00A9356E">
        <w:rPr>
          <w:sz w:val="22"/>
          <w:szCs w:val="22"/>
        </w:rPr>
        <w:t xml:space="preserve"> hospodářsky slabý</w:t>
      </w:r>
      <w:r w:rsidR="005A146B">
        <w:rPr>
          <w:sz w:val="22"/>
          <w:szCs w:val="22"/>
        </w:rPr>
        <w:t>m</w:t>
      </w:r>
      <w:r w:rsidRPr="00A9356E">
        <w:rPr>
          <w:sz w:val="22"/>
          <w:szCs w:val="22"/>
        </w:rPr>
        <w:t xml:space="preserve"> region</w:t>
      </w:r>
      <w:r w:rsidR="005A146B">
        <w:rPr>
          <w:sz w:val="22"/>
          <w:szCs w:val="22"/>
        </w:rPr>
        <w:t>ům</w:t>
      </w:r>
      <w:r w:rsidRPr="00A9356E">
        <w:rPr>
          <w:sz w:val="22"/>
          <w:szCs w:val="22"/>
        </w:rPr>
        <w:t>.</w:t>
      </w:r>
      <w:r w:rsidR="005C6381">
        <w:rPr>
          <w:sz w:val="22"/>
          <w:szCs w:val="22"/>
        </w:rPr>
        <w:t xml:space="preserve"> Pro rozvoj odlehlých částí regionů a malých obcí může být budoucím řešením a již současnou výzvou využití služeb na dálku za pomocí digitálních technologií</w:t>
      </w:r>
      <w:r w:rsidR="00E62596">
        <w:rPr>
          <w:sz w:val="22"/>
          <w:szCs w:val="22"/>
        </w:rPr>
        <w:t xml:space="preserve"> (viz Společnost 4.0).</w:t>
      </w:r>
    </w:p>
    <w:p w:rsidR="003B4CF1" w:rsidRPr="00A9356E" w:rsidRDefault="004108A3" w:rsidP="004108A3">
      <w:pPr>
        <w:rPr>
          <w:sz w:val="22"/>
          <w:szCs w:val="22"/>
        </w:rPr>
      </w:pPr>
      <w:r w:rsidRPr="00A9356E">
        <w:rPr>
          <w:sz w:val="22"/>
          <w:szCs w:val="22"/>
        </w:rPr>
        <w:t xml:space="preserve">Nejvyšší územní dopad (dimenzi) mají SC NKR pod prioritou </w:t>
      </w:r>
      <w:r w:rsidRPr="00A9356E">
        <w:rPr>
          <w:b/>
          <w:sz w:val="22"/>
          <w:szCs w:val="22"/>
        </w:rPr>
        <w:t>Udržitelný rozvoj</w:t>
      </w:r>
      <w:r w:rsidR="003B4CF1" w:rsidRPr="00A9356E">
        <w:rPr>
          <w:sz w:val="22"/>
          <w:szCs w:val="22"/>
        </w:rPr>
        <w:t>:</w:t>
      </w:r>
    </w:p>
    <w:p w:rsidR="004108A3" w:rsidRPr="00A9356E" w:rsidRDefault="004108A3" w:rsidP="004108A3">
      <w:pPr>
        <w:rPr>
          <w:sz w:val="22"/>
          <w:szCs w:val="22"/>
        </w:rPr>
      </w:pPr>
      <w:r w:rsidRPr="00A9356E">
        <w:rPr>
          <w:sz w:val="22"/>
          <w:szCs w:val="22"/>
        </w:rPr>
        <w:t xml:space="preserve">Nejvyšší z nich má </w:t>
      </w:r>
      <w:r w:rsidR="002F55F6" w:rsidRPr="00A9356E">
        <w:rPr>
          <w:sz w:val="22"/>
          <w:szCs w:val="22"/>
        </w:rPr>
        <w:t xml:space="preserve">SC </w:t>
      </w:r>
      <w:r w:rsidR="003B4CF1" w:rsidRPr="00A9356E">
        <w:rPr>
          <w:sz w:val="22"/>
          <w:szCs w:val="22"/>
        </w:rPr>
        <w:t>Zkvalitňování veřejných prostranství a rozvoj zelené infrastruktury</w:t>
      </w:r>
      <w:r w:rsidRPr="00A9356E">
        <w:rPr>
          <w:sz w:val="22"/>
          <w:szCs w:val="22"/>
        </w:rPr>
        <w:t xml:space="preserve">. Úroveň veřejných prostranství </w:t>
      </w:r>
      <w:r w:rsidR="005A146B">
        <w:rPr>
          <w:sz w:val="22"/>
          <w:szCs w:val="22"/>
        </w:rPr>
        <w:t xml:space="preserve">ve </w:t>
      </w:r>
      <w:r w:rsidRPr="00A9356E">
        <w:rPr>
          <w:sz w:val="22"/>
          <w:szCs w:val="22"/>
        </w:rPr>
        <w:t xml:space="preserve">všech </w:t>
      </w:r>
      <w:r w:rsidR="005A146B">
        <w:rPr>
          <w:sz w:val="22"/>
          <w:szCs w:val="22"/>
        </w:rPr>
        <w:t>typech</w:t>
      </w:r>
      <w:r w:rsidR="005A146B" w:rsidRPr="00A9356E">
        <w:rPr>
          <w:sz w:val="22"/>
          <w:szCs w:val="22"/>
        </w:rPr>
        <w:t xml:space="preserve"> </w:t>
      </w:r>
      <w:r w:rsidRPr="00A9356E">
        <w:rPr>
          <w:sz w:val="22"/>
          <w:szCs w:val="22"/>
        </w:rPr>
        <w:t xml:space="preserve">obcí vytváří základní prostředí, které má vliv na </w:t>
      </w:r>
      <w:r w:rsidR="00204E28" w:rsidRPr="005547CA">
        <w:rPr>
          <w:sz w:val="22"/>
          <w:szCs w:val="22"/>
        </w:rPr>
        <w:t xml:space="preserve">jejich </w:t>
      </w:r>
      <w:r w:rsidRPr="00A9356E">
        <w:rPr>
          <w:sz w:val="22"/>
          <w:szCs w:val="22"/>
        </w:rPr>
        <w:t xml:space="preserve">rozvojový potenciál. (Toto bývá například hodnoceno při umísťování firem s vyšší přidanou hodnotu.) Nicméně jak </w:t>
      </w:r>
      <w:r w:rsidRPr="00A9356E">
        <w:rPr>
          <w:i/>
          <w:sz w:val="22"/>
          <w:szCs w:val="22"/>
        </w:rPr>
        <w:t>kultura a kulturní dědictví, tak cestovní ruch a rozvoj bezmotorové dopravy</w:t>
      </w:r>
      <w:r w:rsidRPr="00A9356E">
        <w:rPr>
          <w:sz w:val="22"/>
          <w:szCs w:val="22"/>
        </w:rPr>
        <w:t xml:space="preserve"> </w:t>
      </w:r>
      <w:r w:rsidRPr="00A9356E">
        <w:rPr>
          <w:b/>
          <w:sz w:val="22"/>
          <w:szCs w:val="22"/>
        </w:rPr>
        <w:t>mají velmi vysokou relevanci</w:t>
      </w:r>
      <w:r w:rsidRPr="00A9356E">
        <w:rPr>
          <w:sz w:val="22"/>
          <w:szCs w:val="22"/>
        </w:rPr>
        <w:t xml:space="preserve"> a přínos pro ÚD. </w:t>
      </w:r>
    </w:p>
    <w:p w:rsidR="003B4CF1" w:rsidRPr="00A9356E" w:rsidRDefault="00F80E86" w:rsidP="004108A3">
      <w:pPr>
        <w:rPr>
          <w:sz w:val="22"/>
          <w:szCs w:val="22"/>
        </w:rPr>
      </w:pPr>
      <w:r>
        <w:rPr>
          <w:sz w:val="22"/>
          <w:szCs w:val="22"/>
        </w:rPr>
        <w:t>Nejvyšší územní dopady mají také SC NKR pod prioritou</w:t>
      </w:r>
      <w:r w:rsidR="00173514" w:rsidRPr="00A9356E">
        <w:rPr>
          <w:sz w:val="22"/>
          <w:szCs w:val="22"/>
        </w:rPr>
        <w:t xml:space="preserve"> </w:t>
      </w:r>
      <w:r w:rsidR="004108A3" w:rsidRPr="00A9356E">
        <w:rPr>
          <w:b/>
          <w:sz w:val="22"/>
          <w:szCs w:val="22"/>
        </w:rPr>
        <w:t>Dostupnost a mobilita</w:t>
      </w:r>
      <w:r w:rsidR="003B4CF1" w:rsidRPr="00A9356E">
        <w:rPr>
          <w:sz w:val="22"/>
          <w:szCs w:val="22"/>
        </w:rPr>
        <w:t>:</w:t>
      </w:r>
    </w:p>
    <w:p w:rsidR="004108A3" w:rsidRPr="00A9356E" w:rsidRDefault="004108A3" w:rsidP="004108A3">
      <w:pPr>
        <w:rPr>
          <w:sz w:val="22"/>
          <w:szCs w:val="22"/>
        </w:rPr>
      </w:pPr>
      <w:r w:rsidRPr="00A9356E">
        <w:rPr>
          <w:b/>
          <w:sz w:val="22"/>
          <w:szCs w:val="22"/>
        </w:rPr>
        <w:t>Dopravní infrastruktura, dopravní obs</w:t>
      </w:r>
      <w:r w:rsidR="00F81854" w:rsidRPr="00A9356E">
        <w:rPr>
          <w:b/>
          <w:sz w:val="22"/>
          <w:szCs w:val="22"/>
        </w:rPr>
        <w:t xml:space="preserve">lužnost, integrovanost </w:t>
      </w:r>
      <w:r w:rsidRPr="00A9356E">
        <w:rPr>
          <w:b/>
          <w:sz w:val="22"/>
          <w:szCs w:val="22"/>
        </w:rPr>
        <w:t>dopravy, multimodalita, zvýšení využívání alternativních paliv a využití vozidel s alternativním pohonem</w:t>
      </w:r>
      <w:r w:rsidRPr="00A9356E">
        <w:rPr>
          <w:sz w:val="22"/>
          <w:szCs w:val="22"/>
        </w:rPr>
        <w:t xml:space="preserve"> je třeba realizovat na základě místních podmínek. Do realizace těchto specifických cílů je třeba zapojit místní orgány a relevantní územní aktéry</w:t>
      </w:r>
      <w:r w:rsidR="00796A80" w:rsidRPr="00796A80">
        <w:rPr>
          <w:sz w:val="22"/>
          <w:szCs w:val="22"/>
        </w:rPr>
        <w:t>,</w:t>
      </w:r>
      <w:r w:rsidR="00796A80" w:rsidRPr="00590FD1">
        <w:rPr>
          <w:sz w:val="22"/>
          <w:szCs w:val="22"/>
        </w:rPr>
        <w:t xml:space="preserve"> tak aby navrhovaná řešení byla chytrá s ohledem na místní potenciál a kontext</w:t>
      </w:r>
      <w:r w:rsidRPr="00796A80">
        <w:rPr>
          <w:sz w:val="22"/>
          <w:szCs w:val="22"/>
        </w:rPr>
        <w:t>.</w:t>
      </w:r>
      <w:r w:rsidRPr="00A9356E">
        <w:rPr>
          <w:sz w:val="22"/>
          <w:szCs w:val="22"/>
        </w:rPr>
        <w:t xml:space="preserve"> Dále mají všechny tyto SC přímý dopad na rozvojový potenciál daného území a udržení života ve venkovských a znevýhodněných, hospodářsky slabších oblastech. </w:t>
      </w:r>
    </w:p>
    <w:p w:rsidR="004108A3" w:rsidRPr="00A9356E" w:rsidRDefault="009C2562" w:rsidP="004108A3">
      <w:pPr>
        <w:rPr>
          <w:sz w:val="22"/>
          <w:szCs w:val="22"/>
        </w:rPr>
      </w:pPr>
      <w:r w:rsidRPr="00A9356E">
        <w:rPr>
          <w:sz w:val="22"/>
          <w:szCs w:val="22"/>
        </w:rPr>
        <w:t>Další důležité oblasti</w:t>
      </w:r>
      <w:r w:rsidR="00F81854" w:rsidRPr="00A9356E">
        <w:rPr>
          <w:sz w:val="22"/>
          <w:szCs w:val="22"/>
        </w:rPr>
        <w:t>:</w:t>
      </w:r>
    </w:p>
    <w:p w:rsidR="003B4CF1" w:rsidRPr="00A9356E" w:rsidRDefault="00F81854" w:rsidP="004108A3">
      <w:pPr>
        <w:rPr>
          <w:sz w:val="22"/>
          <w:szCs w:val="22"/>
        </w:rPr>
      </w:pPr>
      <w:r w:rsidRPr="00A9356E">
        <w:rPr>
          <w:sz w:val="22"/>
          <w:szCs w:val="22"/>
        </w:rPr>
        <w:t>V rámci priority NKR</w:t>
      </w:r>
      <w:r w:rsidR="004108A3" w:rsidRPr="00A9356E">
        <w:rPr>
          <w:sz w:val="22"/>
          <w:szCs w:val="22"/>
        </w:rPr>
        <w:t xml:space="preserve"> </w:t>
      </w:r>
      <w:r w:rsidR="004108A3" w:rsidRPr="00A9356E">
        <w:rPr>
          <w:b/>
          <w:sz w:val="22"/>
          <w:szCs w:val="22"/>
        </w:rPr>
        <w:t>Nízkouhlíková ekonomika a odpovědnost k životnímu prostředí</w:t>
      </w:r>
      <w:r w:rsidR="003B4CF1" w:rsidRPr="00A9356E">
        <w:rPr>
          <w:sz w:val="22"/>
          <w:szCs w:val="22"/>
        </w:rPr>
        <w:t>:</w:t>
      </w:r>
    </w:p>
    <w:p w:rsidR="00633242" w:rsidRDefault="004108A3" w:rsidP="004108A3">
      <w:pPr>
        <w:rPr>
          <w:sz w:val="22"/>
          <w:szCs w:val="22"/>
        </w:rPr>
      </w:pPr>
      <w:r w:rsidRPr="00A9356E">
        <w:rPr>
          <w:sz w:val="22"/>
          <w:szCs w:val="22"/>
        </w:rPr>
        <w:t xml:space="preserve">Ochrana </w:t>
      </w:r>
      <w:r w:rsidR="0060332B" w:rsidRPr="00A9356E">
        <w:rPr>
          <w:b/>
          <w:sz w:val="22"/>
          <w:szCs w:val="22"/>
        </w:rPr>
        <w:t>krajiny</w:t>
      </w:r>
      <w:r w:rsidRPr="00A9356E">
        <w:rPr>
          <w:b/>
          <w:sz w:val="22"/>
          <w:szCs w:val="22"/>
        </w:rPr>
        <w:t xml:space="preserve"> a přírod</w:t>
      </w:r>
      <w:r w:rsidR="0060332B" w:rsidRPr="00A9356E">
        <w:rPr>
          <w:b/>
          <w:sz w:val="22"/>
          <w:szCs w:val="22"/>
        </w:rPr>
        <w:t>y</w:t>
      </w:r>
      <w:r w:rsidR="0060332B" w:rsidRPr="00A9356E">
        <w:rPr>
          <w:sz w:val="22"/>
          <w:szCs w:val="22"/>
        </w:rPr>
        <w:t>, která</w:t>
      </w:r>
      <w:r w:rsidRPr="00A9356E">
        <w:rPr>
          <w:sz w:val="22"/>
          <w:szCs w:val="22"/>
        </w:rPr>
        <w:t xml:space="preserve"> </w:t>
      </w:r>
      <w:r w:rsidR="00063525">
        <w:rPr>
          <w:sz w:val="22"/>
          <w:szCs w:val="22"/>
        </w:rPr>
        <w:t>má</w:t>
      </w:r>
      <w:r w:rsidR="00063525" w:rsidRPr="00A9356E">
        <w:rPr>
          <w:sz w:val="22"/>
          <w:szCs w:val="22"/>
        </w:rPr>
        <w:t xml:space="preserve"> </w:t>
      </w:r>
      <w:r w:rsidR="00D20C52">
        <w:rPr>
          <w:sz w:val="22"/>
          <w:szCs w:val="22"/>
        </w:rPr>
        <w:t>vlastní</w:t>
      </w:r>
      <w:r w:rsidRPr="00A9356E">
        <w:rPr>
          <w:sz w:val="22"/>
          <w:szCs w:val="22"/>
        </w:rPr>
        <w:t xml:space="preserve"> územ</w:t>
      </w:r>
      <w:r w:rsidR="00063525">
        <w:rPr>
          <w:sz w:val="22"/>
          <w:szCs w:val="22"/>
        </w:rPr>
        <w:t>ní rozměr,</w:t>
      </w:r>
      <w:r w:rsidRPr="00A9356E">
        <w:rPr>
          <w:sz w:val="22"/>
          <w:szCs w:val="22"/>
        </w:rPr>
        <w:t xml:space="preserve"> je ve značné míře </w:t>
      </w:r>
      <w:r w:rsidR="00063525">
        <w:rPr>
          <w:sz w:val="22"/>
          <w:szCs w:val="22"/>
        </w:rPr>
        <w:t xml:space="preserve">ve </w:t>
      </w:r>
      <w:r w:rsidRPr="00A9356E">
        <w:rPr>
          <w:sz w:val="22"/>
          <w:szCs w:val="22"/>
        </w:rPr>
        <w:t xml:space="preserve">správě místních orgánů nebo </w:t>
      </w:r>
      <w:r w:rsidR="00063525">
        <w:rPr>
          <w:sz w:val="22"/>
          <w:szCs w:val="22"/>
        </w:rPr>
        <w:t xml:space="preserve">přímo </w:t>
      </w:r>
      <w:r w:rsidR="00063525" w:rsidRPr="00A9356E">
        <w:rPr>
          <w:sz w:val="22"/>
          <w:szCs w:val="22"/>
        </w:rPr>
        <w:t>ve vlastnictví</w:t>
      </w:r>
      <w:r w:rsidR="00063525">
        <w:rPr>
          <w:sz w:val="22"/>
          <w:szCs w:val="22"/>
        </w:rPr>
        <w:t xml:space="preserve"> obcí a soukromých místních aktérů</w:t>
      </w:r>
      <w:r w:rsidRPr="00A9356E">
        <w:rPr>
          <w:sz w:val="22"/>
          <w:szCs w:val="22"/>
        </w:rPr>
        <w:t>, a na jejím stavu a míře ochrany se odvíjí i směry rozvoje území</w:t>
      </w:r>
      <w:r w:rsidR="00D20C52">
        <w:rPr>
          <w:sz w:val="22"/>
          <w:szCs w:val="22"/>
        </w:rPr>
        <w:t>.</w:t>
      </w:r>
    </w:p>
    <w:p w:rsidR="00633242" w:rsidRDefault="0060332B" w:rsidP="004108A3">
      <w:pPr>
        <w:rPr>
          <w:sz w:val="22"/>
          <w:szCs w:val="22"/>
        </w:rPr>
      </w:pPr>
      <w:r w:rsidRPr="00A9356E">
        <w:rPr>
          <w:b/>
          <w:sz w:val="22"/>
          <w:szCs w:val="22"/>
        </w:rPr>
        <w:t>Kvalita</w:t>
      </w:r>
      <w:r w:rsidR="004108A3" w:rsidRPr="00A9356E">
        <w:rPr>
          <w:b/>
          <w:sz w:val="22"/>
          <w:szCs w:val="22"/>
        </w:rPr>
        <w:t xml:space="preserve"> ovzduší</w:t>
      </w:r>
      <w:r w:rsidR="00204E28" w:rsidRPr="005547CA">
        <w:rPr>
          <w:b/>
          <w:sz w:val="22"/>
          <w:szCs w:val="22"/>
        </w:rPr>
        <w:t>:</w:t>
      </w:r>
      <w:r w:rsidRPr="00A9356E">
        <w:rPr>
          <w:b/>
          <w:sz w:val="22"/>
          <w:szCs w:val="22"/>
        </w:rPr>
        <w:t xml:space="preserve"> </w:t>
      </w:r>
      <w:r w:rsidR="004108A3" w:rsidRPr="00A9356E">
        <w:rPr>
          <w:sz w:val="22"/>
          <w:szCs w:val="22"/>
        </w:rPr>
        <w:t xml:space="preserve">má rovněž vysokou relevanci vzhledem k lokálním znečišťovatelům. Zvláštní pozornost je třeba věnovat teplárenským společnostem a společnostem zabývajícím se energetickým zpracováním odpadu, které jsou </w:t>
      </w:r>
      <w:r w:rsidR="00204E28" w:rsidRPr="005547CA">
        <w:rPr>
          <w:sz w:val="22"/>
          <w:szCs w:val="22"/>
        </w:rPr>
        <w:t xml:space="preserve">často </w:t>
      </w:r>
      <w:r w:rsidR="004108A3" w:rsidRPr="00A9356E">
        <w:rPr>
          <w:sz w:val="22"/>
          <w:szCs w:val="22"/>
        </w:rPr>
        <w:t xml:space="preserve">plně, nebo částečně vlastněny obcemi. </w:t>
      </w:r>
    </w:p>
    <w:p w:rsidR="00633242" w:rsidRDefault="0060332B" w:rsidP="004108A3">
      <w:pPr>
        <w:rPr>
          <w:b/>
          <w:sz w:val="22"/>
          <w:szCs w:val="22"/>
        </w:rPr>
      </w:pPr>
      <w:r w:rsidRPr="00A9356E">
        <w:rPr>
          <w:b/>
          <w:sz w:val="22"/>
          <w:szCs w:val="22"/>
        </w:rPr>
        <w:t>K</w:t>
      </w:r>
      <w:r w:rsidR="004108A3" w:rsidRPr="00A9356E">
        <w:rPr>
          <w:b/>
          <w:sz w:val="22"/>
          <w:szCs w:val="22"/>
        </w:rPr>
        <w:t>valita a dostupnost vody</w:t>
      </w:r>
      <w:r w:rsidR="00204E28" w:rsidRPr="005547CA">
        <w:rPr>
          <w:sz w:val="22"/>
          <w:szCs w:val="22"/>
        </w:rPr>
        <w:t xml:space="preserve">: </w:t>
      </w:r>
      <w:r w:rsidR="00D20543">
        <w:rPr>
          <w:sz w:val="22"/>
          <w:szCs w:val="22"/>
        </w:rPr>
        <w:t>m</w:t>
      </w:r>
      <w:r w:rsidR="004108A3" w:rsidRPr="00A9356E">
        <w:rPr>
          <w:sz w:val="22"/>
          <w:szCs w:val="22"/>
        </w:rPr>
        <w:t xml:space="preserve">ístní orgány </w:t>
      </w:r>
      <w:r w:rsidR="00D20543">
        <w:rPr>
          <w:sz w:val="22"/>
          <w:szCs w:val="22"/>
        </w:rPr>
        <w:t>jsou v ČR majoritními vlastníky vodohospodářského majetku a</w:t>
      </w:r>
      <w:r w:rsidR="004108A3" w:rsidRPr="00A9356E">
        <w:rPr>
          <w:sz w:val="22"/>
          <w:szCs w:val="22"/>
        </w:rPr>
        <w:t xml:space="preserve"> intervence v této oblasti by měly </w:t>
      </w:r>
      <w:r w:rsidR="00F254B5" w:rsidRPr="00590FD1">
        <w:rPr>
          <w:sz w:val="22"/>
          <w:szCs w:val="22"/>
        </w:rPr>
        <w:t>sloužit</w:t>
      </w:r>
      <w:r w:rsidR="004108A3" w:rsidRPr="00A9356E">
        <w:rPr>
          <w:sz w:val="22"/>
          <w:szCs w:val="22"/>
        </w:rPr>
        <w:t xml:space="preserve"> těmto orgánů</w:t>
      </w:r>
      <w:r w:rsidR="00313E40">
        <w:rPr>
          <w:sz w:val="22"/>
          <w:szCs w:val="22"/>
        </w:rPr>
        <w:t>m</w:t>
      </w:r>
      <w:r w:rsidR="004108A3" w:rsidRPr="00A9356E">
        <w:rPr>
          <w:sz w:val="22"/>
          <w:szCs w:val="22"/>
        </w:rPr>
        <w:t xml:space="preserve"> </w:t>
      </w:r>
      <w:r w:rsidR="00F254B5" w:rsidRPr="00590FD1">
        <w:rPr>
          <w:sz w:val="22"/>
          <w:szCs w:val="22"/>
        </w:rPr>
        <w:t>i jakýmkoliv jiným vlastníkům či</w:t>
      </w:r>
      <w:r w:rsidR="004108A3" w:rsidRPr="00A9356E">
        <w:rPr>
          <w:sz w:val="22"/>
          <w:szCs w:val="22"/>
        </w:rPr>
        <w:t xml:space="preserve"> provozovatelům </w:t>
      </w:r>
      <w:r w:rsidR="00F254B5" w:rsidRPr="00590FD1">
        <w:rPr>
          <w:sz w:val="22"/>
          <w:szCs w:val="22"/>
        </w:rPr>
        <w:t>vodohospodářského majetku tak, aby bylo zajištěno technicky i finančně nejlepší řešení pro konečného zákazníka</w:t>
      </w:r>
      <w:r w:rsidR="004108A3" w:rsidRPr="00A9356E">
        <w:rPr>
          <w:sz w:val="22"/>
          <w:szCs w:val="22"/>
        </w:rPr>
        <w:t>.</w:t>
      </w:r>
      <w:r w:rsidR="005547CA" w:rsidRPr="005547CA">
        <w:rPr>
          <w:b/>
          <w:sz w:val="22"/>
          <w:szCs w:val="22"/>
        </w:rPr>
        <w:t xml:space="preserve"> </w:t>
      </w:r>
    </w:p>
    <w:p w:rsidR="00633242" w:rsidRDefault="00204E28" w:rsidP="004108A3">
      <w:pPr>
        <w:rPr>
          <w:sz w:val="22"/>
          <w:szCs w:val="22"/>
        </w:rPr>
      </w:pPr>
      <w:r w:rsidRPr="005547CA">
        <w:rPr>
          <w:b/>
          <w:sz w:val="22"/>
          <w:szCs w:val="22"/>
        </w:rPr>
        <w:t>B</w:t>
      </w:r>
      <w:r w:rsidR="004108A3" w:rsidRPr="00A9356E">
        <w:rPr>
          <w:b/>
          <w:sz w:val="22"/>
          <w:szCs w:val="22"/>
        </w:rPr>
        <w:t>rownfields</w:t>
      </w:r>
      <w:r w:rsidR="005547CA" w:rsidRPr="005547CA">
        <w:rPr>
          <w:b/>
          <w:sz w:val="22"/>
          <w:szCs w:val="22"/>
        </w:rPr>
        <w:t>:</w:t>
      </w:r>
      <w:r w:rsidR="004108A3" w:rsidRPr="00A9356E">
        <w:rPr>
          <w:sz w:val="22"/>
          <w:szCs w:val="22"/>
        </w:rPr>
        <w:t xml:space="preserve"> jsou často v centru obcí a toto území je mnohem vhodnější přetvořit na oblast např. </w:t>
      </w:r>
      <w:r w:rsidR="00313E40">
        <w:rPr>
          <w:sz w:val="22"/>
          <w:szCs w:val="22"/>
        </w:rPr>
        <w:t xml:space="preserve">pro </w:t>
      </w:r>
      <w:r w:rsidR="004108A3" w:rsidRPr="00A9356E">
        <w:rPr>
          <w:sz w:val="22"/>
          <w:szCs w:val="22"/>
        </w:rPr>
        <w:t xml:space="preserve">bydlení, než mu vracet jeho původní funkci. </w:t>
      </w:r>
    </w:p>
    <w:p w:rsidR="00633242" w:rsidRDefault="004108A3" w:rsidP="004108A3">
      <w:pPr>
        <w:rPr>
          <w:sz w:val="22"/>
          <w:szCs w:val="22"/>
        </w:rPr>
      </w:pPr>
      <w:r w:rsidRPr="00A9356E">
        <w:rPr>
          <w:b/>
          <w:sz w:val="22"/>
          <w:szCs w:val="22"/>
        </w:rPr>
        <w:t>Vzdělávání</w:t>
      </w:r>
      <w:r w:rsidR="0060332B" w:rsidRPr="00A9356E">
        <w:rPr>
          <w:b/>
          <w:sz w:val="22"/>
          <w:szCs w:val="22"/>
        </w:rPr>
        <w:t xml:space="preserve"> k udržitelnému rozvoji</w:t>
      </w:r>
      <w:r w:rsidR="005547CA" w:rsidRPr="005547CA">
        <w:rPr>
          <w:b/>
          <w:sz w:val="22"/>
          <w:szCs w:val="22"/>
        </w:rPr>
        <w:t>:</w:t>
      </w:r>
      <w:r w:rsidRPr="00A9356E">
        <w:rPr>
          <w:sz w:val="22"/>
          <w:szCs w:val="22"/>
        </w:rPr>
        <w:t xml:space="preserve"> </w:t>
      </w:r>
      <w:r w:rsidR="00A670E9" w:rsidRPr="00A9356E">
        <w:rPr>
          <w:sz w:val="22"/>
          <w:szCs w:val="22"/>
        </w:rPr>
        <w:t xml:space="preserve">by mělo směřovat nejen k udržitelnému rozvoji, </w:t>
      </w:r>
      <w:r w:rsidR="00A670E9" w:rsidRPr="00590FD1">
        <w:rPr>
          <w:sz w:val="22"/>
          <w:szCs w:val="22"/>
        </w:rPr>
        <w:t>vzdělávání je nutno považovat za jeden ze základních faktorů zajišťujících kontinuitu rozvoje malých měst a venkovských oblastí, což bude nabývat na významu s budoucími nároky Společnosti 4,0.</w:t>
      </w:r>
      <w:r w:rsidR="005547CA" w:rsidRPr="005547CA">
        <w:rPr>
          <w:sz w:val="22"/>
          <w:szCs w:val="22"/>
        </w:rPr>
        <w:t xml:space="preserve"> </w:t>
      </w:r>
    </w:p>
    <w:p w:rsidR="00633242" w:rsidRDefault="005547CA" w:rsidP="004108A3">
      <w:pPr>
        <w:rPr>
          <w:b/>
          <w:sz w:val="22"/>
          <w:szCs w:val="22"/>
        </w:rPr>
      </w:pPr>
      <w:r w:rsidRPr="005547CA">
        <w:rPr>
          <w:b/>
          <w:sz w:val="22"/>
          <w:szCs w:val="22"/>
        </w:rPr>
        <w:t>Oběhové</w:t>
      </w:r>
      <w:r w:rsidR="004108A3" w:rsidRPr="00A9356E">
        <w:rPr>
          <w:b/>
          <w:sz w:val="22"/>
          <w:szCs w:val="22"/>
        </w:rPr>
        <w:t xml:space="preserve"> hospodářství</w:t>
      </w:r>
      <w:r w:rsidR="00056965" w:rsidRPr="00A9356E">
        <w:rPr>
          <w:i/>
          <w:sz w:val="22"/>
          <w:szCs w:val="22"/>
        </w:rPr>
        <w:t xml:space="preserve"> </w:t>
      </w:r>
      <w:r w:rsidR="004108A3" w:rsidRPr="00A9356E">
        <w:rPr>
          <w:sz w:val="22"/>
          <w:szCs w:val="22"/>
        </w:rPr>
        <w:t xml:space="preserve">je sice obecný národní cíl, nicméně obce jsou ze zákona odpovědné za nakládání s odpadem a na způsob </w:t>
      </w:r>
      <w:r w:rsidRPr="005547CA">
        <w:rPr>
          <w:sz w:val="22"/>
          <w:szCs w:val="22"/>
        </w:rPr>
        <w:t>realizace</w:t>
      </w:r>
      <w:r w:rsidR="004108A3" w:rsidRPr="00A9356E">
        <w:rPr>
          <w:sz w:val="22"/>
          <w:szCs w:val="22"/>
        </w:rPr>
        <w:t xml:space="preserve"> mají </w:t>
      </w:r>
      <w:r w:rsidRPr="005547CA">
        <w:rPr>
          <w:sz w:val="22"/>
          <w:szCs w:val="22"/>
        </w:rPr>
        <w:t xml:space="preserve">proto </w:t>
      </w:r>
      <w:r w:rsidR="004108A3" w:rsidRPr="00A9356E">
        <w:rPr>
          <w:sz w:val="22"/>
          <w:szCs w:val="22"/>
        </w:rPr>
        <w:t>značný vliv místní pod</w:t>
      </w:r>
      <w:r w:rsidR="00DD3962" w:rsidRPr="00A9356E">
        <w:rPr>
          <w:sz w:val="22"/>
          <w:szCs w:val="22"/>
        </w:rPr>
        <w:t>mínky a dostupnost technologií.</w:t>
      </w:r>
      <w:r w:rsidRPr="005547CA">
        <w:rPr>
          <w:b/>
          <w:sz w:val="22"/>
          <w:szCs w:val="22"/>
        </w:rPr>
        <w:t xml:space="preserve"> </w:t>
      </w:r>
    </w:p>
    <w:p w:rsidR="004108A3" w:rsidRPr="00A9356E" w:rsidRDefault="0060332B" w:rsidP="004108A3">
      <w:pPr>
        <w:rPr>
          <w:b/>
          <w:sz w:val="22"/>
          <w:szCs w:val="22"/>
        </w:rPr>
      </w:pPr>
      <w:r w:rsidRPr="00A9356E">
        <w:rPr>
          <w:b/>
          <w:sz w:val="22"/>
          <w:szCs w:val="22"/>
        </w:rPr>
        <w:t>Nízkouhlíkové technologie</w:t>
      </w:r>
      <w:r w:rsidR="005547CA" w:rsidRPr="005547CA">
        <w:rPr>
          <w:b/>
          <w:sz w:val="22"/>
          <w:szCs w:val="22"/>
        </w:rPr>
        <w:t>:</w:t>
      </w:r>
      <w:r w:rsidR="00056965" w:rsidRPr="00A9356E">
        <w:rPr>
          <w:i/>
          <w:sz w:val="22"/>
          <w:szCs w:val="22"/>
        </w:rPr>
        <w:t xml:space="preserve"> </w:t>
      </w:r>
      <w:r w:rsidR="004108A3" w:rsidRPr="00A9356E">
        <w:rPr>
          <w:sz w:val="22"/>
          <w:szCs w:val="22"/>
        </w:rPr>
        <w:t xml:space="preserve">se z hlediska ÚD </w:t>
      </w:r>
      <w:r w:rsidRPr="00A9356E">
        <w:rPr>
          <w:sz w:val="22"/>
          <w:szCs w:val="22"/>
        </w:rPr>
        <w:t>týkají</w:t>
      </w:r>
      <w:r w:rsidR="004108A3" w:rsidRPr="00A9356E">
        <w:rPr>
          <w:sz w:val="22"/>
          <w:szCs w:val="22"/>
        </w:rPr>
        <w:t xml:space="preserve"> především městské a regionální veřejné dopravy, ale též dalších služeb poskytovaných v území nejen veře</w:t>
      </w:r>
      <w:r w:rsidR="00DD3962" w:rsidRPr="00A9356E">
        <w:rPr>
          <w:sz w:val="22"/>
          <w:szCs w:val="22"/>
        </w:rPr>
        <w:t>jnými subjekty.</w:t>
      </w:r>
      <w:r w:rsidR="005547CA" w:rsidRPr="005547CA">
        <w:rPr>
          <w:b/>
          <w:sz w:val="22"/>
          <w:szCs w:val="22"/>
        </w:rPr>
        <w:t xml:space="preserve"> </w:t>
      </w:r>
      <w:r w:rsidR="00262AE0" w:rsidRPr="00A9356E">
        <w:rPr>
          <w:sz w:val="22"/>
          <w:szCs w:val="22"/>
        </w:rPr>
        <w:t>V rámci</w:t>
      </w:r>
      <w:r w:rsidR="004108A3" w:rsidRPr="00A9356E">
        <w:rPr>
          <w:sz w:val="22"/>
          <w:szCs w:val="22"/>
        </w:rPr>
        <w:t xml:space="preserve"> </w:t>
      </w:r>
      <w:r w:rsidR="004108A3" w:rsidRPr="00A9356E">
        <w:rPr>
          <w:b/>
          <w:sz w:val="22"/>
          <w:szCs w:val="22"/>
        </w:rPr>
        <w:t xml:space="preserve">výroby a akumulace </w:t>
      </w:r>
      <w:r w:rsidR="00262AE0" w:rsidRPr="00A9356E">
        <w:rPr>
          <w:b/>
          <w:sz w:val="22"/>
          <w:szCs w:val="22"/>
        </w:rPr>
        <w:t>tepla</w:t>
      </w:r>
      <w:r w:rsidR="004108A3" w:rsidRPr="00A9356E">
        <w:rPr>
          <w:sz w:val="22"/>
          <w:szCs w:val="22"/>
        </w:rPr>
        <w:t xml:space="preserve"> je třeba z pohledu ÚD věnovat pozornost zejména teplárenským </w:t>
      </w:r>
      <w:r w:rsidR="00262AE0" w:rsidRPr="00A9356E">
        <w:rPr>
          <w:sz w:val="22"/>
          <w:szCs w:val="22"/>
        </w:rPr>
        <w:t xml:space="preserve">a distribučním </w:t>
      </w:r>
      <w:r w:rsidR="004108A3" w:rsidRPr="00A9356E">
        <w:rPr>
          <w:sz w:val="22"/>
          <w:szCs w:val="22"/>
        </w:rPr>
        <w:t>společnostem</w:t>
      </w:r>
      <w:r w:rsidR="00262AE0" w:rsidRPr="00A9356E">
        <w:rPr>
          <w:sz w:val="22"/>
          <w:szCs w:val="22"/>
        </w:rPr>
        <w:t xml:space="preserve"> </w:t>
      </w:r>
      <w:r w:rsidR="00204E28" w:rsidRPr="005547CA">
        <w:rPr>
          <w:sz w:val="22"/>
          <w:szCs w:val="22"/>
        </w:rPr>
        <w:t>s majetkovým podílem měst</w:t>
      </w:r>
      <w:r w:rsidR="004108A3" w:rsidRPr="00A9356E">
        <w:rPr>
          <w:sz w:val="22"/>
          <w:szCs w:val="22"/>
        </w:rPr>
        <w:t xml:space="preserve"> </w:t>
      </w:r>
      <w:r w:rsidR="00173514" w:rsidRPr="00A9356E">
        <w:rPr>
          <w:sz w:val="22"/>
          <w:szCs w:val="22"/>
        </w:rPr>
        <w:t>(viz</w:t>
      </w:r>
      <w:r w:rsidR="00262AE0" w:rsidRPr="00A9356E">
        <w:rPr>
          <w:sz w:val="22"/>
          <w:szCs w:val="22"/>
        </w:rPr>
        <w:t xml:space="preserve"> provázanost s </w:t>
      </w:r>
      <w:r w:rsidR="00262AE0" w:rsidRPr="00A9356E">
        <w:rPr>
          <w:b/>
          <w:sz w:val="22"/>
          <w:szCs w:val="22"/>
        </w:rPr>
        <w:t>kvalitou</w:t>
      </w:r>
      <w:r w:rsidR="004108A3" w:rsidRPr="00A9356E">
        <w:rPr>
          <w:b/>
          <w:sz w:val="22"/>
          <w:szCs w:val="22"/>
        </w:rPr>
        <w:t xml:space="preserve"> ovzduší</w:t>
      </w:r>
      <w:r w:rsidR="00262AE0" w:rsidRPr="00A9356E">
        <w:rPr>
          <w:b/>
          <w:sz w:val="22"/>
          <w:szCs w:val="22"/>
        </w:rPr>
        <w:t xml:space="preserve"> a výrobou elektrické energie</w:t>
      </w:r>
      <w:r w:rsidR="00173514" w:rsidRPr="00A9356E">
        <w:rPr>
          <w:sz w:val="22"/>
          <w:szCs w:val="22"/>
        </w:rPr>
        <w:t>)</w:t>
      </w:r>
      <w:r w:rsidR="004108A3" w:rsidRPr="00A9356E">
        <w:rPr>
          <w:sz w:val="22"/>
          <w:szCs w:val="22"/>
        </w:rPr>
        <w:t xml:space="preserve">.  </w:t>
      </w:r>
    </w:p>
    <w:p w:rsidR="004108A3" w:rsidRPr="00A9356E" w:rsidRDefault="00F81854" w:rsidP="004108A3">
      <w:pPr>
        <w:rPr>
          <w:sz w:val="22"/>
          <w:szCs w:val="22"/>
        </w:rPr>
      </w:pPr>
      <w:r w:rsidRPr="00A9356E">
        <w:rPr>
          <w:sz w:val="22"/>
          <w:szCs w:val="22"/>
        </w:rPr>
        <w:t xml:space="preserve">Ostatní oblasti a jejich vztah k </w:t>
      </w:r>
      <w:r w:rsidR="00056965" w:rsidRPr="00A9356E">
        <w:rPr>
          <w:sz w:val="22"/>
          <w:szCs w:val="22"/>
        </w:rPr>
        <w:t>ú</w:t>
      </w:r>
      <w:r w:rsidRPr="00A9356E">
        <w:rPr>
          <w:sz w:val="22"/>
          <w:szCs w:val="22"/>
        </w:rPr>
        <w:t>zemní dimenzi:</w:t>
      </w:r>
    </w:p>
    <w:p w:rsidR="00633242" w:rsidRDefault="004108A3" w:rsidP="004108A3">
      <w:pPr>
        <w:rPr>
          <w:sz w:val="22"/>
          <w:szCs w:val="22"/>
        </w:rPr>
      </w:pPr>
      <w:r w:rsidRPr="00A9356E">
        <w:rPr>
          <w:sz w:val="22"/>
          <w:szCs w:val="22"/>
        </w:rPr>
        <w:t xml:space="preserve">V rámci priority NKR </w:t>
      </w:r>
      <w:r w:rsidRPr="00A9356E">
        <w:rPr>
          <w:b/>
          <w:sz w:val="22"/>
          <w:szCs w:val="22"/>
        </w:rPr>
        <w:t>Rozvoj založený na výzkumu, inovacích a uplatnění nových technologií</w:t>
      </w:r>
      <w:r w:rsidRPr="00A9356E">
        <w:rPr>
          <w:sz w:val="22"/>
          <w:szCs w:val="22"/>
        </w:rPr>
        <w:t xml:space="preserve"> je ÚD významná zejména proto, že má přímý dopad na </w:t>
      </w:r>
      <w:r w:rsidRPr="00A9356E">
        <w:rPr>
          <w:b/>
          <w:sz w:val="22"/>
          <w:szCs w:val="22"/>
        </w:rPr>
        <w:t>zvýšení rozvojového potenciálu území</w:t>
      </w:r>
      <w:r w:rsidRPr="00A9356E">
        <w:rPr>
          <w:sz w:val="22"/>
          <w:szCs w:val="22"/>
        </w:rPr>
        <w:t xml:space="preserve">, jeho atraktivity, kvality a rozvoje pracovní síly v místě. Naopak </w:t>
      </w:r>
      <w:r w:rsidR="00262AE0" w:rsidRPr="00A9356E">
        <w:rPr>
          <w:b/>
          <w:sz w:val="22"/>
          <w:szCs w:val="22"/>
        </w:rPr>
        <w:t>informační a komunikační systémy veřejné správy</w:t>
      </w:r>
      <w:r w:rsidR="00262AE0" w:rsidRPr="00A9356E">
        <w:rPr>
          <w:sz w:val="22"/>
          <w:szCs w:val="22"/>
        </w:rPr>
        <w:t xml:space="preserve"> </w:t>
      </w:r>
      <w:r w:rsidRPr="00A9356E">
        <w:rPr>
          <w:sz w:val="22"/>
          <w:szCs w:val="22"/>
        </w:rPr>
        <w:t>je vho</w:t>
      </w:r>
      <w:r w:rsidR="00583B6A" w:rsidRPr="00A9356E">
        <w:rPr>
          <w:sz w:val="22"/>
          <w:szCs w:val="22"/>
        </w:rPr>
        <w:t xml:space="preserve">dné řešit co možná </w:t>
      </w:r>
      <w:r w:rsidR="00262AE0" w:rsidRPr="00A9356E">
        <w:rPr>
          <w:sz w:val="22"/>
          <w:szCs w:val="22"/>
        </w:rPr>
        <w:t>nejvíce jednotně</w:t>
      </w:r>
      <w:r w:rsidRPr="00A9356E">
        <w:rPr>
          <w:sz w:val="22"/>
          <w:szCs w:val="22"/>
        </w:rPr>
        <w:t xml:space="preserve"> z národní úrovně.</w:t>
      </w:r>
      <w:r w:rsidR="00583B6A" w:rsidRPr="00A9356E">
        <w:rPr>
          <w:sz w:val="22"/>
          <w:szCs w:val="22"/>
        </w:rPr>
        <w:t xml:space="preserve"> </w:t>
      </w:r>
    </w:p>
    <w:p w:rsidR="00633242" w:rsidRDefault="00583B6A" w:rsidP="004108A3">
      <w:pPr>
        <w:rPr>
          <w:sz w:val="22"/>
          <w:szCs w:val="22"/>
        </w:rPr>
      </w:pPr>
      <w:r w:rsidRPr="00A9356E">
        <w:rPr>
          <w:sz w:val="22"/>
          <w:szCs w:val="22"/>
        </w:rPr>
        <w:t>V rámci priority</w:t>
      </w:r>
      <w:r w:rsidR="004108A3" w:rsidRPr="00A9356E">
        <w:rPr>
          <w:sz w:val="22"/>
          <w:szCs w:val="22"/>
        </w:rPr>
        <w:t xml:space="preserve"> NKR </w:t>
      </w:r>
      <w:r w:rsidR="004108A3" w:rsidRPr="00A9356E">
        <w:rPr>
          <w:b/>
          <w:sz w:val="22"/>
          <w:szCs w:val="22"/>
        </w:rPr>
        <w:t>Vzdělaná a sociálně soudržná společnost</w:t>
      </w:r>
      <w:r w:rsidRPr="00A9356E">
        <w:rPr>
          <w:b/>
          <w:sz w:val="22"/>
          <w:szCs w:val="22"/>
        </w:rPr>
        <w:t xml:space="preserve"> </w:t>
      </w:r>
      <w:r w:rsidRPr="00A9356E">
        <w:rPr>
          <w:sz w:val="22"/>
          <w:szCs w:val="22"/>
        </w:rPr>
        <w:t xml:space="preserve">má </w:t>
      </w:r>
      <w:r w:rsidR="004108A3" w:rsidRPr="00A9356E">
        <w:rPr>
          <w:sz w:val="22"/>
          <w:szCs w:val="22"/>
        </w:rPr>
        <w:t>vysokou relevanci</w:t>
      </w:r>
      <w:r w:rsidR="00262AE0" w:rsidRPr="00A9356E">
        <w:rPr>
          <w:sz w:val="22"/>
          <w:szCs w:val="22"/>
        </w:rPr>
        <w:t xml:space="preserve"> </w:t>
      </w:r>
      <w:r w:rsidR="00262AE0" w:rsidRPr="00A9356E">
        <w:rPr>
          <w:b/>
          <w:sz w:val="22"/>
          <w:szCs w:val="22"/>
        </w:rPr>
        <w:t>zefektivňování a digitalizace veřejných služeb</w:t>
      </w:r>
      <w:r w:rsidR="004108A3" w:rsidRPr="00A9356E">
        <w:rPr>
          <w:sz w:val="22"/>
          <w:szCs w:val="22"/>
        </w:rPr>
        <w:t xml:space="preserve">, </w:t>
      </w:r>
      <w:r w:rsidR="00FF6F1E" w:rsidRPr="00590FD1">
        <w:rPr>
          <w:sz w:val="22"/>
          <w:szCs w:val="22"/>
        </w:rPr>
        <w:t>včetně služeb poskytovaných veřejnou správou</w:t>
      </w:r>
      <w:r w:rsidR="00FF6F1E">
        <w:rPr>
          <w:sz w:val="22"/>
          <w:szCs w:val="22"/>
        </w:rPr>
        <w:t>,</w:t>
      </w:r>
      <w:r w:rsidR="00FF6F1E" w:rsidRPr="00A9356E">
        <w:rPr>
          <w:sz w:val="22"/>
          <w:szCs w:val="22"/>
        </w:rPr>
        <w:t xml:space="preserve"> </w:t>
      </w:r>
      <w:r w:rsidR="004108A3" w:rsidRPr="00A9356E">
        <w:rPr>
          <w:sz w:val="22"/>
          <w:szCs w:val="22"/>
        </w:rPr>
        <w:t>protože řadu služeb a systémů provozují místní a regionální orgány, případně další územní aktéři.</w:t>
      </w:r>
      <w:r w:rsidRPr="00A9356E">
        <w:rPr>
          <w:sz w:val="22"/>
          <w:szCs w:val="22"/>
        </w:rPr>
        <w:t xml:space="preserve"> </w:t>
      </w:r>
    </w:p>
    <w:p w:rsidR="00633242" w:rsidRDefault="00262AE0" w:rsidP="004108A3">
      <w:pPr>
        <w:rPr>
          <w:sz w:val="22"/>
          <w:szCs w:val="22"/>
        </w:rPr>
      </w:pPr>
      <w:r w:rsidRPr="00A9356E">
        <w:rPr>
          <w:b/>
          <w:sz w:val="22"/>
          <w:szCs w:val="22"/>
        </w:rPr>
        <w:t>Trh</w:t>
      </w:r>
      <w:r w:rsidR="004108A3" w:rsidRPr="00A9356E">
        <w:rPr>
          <w:b/>
          <w:sz w:val="22"/>
          <w:szCs w:val="22"/>
        </w:rPr>
        <w:t xml:space="preserve"> práce</w:t>
      </w:r>
      <w:r w:rsidR="00E873DF" w:rsidRPr="00A9356E">
        <w:rPr>
          <w:b/>
          <w:sz w:val="22"/>
          <w:szCs w:val="22"/>
        </w:rPr>
        <w:t xml:space="preserve"> a zaměstnanost</w:t>
      </w:r>
      <w:r w:rsidR="004108A3" w:rsidRPr="00A9356E">
        <w:rPr>
          <w:sz w:val="22"/>
          <w:szCs w:val="22"/>
        </w:rPr>
        <w:t xml:space="preserve"> má vysokou relevanci</w:t>
      </w:r>
      <w:r w:rsidR="00E873DF" w:rsidRPr="00A9356E">
        <w:rPr>
          <w:sz w:val="22"/>
          <w:szCs w:val="22"/>
        </w:rPr>
        <w:t xml:space="preserve"> zejména v </w:t>
      </w:r>
      <w:r w:rsidR="004108A3" w:rsidRPr="00A9356E">
        <w:rPr>
          <w:sz w:val="22"/>
          <w:szCs w:val="22"/>
        </w:rPr>
        <w:t>účast</w:t>
      </w:r>
      <w:r w:rsidR="00E873DF" w:rsidRPr="00A9356E">
        <w:rPr>
          <w:sz w:val="22"/>
          <w:szCs w:val="22"/>
        </w:rPr>
        <w:t>i</w:t>
      </w:r>
      <w:r w:rsidR="004108A3" w:rsidRPr="00A9356E">
        <w:rPr>
          <w:sz w:val="22"/>
          <w:szCs w:val="22"/>
        </w:rPr>
        <w:t xml:space="preserve"> znevýhodněných skupin na trhu práce</w:t>
      </w:r>
      <w:r w:rsidR="00E873DF" w:rsidRPr="00A9356E">
        <w:rPr>
          <w:sz w:val="22"/>
          <w:szCs w:val="22"/>
        </w:rPr>
        <w:t>, která</w:t>
      </w:r>
      <w:r w:rsidR="004108A3" w:rsidRPr="00A9356E">
        <w:rPr>
          <w:sz w:val="22"/>
          <w:szCs w:val="22"/>
        </w:rPr>
        <w:t xml:space="preserve"> závisí na hospodářský</w:t>
      </w:r>
      <w:r w:rsidR="00583B6A" w:rsidRPr="00A9356E">
        <w:rPr>
          <w:sz w:val="22"/>
          <w:szCs w:val="22"/>
        </w:rPr>
        <w:t>ch</w:t>
      </w:r>
      <w:r w:rsidR="004108A3" w:rsidRPr="00A9356E">
        <w:rPr>
          <w:sz w:val="22"/>
          <w:szCs w:val="22"/>
        </w:rPr>
        <w:t xml:space="preserve"> podmínkách každého území, místních pracovních příležitostech, kvalifikační</w:t>
      </w:r>
      <w:r w:rsidR="00583B6A" w:rsidRPr="00A9356E">
        <w:rPr>
          <w:sz w:val="22"/>
          <w:szCs w:val="22"/>
        </w:rPr>
        <w:t>ch a rekvalifikačních kapacit</w:t>
      </w:r>
      <w:r w:rsidR="005A146B">
        <w:rPr>
          <w:sz w:val="22"/>
          <w:szCs w:val="22"/>
        </w:rPr>
        <w:t>ách</w:t>
      </w:r>
      <w:r w:rsidR="004108A3" w:rsidRPr="00A9356E">
        <w:rPr>
          <w:sz w:val="22"/>
          <w:szCs w:val="22"/>
        </w:rPr>
        <w:t xml:space="preserve"> atd.</w:t>
      </w:r>
      <w:r w:rsidR="00583B6A" w:rsidRPr="00A9356E">
        <w:rPr>
          <w:sz w:val="22"/>
          <w:szCs w:val="22"/>
        </w:rPr>
        <w:t xml:space="preserve"> </w:t>
      </w:r>
      <w:r w:rsidR="004108A3" w:rsidRPr="00A9356E">
        <w:rPr>
          <w:b/>
          <w:sz w:val="22"/>
          <w:szCs w:val="22"/>
        </w:rPr>
        <w:t>Profesní vzdělávání</w:t>
      </w:r>
      <w:r w:rsidR="004108A3" w:rsidRPr="00A9356E">
        <w:rPr>
          <w:sz w:val="22"/>
          <w:szCs w:val="22"/>
        </w:rPr>
        <w:t xml:space="preserve"> je třeba provádět v závislosti na potřebách v daném území a místních vzdělávacích kapacitách (středoškolské a odborné vzdělávání je téměř výlučně v kompetenci krajů)</w:t>
      </w:r>
      <w:r w:rsidR="00E873DF" w:rsidRPr="00A9356E">
        <w:rPr>
          <w:sz w:val="22"/>
          <w:szCs w:val="22"/>
        </w:rPr>
        <w:t xml:space="preserve">. </w:t>
      </w:r>
      <w:r w:rsidR="004108A3" w:rsidRPr="00A9356E">
        <w:rPr>
          <w:b/>
          <w:sz w:val="22"/>
          <w:szCs w:val="22"/>
        </w:rPr>
        <w:t>Pracovní mobilita</w:t>
      </w:r>
      <w:r w:rsidR="004108A3" w:rsidRPr="00A9356E">
        <w:rPr>
          <w:sz w:val="22"/>
          <w:szCs w:val="22"/>
        </w:rPr>
        <w:t xml:space="preserve"> je záležitost, která technicky (většinou negativně) dopadá téměř výhradně na územní orgány a zejména na obce, ať už se jedná o bytovou problematiku</w:t>
      </w:r>
      <w:r w:rsidR="005A146B">
        <w:rPr>
          <w:sz w:val="22"/>
          <w:szCs w:val="22"/>
        </w:rPr>
        <w:t xml:space="preserve"> nebo</w:t>
      </w:r>
      <w:r w:rsidR="004108A3" w:rsidRPr="00A9356E">
        <w:rPr>
          <w:sz w:val="22"/>
          <w:szCs w:val="22"/>
        </w:rPr>
        <w:t xml:space="preserve"> dopravní obslu</w:t>
      </w:r>
      <w:r w:rsidR="005A146B">
        <w:rPr>
          <w:sz w:val="22"/>
          <w:szCs w:val="22"/>
        </w:rPr>
        <w:t>žnost</w:t>
      </w:r>
      <w:r w:rsidR="004108A3" w:rsidRPr="00A9356E">
        <w:rPr>
          <w:sz w:val="22"/>
          <w:szCs w:val="22"/>
        </w:rPr>
        <w:t xml:space="preserve">. </w:t>
      </w:r>
      <w:r w:rsidR="00E873DF" w:rsidRPr="00A9356E">
        <w:rPr>
          <w:sz w:val="22"/>
          <w:szCs w:val="22"/>
        </w:rPr>
        <w:t>Rozvoj</w:t>
      </w:r>
      <w:r w:rsidR="004108A3" w:rsidRPr="00A9356E">
        <w:rPr>
          <w:sz w:val="22"/>
          <w:szCs w:val="22"/>
        </w:rPr>
        <w:t xml:space="preserve"> </w:t>
      </w:r>
      <w:r w:rsidR="004108A3" w:rsidRPr="00A9356E">
        <w:rPr>
          <w:b/>
          <w:sz w:val="22"/>
          <w:szCs w:val="22"/>
        </w:rPr>
        <w:t>vzdělávacího systému</w:t>
      </w:r>
      <w:r w:rsidR="004108A3" w:rsidRPr="00A9356E">
        <w:rPr>
          <w:sz w:val="22"/>
          <w:szCs w:val="22"/>
        </w:rPr>
        <w:t xml:space="preserve"> je potřeba realizovat s ohledem na místní podmínky a potenciál.</w:t>
      </w:r>
      <w:r w:rsidR="00583B6A" w:rsidRPr="00A9356E">
        <w:rPr>
          <w:sz w:val="22"/>
          <w:szCs w:val="22"/>
        </w:rPr>
        <w:t xml:space="preserve"> </w:t>
      </w:r>
    </w:p>
    <w:p w:rsidR="004108A3" w:rsidRPr="00A9356E" w:rsidRDefault="004108A3" w:rsidP="004108A3">
      <w:pPr>
        <w:rPr>
          <w:sz w:val="22"/>
          <w:szCs w:val="22"/>
        </w:rPr>
      </w:pPr>
      <w:r w:rsidRPr="00A9356E">
        <w:rPr>
          <w:b/>
          <w:sz w:val="22"/>
          <w:szCs w:val="22"/>
        </w:rPr>
        <w:t>Sociální bydlení</w:t>
      </w:r>
      <w:r w:rsidRPr="00A9356E">
        <w:rPr>
          <w:sz w:val="22"/>
          <w:szCs w:val="22"/>
        </w:rPr>
        <w:t xml:space="preserve"> je jak z pohledu potřeb, tak realizace veskrze územní. </w:t>
      </w:r>
      <w:r w:rsidR="00B21318" w:rsidRPr="00A9356E">
        <w:rPr>
          <w:b/>
          <w:sz w:val="22"/>
          <w:szCs w:val="22"/>
        </w:rPr>
        <w:t xml:space="preserve">Sociální služby a </w:t>
      </w:r>
      <w:r w:rsidRPr="00A9356E">
        <w:rPr>
          <w:b/>
          <w:sz w:val="22"/>
          <w:szCs w:val="22"/>
        </w:rPr>
        <w:t xml:space="preserve">zdravotní </w:t>
      </w:r>
      <w:r w:rsidR="00B21318" w:rsidRPr="00A9356E">
        <w:rPr>
          <w:b/>
          <w:sz w:val="22"/>
          <w:szCs w:val="22"/>
        </w:rPr>
        <w:t>péči</w:t>
      </w:r>
      <w:r w:rsidRPr="00A9356E">
        <w:rPr>
          <w:sz w:val="22"/>
          <w:szCs w:val="22"/>
        </w:rPr>
        <w:t xml:space="preserve"> je třeba</w:t>
      </w:r>
      <w:r w:rsidR="00B21318" w:rsidRPr="00A9356E">
        <w:rPr>
          <w:sz w:val="22"/>
          <w:szCs w:val="22"/>
        </w:rPr>
        <w:t>,</w:t>
      </w:r>
      <w:r w:rsidRPr="00A9356E">
        <w:rPr>
          <w:sz w:val="22"/>
          <w:szCs w:val="22"/>
        </w:rPr>
        <w:t xml:space="preserve"> vzhledem k nastaveným kompetencím místních a</w:t>
      </w:r>
      <w:r w:rsidR="00313E40">
        <w:rPr>
          <w:sz w:val="22"/>
          <w:szCs w:val="22"/>
        </w:rPr>
        <w:t> </w:t>
      </w:r>
      <w:r w:rsidRPr="00A9356E">
        <w:rPr>
          <w:sz w:val="22"/>
          <w:szCs w:val="22"/>
        </w:rPr>
        <w:t>regionálních orgánů a zcela o</w:t>
      </w:r>
      <w:r w:rsidR="00583B6A" w:rsidRPr="00A9356E">
        <w:rPr>
          <w:sz w:val="22"/>
          <w:szCs w:val="22"/>
        </w:rPr>
        <w:t>dlišným podmínkám v</w:t>
      </w:r>
      <w:r w:rsidR="00EE5FB5" w:rsidRPr="00A9356E">
        <w:rPr>
          <w:sz w:val="22"/>
          <w:szCs w:val="22"/>
        </w:rPr>
        <w:t> </w:t>
      </w:r>
      <w:r w:rsidR="00583B6A" w:rsidRPr="00A9356E">
        <w:rPr>
          <w:sz w:val="22"/>
          <w:szCs w:val="22"/>
        </w:rPr>
        <w:t>jednotli</w:t>
      </w:r>
      <w:r w:rsidR="00E62717" w:rsidRPr="00A9356E">
        <w:rPr>
          <w:sz w:val="22"/>
          <w:szCs w:val="22"/>
        </w:rPr>
        <w:t>vých</w:t>
      </w:r>
      <w:r w:rsidR="00EE5FB5" w:rsidRPr="00A9356E">
        <w:rPr>
          <w:sz w:val="22"/>
          <w:szCs w:val="22"/>
        </w:rPr>
        <w:t xml:space="preserve"> </w:t>
      </w:r>
      <w:r w:rsidRPr="00A9356E">
        <w:rPr>
          <w:sz w:val="22"/>
          <w:szCs w:val="22"/>
        </w:rPr>
        <w:t>území</w:t>
      </w:r>
      <w:r w:rsidR="00E62717" w:rsidRPr="00A9356E">
        <w:rPr>
          <w:sz w:val="22"/>
          <w:szCs w:val="22"/>
        </w:rPr>
        <w:t>ch</w:t>
      </w:r>
      <w:r w:rsidRPr="00A9356E">
        <w:rPr>
          <w:sz w:val="22"/>
          <w:szCs w:val="22"/>
        </w:rPr>
        <w:t>, řešit zejména z</w:t>
      </w:r>
      <w:r w:rsidR="00313E40">
        <w:rPr>
          <w:sz w:val="22"/>
          <w:szCs w:val="22"/>
        </w:rPr>
        <w:t> </w:t>
      </w:r>
      <w:r w:rsidRPr="00A9356E">
        <w:rPr>
          <w:sz w:val="22"/>
          <w:szCs w:val="22"/>
        </w:rPr>
        <w:t>pohledu ÚD</w:t>
      </w:r>
      <w:r w:rsidR="004F04C2" w:rsidRPr="00633242">
        <w:rPr>
          <w:sz w:val="22"/>
          <w:szCs w:val="22"/>
        </w:rPr>
        <w:t xml:space="preserve">, </w:t>
      </w:r>
      <w:r w:rsidR="004F04C2" w:rsidRPr="00590FD1">
        <w:rPr>
          <w:sz w:val="22"/>
          <w:szCs w:val="22"/>
        </w:rPr>
        <w:t>a to včetně přesahů v okrajových územích jednotlivých správních obvodů</w:t>
      </w:r>
      <w:r w:rsidRPr="00633242">
        <w:rPr>
          <w:sz w:val="22"/>
          <w:szCs w:val="22"/>
        </w:rPr>
        <w:t>.</w:t>
      </w:r>
      <w:r w:rsidR="00583B6A" w:rsidRPr="00633242">
        <w:rPr>
          <w:sz w:val="22"/>
          <w:szCs w:val="22"/>
        </w:rPr>
        <w:t xml:space="preserve"> </w:t>
      </w:r>
      <w:r w:rsidRPr="00A9356E">
        <w:rPr>
          <w:sz w:val="22"/>
          <w:szCs w:val="22"/>
        </w:rPr>
        <w:t xml:space="preserve">Naopak </w:t>
      </w:r>
      <w:r w:rsidR="00E873DF" w:rsidRPr="00A9356E">
        <w:rPr>
          <w:sz w:val="22"/>
          <w:szCs w:val="22"/>
        </w:rPr>
        <w:t xml:space="preserve">téma </w:t>
      </w:r>
      <w:r w:rsidR="00E873DF" w:rsidRPr="00A9356E">
        <w:rPr>
          <w:b/>
          <w:sz w:val="22"/>
          <w:szCs w:val="22"/>
        </w:rPr>
        <w:t>z</w:t>
      </w:r>
      <w:r w:rsidRPr="00A9356E">
        <w:rPr>
          <w:b/>
          <w:sz w:val="22"/>
          <w:szCs w:val="22"/>
        </w:rPr>
        <w:t xml:space="preserve">ajištění rovného přístupu ke vzdělání </w:t>
      </w:r>
      <w:r w:rsidRPr="00A9356E">
        <w:rPr>
          <w:sz w:val="22"/>
          <w:szCs w:val="22"/>
        </w:rPr>
        <w:t>je mnohem vhodnější řešit komplexně na národní úrovni.</w:t>
      </w:r>
      <w:r w:rsidR="00583B6A" w:rsidRPr="00A9356E">
        <w:rPr>
          <w:sz w:val="22"/>
          <w:szCs w:val="22"/>
        </w:rPr>
        <w:t xml:space="preserve"> </w:t>
      </w:r>
    </w:p>
    <w:p w:rsidR="00D649A0" w:rsidRDefault="00D649A0" w:rsidP="00254F4C">
      <w:pPr>
        <w:pStyle w:val="Nadpis2"/>
        <w:numPr>
          <w:ilvl w:val="1"/>
          <w:numId w:val="9"/>
        </w:numPr>
        <w:spacing w:line="240" w:lineRule="auto"/>
        <w:ind w:left="425" w:hanging="431"/>
        <w:jc w:val="left"/>
      </w:pPr>
      <w:bookmarkStart w:id="80" w:name="_Toc7774229"/>
      <w:bookmarkStart w:id="81" w:name="_Toc13828225"/>
      <w:r>
        <w:t xml:space="preserve">Vztah specifických cílů NKR </w:t>
      </w:r>
      <w:r w:rsidRPr="008C6299">
        <w:t>k</w:t>
      </w:r>
      <w:r w:rsidR="00330353" w:rsidRPr="008C6299">
        <w:t> </w:t>
      </w:r>
      <w:r w:rsidR="00330353" w:rsidRPr="001B1C21">
        <w:t>procesu evropského semestru</w:t>
      </w:r>
      <w:bookmarkEnd w:id="80"/>
      <w:bookmarkEnd w:id="81"/>
    </w:p>
    <w:p w:rsidR="00330353" w:rsidRPr="00A9356E" w:rsidRDefault="00330353" w:rsidP="007020CC">
      <w:pPr>
        <w:rPr>
          <w:sz w:val="22"/>
          <w:szCs w:val="22"/>
        </w:rPr>
      </w:pPr>
      <w:r w:rsidRPr="00A9356E">
        <w:rPr>
          <w:sz w:val="22"/>
          <w:szCs w:val="22"/>
        </w:rPr>
        <w:t>Politika soudržnosti bude v období 2021-2027 mnohem těsněji propojena s Evropským semestrem, který si klade za cíl přispět k zajištění konvergence a stability v EU, přispět k</w:t>
      </w:r>
      <w:r w:rsidR="00313E40">
        <w:rPr>
          <w:sz w:val="22"/>
          <w:szCs w:val="22"/>
        </w:rPr>
        <w:t> </w:t>
      </w:r>
      <w:r w:rsidRPr="00A9356E">
        <w:rPr>
          <w:sz w:val="22"/>
          <w:szCs w:val="22"/>
        </w:rPr>
        <w:t>zajištění zdravých veřejných financí, podpořit hospodářský růst</w:t>
      </w:r>
      <w:r w:rsidR="005A146B">
        <w:rPr>
          <w:sz w:val="22"/>
          <w:szCs w:val="22"/>
        </w:rPr>
        <w:t xml:space="preserve"> a</w:t>
      </w:r>
      <w:r w:rsidRPr="00A9356E">
        <w:rPr>
          <w:sz w:val="22"/>
          <w:szCs w:val="22"/>
        </w:rPr>
        <w:t xml:space="preserve"> zamezit nadměrné makroekonomické nerovnováze v EU. Rada EU každoročně vydává specifická doporučení pro jednotlivé země - SDR, kde vyhodnocuje a komentuje dosažený pokrok a další nutné kroky přispívající k plnění cílů Evropského semestru. Rovněž identifikuje oblasti, na něž bude třeba</w:t>
      </w:r>
      <w:r w:rsidR="005A146B">
        <w:rPr>
          <w:sz w:val="22"/>
          <w:szCs w:val="22"/>
        </w:rPr>
        <w:t xml:space="preserve"> v běžném roce</w:t>
      </w:r>
      <w:r w:rsidRPr="00A9356E">
        <w:rPr>
          <w:sz w:val="22"/>
          <w:szCs w:val="22"/>
        </w:rPr>
        <w:t xml:space="preserve"> zaměřit</w:t>
      </w:r>
      <w:r w:rsidR="005A146B">
        <w:rPr>
          <w:sz w:val="22"/>
          <w:szCs w:val="22"/>
        </w:rPr>
        <w:t xml:space="preserve"> pozornost</w:t>
      </w:r>
      <w:r w:rsidRPr="00A9356E">
        <w:rPr>
          <w:sz w:val="22"/>
          <w:szCs w:val="22"/>
        </w:rPr>
        <w:t xml:space="preserve"> v souvislosti s Evropským semestrem.</w:t>
      </w:r>
    </w:p>
    <w:p w:rsidR="007020CC" w:rsidRPr="00A9356E" w:rsidRDefault="007020CC" w:rsidP="007020CC">
      <w:pPr>
        <w:rPr>
          <w:b/>
          <w:sz w:val="22"/>
          <w:szCs w:val="22"/>
        </w:rPr>
      </w:pPr>
      <w:r w:rsidRPr="00A9356E">
        <w:rPr>
          <w:sz w:val="22"/>
          <w:szCs w:val="22"/>
        </w:rPr>
        <w:t xml:space="preserve">Evropská komise </w:t>
      </w:r>
      <w:r w:rsidR="00330353" w:rsidRPr="00A9356E">
        <w:rPr>
          <w:sz w:val="22"/>
          <w:szCs w:val="22"/>
        </w:rPr>
        <w:t xml:space="preserve">jako každoročně </w:t>
      </w:r>
      <w:r w:rsidRPr="00A9356E">
        <w:rPr>
          <w:sz w:val="22"/>
          <w:szCs w:val="22"/>
        </w:rPr>
        <w:t xml:space="preserve">zveřejnila </w:t>
      </w:r>
      <w:r w:rsidR="00330353" w:rsidRPr="00A9356E">
        <w:rPr>
          <w:sz w:val="22"/>
          <w:szCs w:val="22"/>
        </w:rPr>
        <w:t>Zprávu o České republice 2019 (tzv. Country report</w:t>
      </w:r>
      <w:r w:rsidR="00802708">
        <w:rPr>
          <w:sz w:val="22"/>
          <w:szCs w:val="22"/>
        </w:rPr>
        <w:t>, dále jen „CR“</w:t>
      </w:r>
      <w:r w:rsidR="00330353" w:rsidRPr="00A9356E">
        <w:rPr>
          <w:sz w:val="22"/>
          <w:szCs w:val="22"/>
        </w:rPr>
        <w:t>)</w:t>
      </w:r>
      <w:r w:rsidR="00A92E75">
        <w:rPr>
          <w:sz w:val="22"/>
          <w:szCs w:val="22"/>
        </w:rPr>
        <w:t>a následně 5. 6. 2019 Specifická doporučení</w:t>
      </w:r>
      <w:r w:rsidR="00330353" w:rsidRPr="00A9356E">
        <w:rPr>
          <w:sz w:val="22"/>
          <w:szCs w:val="22"/>
        </w:rPr>
        <w:t xml:space="preserve">, kde hodnotí </w:t>
      </w:r>
      <w:r w:rsidR="00330353" w:rsidRPr="00A9356E">
        <w:rPr>
          <w:rStyle w:val="bold"/>
          <w:sz w:val="22"/>
          <w:szCs w:val="22"/>
        </w:rPr>
        <w:t>ekonomickou a sociální situaci v</w:t>
      </w:r>
      <w:r w:rsidR="00330353" w:rsidRPr="00A9356E">
        <w:rPr>
          <w:sz w:val="22"/>
          <w:szCs w:val="22"/>
        </w:rPr>
        <w:t xml:space="preserve"> ČR. Letošní Zpráva o</w:t>
      </w:r>
      <w:r w:rsidR="00313E40">
        <w:rPr>
          <w:sz w:val="22"/>
          <w:szCs w:val="22"/>
        </w:rPr>
        <w:t> </w:t>
      </w:r>
      <w:r w:rsidR="00330353" w:rsidRPr="00A9356E">
        <w:rPr>
          <w:sz w:val="22"/>
          <w:szCs w:val="22"/>
        </w:rPr>
        <w:t xml:space="preserve">ČR se výrazně zaměřuje na investice. Zejména v rámci </w:t>
      </w:r>
      <w:r w:rsidR="005B3CF9">
        <w:rPr>
          <w:sz w:val="22"/>
          <w:szCs w:val="22"/>
        </w:rPr>
        <w:t>Přilohy</w:t>
      </w:r>
      <w:r w:rsidR="00330353" w:rsidRPr="00A9356E">
        <w:rPr>
          <w:sz w:val="22"/>
          <w:szCs w:val="22"/>
        </w:rPr>
        <w:t xml:space="preserve"> D, která z pohledu EK popisuje hlavní investiční potřeby ČR. Příloha představuje pro EK analytický podklad pro vyjednávání s ČR o evropských fondech na období 2021-20</w:t>
      </w:r>
      <w:r w:rsidR="00E365C1">
        <w:rPr>
          <w:sz w:val="22"/>
          <w:szCs w:val="22"/>
        </w:rPr>
        <w:t>2</w:t>
      </w:r>
      <w:r w:rsidR="00330353" w:rsidRPr="00A9356E">
        <w:rPr>
          <w:sz w:val="22"/>
          <w:szCs w:val="22"/>
        </w:rPr>
        <w:t>7. Příloha obsahuje</w:t>
      </w:r>
      <w:r w:rsidR="00080229" w:rsidRPr="00A9356E">
        <w:rPr>
          <w:sz w:val="22"/>
          <w:szCs w:val="22"/>
        </w:rPr>
        <w:t xml:space="preserve"> </w:t>
      </w:r>
      <w:r w:rsidR="00313E40">
        <w:rPr>
          <w:sz w:val="22"/>
          <w:szCs w:val="22"/>
        </w:rPr>
        <w:t>43</w:t>
      </w:r>
      <w:r w:rsidRPr="00A9356E">
        <w:rPr>
          <w:sz w:val="22"/>
          <w:szCs w:val="22"/>
        </w:rPr>
        <w:t xml:space="preserve"> investičních </w:t>
      </w:r>
      <w:r w:rsidR="00E419B1" w:rsidRPr="00A9356E">
        <w:rPr>
          <w:sz w:val="22"/>
          <w:szCs w:val="22"/>
        </w:rPr>
        <w:t>návrhů</w:t>
      </w:r>
      <w:r w:rsidRPr="00A9356E">
        <w:rPr>
          <w:sz w:val="22"/>
          <w:szCs w:val="22"/>
        </w:rPr>
        <w:t xml:space="preserve"> týkající</w:t>
      </w:r>
      <w:r w:rsidR="00313E40">
        <w:rPr>
          <w:sz w:val="22"/>
          <w:szCs w:val="22"/>
        </w:rPr>
        <w:t>ch</w:t>
      </w:r>
      <w:r w:rsidRPr="00A9356E">
        <w:rPr>
          <w:sz w:val="22"/>
          <w:szCs w:val="22"/>
        </w:rPr>
        <w:t xml:space="preserve"> se oblasti politiky soudržnosti. </w:t>
      </w:r>
      <w:r w:rsidR="00E419B1" w:rsidRPr="00A9356E">
        <w:rPr>
          <w:sz w:val="22"/>
          <w:szCs w:val="22"/>
        </w:rPr>
        <w:t>Tyto investiční návrhy budou pravděpodobně z velké části transformován</w:t>
      </w:r>
      <w:r w:rsidR="005A146B">
        <w:rPr>
          <w:sz w:val="22"/>
          <w:szCs w:val="22"/>
        </w:rPr>
        <w:t>y</w:t>
      </w:r>
      <w:r w:rsidR="00E419B1" w:rsidRPr="00A9356E">
        <w:rPr>
          <w:sz w:val="22"/>
          <w:szCs w:val="22"/>
        </w:rPr>
        <w:t xml:space="preserve"> do formy Specifických Doporučení rady (Rada je vydá v červnu 2019). Návrhy </w:t>
      </w:r>
      <w:r w:rsidRPr="00A9356E">
        <w:rPr>
          <w:sz w:val="22"/>
          <w:szCs w:val="22"/>
        </w:rPr>
        <w:t xml:space="preserve">jsou rozděleny do tří úrovní intenzity potřeb jako (i) vysoce prioritní potřeby, (ii) </w:t>
      </w:r>
      <w:r w:rsidR="00884E47" w:rsidRPr="00A9356E">
        <w:rPr>
          <w:sz w:val="22"/>
          <w:szCs w:val="22"/>
        </w:rPr>
        <w:t xml:space="preserve">intenzivní </w:t>
      </w:r>
      <w:r w:rsidRPr="00A9356E">
        <w:rPr>
          <w:sz w:val="22"/>
          <w:szCs w:val="22"/>
        </w:rPr>
        <w:t xml:space="preserve">potřeby a (iii) potřeby. </w:t>
      </w:r>
      <w:r w:rsidR="00330353" w:rsidRPr="00A9356E">
        <w:rPr>
          <w:b/>
          <w:sz w:val="22"/>
          <w:szCs w:val="22"/>
        </w:rPr>
        <w:t>P</w:t>
      </w:r>
      <w:r w:rsidRPr="00A9356E">
        <w:rPr>
          <w:b/>
          <w:sz w:val="22"/>
          <w:szCs w:val="22"/>
        </w:rPr>
        <w:t>říloha</w:t>
      </w:r>
      <w:r w:rsidR="00D00E75">
        <w:rPr>
          <w:b/>
          <w:sz w:val="22"/>
          <w:szCs w:val="22"/>
        </w:rPr>
        <w:t xml:space="preserve"> </w:t>
      </w:r>
      <w:r w:rsidRPr="00A9356E">
        <w:rPr>
          <w:b/>
          <w:sz w:val="22"/>
          <w:szCs w:val="22"/>
        </w:rPr>
        <w:t xml:space="preserve">pokrývá 10 z 12 </w:t>
      </w:r>
      <w:r w:rsidR="00884E47" w:rsidRPr="00A9356E">
        <w:rPr>
          <w:b/>
          <w:sz w:val="22"/>
          <w:szCs w:val="22"/>
        </w:rPr>
        <w:t xml:space="preserve">tematických </w:t>
      </w:r>
      <w:r w:rsidRPr="00A9356E">
        <w:rPr>
          <w:b/>
          <w:sz w:val="22"/>
          <w:szCs w:val="22"/>
        </w:rPr>
        <w:t>priorit politiky soudržnosti vymezených v NKR.</w:t>
      </w:r>
      <w:r w:rsidRPr="00A9356E">
        <w:rPr>
          <w:sz w:val="22"/>
          <w:szCs w:val="22"/>
        </w:rPr>
        <w:t xml:space="preserve"> ČR chce navíc v příštím období finančně podpořit také </w:t>
      </w:r>
      <w:r w:rsidRPr="00A9356E">
        <w:rPr>
          <w:b/>
          <w:sz w:val="22"/>
          <w:szCs w:val="22"/>
        </w:rPr>
        <w:t>oblast kultury</w:t>
      </w:r>
      <w:r w:rsidR="0055457B">
        <w:rPr>
          <w:b/>
          <w:sz w:val="22"/>
          <w:szCs w:val="22"/>
        </w:rPr>
        <w:t>,</w:t>
      </w:r>
      <w:r w:rsidRPr="00A9356E">
        <w:rPr>
          <w:b/>
          <w:sz w:val="22"/>
          <w:szCs w:val="22"/>
        </w:rPr>
        <w:t xml:space="preserve"> cestovního ruchu</w:t>
      </w:r>
      <w:r w:rsidR="00722777">
        <w:rPr>
          <w:b/>
          <w:sz w:val="22"/>
          <w:szCs w:val="22"/>
        </w:rPr>
        <w:t>, ochrany obyvatelstva</w:t>
      </w:r>
      <w:r w:rsidR="0055457B">
        <w:rPr>
          <w:b/>
          <w:sz w:val="22"/>
          <w:szCs w:val="22"/>
        </w:rPr>
        <w:t xml:space="preserve"> a veřejné správy</w:t>
      </w:r>
      <w:r w:rsidRPr="00A9356E">
        <w:rPr>
          <w:sz w:val="22"/>
          <w:szCs w:val="22"/>
        </w:rPr>
        <w:t xml:space="preserve">, což jsou oblasti, které </w:t>
      </w:r>
      <w:r w:rsidR="00330353" w:rsidRPr="00A9356E">
        <w:rPr>
          <w:b/>
          <w:sz w:val="22"/>
          <w:szCs w:val="22"/>
        </w:rPr>
        <w:t>Zpráva</w:t>
      </w:r>
      <w:r w:rsidRPr="00A9356E">
        <w:rPr>
          <w:b/>
          <w:sz w:val="22"/>
          <w:szCs w:val="22"/>
        </w:rPr>
        <w:t xml:space="preserve"> nezmiňuje</w:t>
      </w:r>
      <w:r w:rsidR="00330353" w:rsidRPr="00A9356E">
        <w:rPr>
          <w:b/>
          <w:sz w:val="22"/>
          <w:szCs w:val="22"/>
        </w:rPr>
        <w:t xml:space="preserve"> v takovém rozsahu</w:t>
      </w:r>
      <w:r w:rsidRPr="00A9356E">
        <w:rPr>
          <w:sz w:val="22"/>
          <w:szCs w:val="22"/>
        </w:rPr>
        <w:t>, kulturu</w:t>
      </w:r>
      <w:r w:rsidR="00722777">
        <w:rPr>
          <w:sz w:val="22"/>
          <w:szCs w:val="22"/>
        </w:rPr>
        <w:t xml:space="preserve"> a prevenci rizika odolnosti proti katastrofám</w:t>
      </w:r>
      <w:r w:rsidRPr="00A9356E">
        <w:rPr>
          <w:sz w:val="22"/>
          <w:szCs w:val="22"/>
        </w:rPr>
        <w:t xml:space="preserve"> alespoň v rámci specifických cílů uvádí nařízení k E</w:t>
      </w:r>
      <w:r w:rsidR="00330353" w:rsidRPr="00A9356E">
        <w:rPr>
          <w:sz w:val="22"/>
          <w:szCs w:val="22"/>
        </w:rPr>
        <w:t>FRR</w:t>
      </w:r>
      <w:r w:rsidRPr="00A9356E">
        <w:rPr>
          <w:sz w:val="22"/>
          <w:szCs w:val="22"/>
        </w:rPr>
        <w:t>.</w:t>
      </w:r>
      <w:r w:rsidR="000C4C97">
        <w:rPr>
          <w:sz w:val="22"/>
          <w:szCs w:val="22"/>
        </w:rPr>
        <w:t xml:space="preserve"> Nutno však říci, že cestovní ruch je vnímán spíše jako nástroj pro realizaci cílů politiky soudržnosti, než jako samostatná priorita.</w:t>
      </w:r>
      <w:r w:rsidRPr="00A9356E">
        <w:rPr>
          <w:sz w:val="22"/>
          <w:szCs w:val="22"/>
        </w:rPr>
        <w:t xml:space="preserve"> </w:t>
      </w:r>
      <w:r w:rsidR="00D06F4F" w:rsidRPr="00A9356E">
        <w:rPr>
          <w:sz w:val="22"/>
          <w:szCs w:val="22"/>
        </w:rPr>
        <w:t xml:space="preserve">Výslovně zmíněny nejsou témata </w:t>
      </w:r>
      <w:r w:rsidR="00D06F4F" w:rsidRPr="00A9356E">
        <w:rPr>
          <w:b/>
          <w:sz w:val="22"/>
          <w:szCs w:val="22"/>
        </w:rPr>
        <w:t>kvality veřejné správy</w:t>
      </w:r>
      <w:r w:rsidR="00D06F4F" w:rsidRPr="00A9356E">
        <w:rPr>
          <w:sz w:val="22"/>
          <w:szCs w:val="22"/>
        </w:rPr>
        <w:t xml:space="preserve"> (tj. vyjma její elektronizace), </w:t>
      </w:r>
      <w:r w:rsidR="00D06F4F" w:rsidRPr="00A9356E">
        <w:rPr>
          <w:b/>
          <w:sz w:val="22"/>
          <w:szCs w:val="22"/>
        </w:rPr>
        <w:t>kybernetické bezpečnosti</w:t>
      </w:r>
      <w:r w:rsidR="00B61C2E">
        <w:rPr>
          <w:b/>
          <w:sz w:val="22"/>
          <w:szCs w:val="22"/>
        </w:rPr>
        <w:t xml:space="preserve"> a</w:t>
      </w:r>
      <w:r w:rsidR="00D06F4F" w:rsidRPr="00A9356E">
        <w:rPr>
          <w:b/>
          <w:sz w:val="22"/>
          <w:szCs w:val="22"/>
        </w:rPr>
        <w:t xml:space="preserve"> ochrany obyvatelstva</w:t>
      </w:r>
      <w:r w:rsidR="00722777">
        <w:rPr>
          <w:b/>
          <w:sz w:val="22"/>
          <w:szCs w:val="22"/>
        </w:rPr>
        <w:t xml:space="preserve"> </w:t>
      </w:r>
      <w:r w:rsidR="00722777">
        <w:rPr>
          <w:sz w:val="22"/>
          <w:szCs w:val="22"/>
        </w:rPr>
        <w:t>(v celé její šíři)</w:t>
      </w:r>
      <w:r w:rsidR="00D06F4F" w:rsidRPr="00A9356E">
        <w:rPr>
          <w:b/>
          <w:sz w:val="22"/>
          <w:szCs w:val="22"/>
        </w:rPr>
        <w:t>.</w:t>
      </w:r>
    </w:p>
    <w:p w:rsidR="007020CC" w:rsidRPr="00A9356E" w:rsidRDefault="007020CC" w:rsidP="007020CC">
      <w:pPr>
        <w:rPr>
          <w:sz w:val="22"/>
          <w:szCs w:val="22"/>
        </w:rPr>
      </w:pPr>
      <w:r w:rsidRPr="00A9356E">
        <w:rPr>
          <w:sz w:val="22"/>
          <w:szCs w:val="22"/>
        </w:rPr>
        <w:t>Jako vysoce prioritních</w:t>
      </w:r>
      <w:r w:rsidR="00884E47" w:rsidRPr="00A9356E">
        <w:rPr>
          <w:sz w:val="22"/>
          <w:szCs w:val="22"/>
        </w:rPr>
        <w:t xml:space="preserve"> (1. kategorie)</w:t>
      </w:r>
      <w:r w:rsidRPr="00A9356E">
        <w:rPr>
          <w:sz w:val="22"/>
          <w:szCs w:val="22"/>
        </w:rPr>
        <w:t xml:space="preserve"> je v CR spatřováno 29 potřeb, které spadají do tematických skupin (i) konkurenceschopnosti, výzkumu a inovací, (ii) digitalizace, automatizace a inteligentní specializace a (iii) nízkouhlíkové ekonomiky schopné účinně nakládat se zdroji a surovinami, (iv) dopravy a dopravní infrastruktury a (v) rovnosti přístupu ke vzdělávání, řešení místních nerovností ve vzdělávání a jeho vazby na trh práce a</w:t>
      </w:r>
      <w:r w:rsidR="00313E40">
        <w:rPr>
          <w:sz w:val="22"/>
          <w:szCs w:val="22"/>
        </w:rPr>
        <w:t> </w:t>
      </w:r>
      <w:r w:rsidRPr="00A9356E">
        <w:rPr>
          <w:sz w:val="22"/>
          <w:szCs w:val="22"/>
        </w:rPr>
        <w:t>excelence v terciálním vzdělávání</w:t>
      </w:r>
      <w:r w:rsidR="003F2239" w:rsidRPr="00A9356E">
        <w:rPr>
          <w:sz w:val="22"/>
          <w:szCs w:val="22"/>
        </w:rPr>
        <w:t xml:space="preserve"> a (vi) trhu práce</w:t>
      </w:r>
      <w:r w:rsidRPr="00A9356E">
        <w:rPr>
          <w:sz w:val="22"/>
          <w:szCs w:val="22"/>
        </w:rPr>
        <w:t xml:space="preserve">. Odpovídající specifické cíle i oblasti v rámci NKR jsou na základě výsledků </w:t>
      </w:r>
      <w:r w:rsidR="00884E47" w:rsidRPr="00A9356E">
        <w:rPr>
          <w:sz w:val="22"/>
          <w:szCs w:val="22"/>
        </w:rPr>
        <w:t xml:space="preserve">prioritizace </w:t>
      </w:r>
      <w:r w:rsidRPr="00A9356E">
        <w:rPr>
          <w:sz w:val="22"/>
          <w:szCs w:val="22"/>
        </w:rPr>
        <w:t xml:space="preserve">vnímány rovněž vysoce, zejména oblast ochrany životního prostředí, vzdělávání, výzkumu, vývoje a inovací a podnikání. </w:t>
      </w:r>
      <w:r w:rsidR="0055457B" w:rsidRPr="0055457B">
        <w:rPr>
          <w:sz w:val="22"/>
          <w:szCs w:val="22"/>
        </w:rPr>
        <w:t>Naopak, ačkoliv EK nevnímá oblast veřejné správy jako prioritní, tato oblast, především pak specifický cíl Zefektivnění veřejné správy pro poskytování kvalitních služeb, je na základě výsledků prioritizace ze strany ČR jako prioritní vnímána.</w:t>
      </w:r>
    </w:p>
    <w:p w:rsidR="007020CC" w:rsidRPr="00A9356E" w:rsidRDefault="007020CC" w:rsidP="007020CC">
      <w:pPr>
        <w:rPr>
          <w:sz w:val="22"/>
          <w:szCs w:val="22"/>
        </w:rPr>
      </w:pPr>
      <w:r w:rsidRPr="00A9356E">
        <w:rPr>
          <w:sz w:val="22"/>
          <w:szCs w:val="22"/>
        </w:rPr>
        <w:t>Soulad mezi pokyny C</w:t>
      </w:r>
      <w:r w:rsidR="00884E47" w:rsidRPr="00A9356E">
        <w:rPr>
          <w:sz w:val="22"/>
          <w:szCs w:val="22"/>
        </w:rPr>
        <w:t>R</w:t>
      </w:r>
      <w:r w:rsidRPr="00A9356E">
        <w:rPr>
          <w:sz w:val="22"/>
          <w:szCs w:val="22"/>
        </w:rPr>
        <w:t xml:space="preserve"> a výsledky prioritizace v oblasti politických cílů 1</w:t>
      </w:r>
      <w:r w:rsidR="00D83523">
        <w:rPr>
          <w:sz w:val="22"/>
          <w:szCs w:val="22"/>
        </w:rPr>
        <w:t xml:space="preserve"> (chytřejší Evropa)</w:t>
      </w:r>
      <w:r w:rsidRPr="00A9356E">
        <w:rPr>
          <w:sz w:val="22"/>
          <w:szCs w:val="22"/>
        </w:rPr>
        <w:t xml:space="preserve"> a 2</w:t>
      </w:r>
      <w:r w:rsidR="00D83523">
        <w:rPr>
          <w:sz w:val="22"/>
          <w:szCs w:val="22"/>
        </w:rPr>
        <w:t xml:space="preserve"> (zelenější, nízkouhlíková Evropa)</w:t>
      </w:r>
      <w:r w:rsidRPr="00A9356E">
        <w:rPr>
          <w:sz w:val="22"/>
          <w:szCs w:val="22"/>
        </w:rPr>
        <w:t xml:space="preserve"> </w:t>
      </w:r>
      <w:r w:rsidR="00313E40">
        <w:rPr>
          <w:sz w:val="22"/>
          <w:szCs w:val="22"/>
        </w:rPr>
        <w:t xml:space="preserve">návrhu </w:t>
      </w:r>
      <w:r w:rsidRPr="00A9356E">
        <w:rPr>
          <w:sz w:val="22"/>
          <w:szCs w:val="22"/>
        </w:rPr>
        <w:t>obecného nařízení j</w:t>
      </w:r>
      <w:r w:rsidR="00884E47" w:rsidRPr="00A9356E">
        <w:rPr>
          <w:sz w:val="22"/>
          <w:szCs w:val="22"/>
        </w:rPr>
        <w:t>e</w:t>
      </w:r>
      <w:r w:rsidRPr="00A9356E">
        <w:rPr>
          <w:sz w:val="22"/>
          <w:szCs w:val="22"/>
        </w:rPr>
        <w:t xml:space="preserve"> pravděpodobně dán jak významem daných témat</w:t>
      </w:r>
      <w:r w:rsidR="006533FA" w:rsidRPr="00A9356E">
        <w:rPr>
          <w:sz w:val="22"/>
          <w:szCs w:val="22"/>
        </w:rPr>
        <w:t xml:space="preserve">, </w:t>
      </w:r>
      <w:r w:rsidRPr="00A9356E">
        <w:rPr>
          <w:sz w:val="22"/>
          <w:szCs w:val="22"/>
        </w:rPr>
        <w:t xml:space="preserve">tak rigidnější vazbou mezi evropskými a národními normami a strategiemi a jasně definovanými cíli pro budoucí období v oblastech jako je ochrana životního prostředí, oběhové hospodářství nebo energetické úspory. </w:t>
      </w:r>
    </w:p>
    <w:p w:rsidR="007020CC" w:rsidRPr="00A9356E" w:rsidRDefault="007020CC" w:rsidP="007020CC">
      <w:pPr>
        <w:rPr>
          <w:sz w:val="22"/>
          <w:szCs w:val="22"/>
        </w:rPr>
      </w:pPr>
      <w:r w:rsidRPr="00A9356E">
        <w:rPr>
          <w:sz w:val="22"/>
          <w:szCs w:val="22"/>
        </w:rPr>
        <w:t xml:space="preserve">Mezi intenzivními potřebami </w:t>
      </w:r>
      <w:r w:rsidR="00884E47" w:rsidRPr="00A9356E">
        <w:rPr>
          <w:sz w:val="22"/>
          <w:szCs w:val="22"/>
        </w:rPr>
        <w:t xml:space="preserve">(2. kategorie) </w:t>
      </w:r>
      <w:r w:rsidRPr="00A9356E">
        <w:rPr>
          <w:sz w:val="22"/>
          <w:szCs w:val="22"/>
        </w:rPr>
        <w:t>se objevují témata dopravy (</w:t>
      </w:r>
      <w:r w:rsidR="006533FA" w:rsidRPr="00A9356E">
        <w:rPr>
          <w:sz w:val="22"/>
          <w:szCs w:val="22"/>
        </w:rPr>
        <w:t>investice pro vytvoření udržitelné, inteligentní, bezpečné a intermodální transevropské dopravní sítě odolné vůči změně klimatu</w:t>
      </w:r>
      <w:r w:rsidR="000D53C2">
        <w:rPr>
          <w:sz w:val="22"/>
          <w:szCs w:val="22"/>
        </w:rPr>
        <w:t>,</w:t>
      </w:r>
      <w:r w:rsidR="006533FA" w:rsidRPr="00A9356E">
        <w:rPr>
          <w:sz w:val="22"/>
          <w:szCs w:val="22"/>
        </w:rPr>
        <w:t xml:space="preserve"> </w:t>
      </w:r>
      <w:r w:rsidRPr="00A9356E">
        <w:rPr>
          <w:sz w:val="22"/>
          <w:szCs w:val="22"/>
        </w:rPr>
        <w:t xml:space="preserve">alternativní pohon, příměstská doprava), odstraňování ekologických zátěží, rozvoj zelené infrastruktury v městském prostředí, elektronizace veřejné správy, podpora koordinovaného přístupu v sociálním začleňování a deinstitucionalizace v sociálních </w:t>
      </w:r>
      <w:r w:rsidR="002334D2">
        <w:rPr>
          <w:sz w:val="22"/>
          <w:szCs w:val="22"/>
        </w:rPr>
        <w:t xml:space="preserve">a zdravotních </w:t>
      </w:r>
      <w:r w:rsidRPr="00A9356E">
        <w:rPr>
          <w:sz w:val="22"/>
          <w:szCs w:val="22"/>
        </w:rPr>
        <w:t>službách. Zatímco z hlediska prioritizace i příslušných strategií je ČR zajedno v otázce deinstitucionalizace</w:t>
      </w:r>
      <w:r w:rsidR="00884E47" w:rsidRPr="00A9356E">
        <w:rPr>
          <w:sz w:val="22"/>
          <w:szCs w:val="22"/>
        </w:rPr>
        <w:t>;</w:t>
      </w:r>
      <w:r w:rsidRPr="00A9356E">
        <w:rPr>
          <w:sz w:val="22"/>
          <w:szCs w:val="22"/>
        </w:rPr>
        <w:t xml:space="preserve"> v otázce koordinovaného přístup</w:t>
      </w:r>
      <w:r w:rsidR="000D53C2">
        <w:rPr>
          <w:sz w:val="22"/>
          <w:szCs w:val="22"/>
        </w:rPr>
        <w:t>u</w:t>
      </w:r>
      <w:r w:rsidRPr="00A9356E">
        <w:rPr>
          <w:sz w:val="22"/>
          <w:szCs w:val="22"/>
        </w:rPr>
        <w:t xml:space="preserve"> se s C</w:t>
      </w:r>
      <w:r w:rsidR="00884E47" w:rsidRPr="00A9356E">
        <w:rPr>
          <w:sz w:val="22"/>
          <w:szCs w:val="22"/>
        </w:rPr>
        <w:t>R</w:t>
      </w:r>
      <w:r w:rsidRPr="00A9356E">
        <w:rPr>
          <w:sz w:val="22"/>
          <w:szCs w:val="22"/>
        </w:rPr>
        <w:t xml:space="preserve"> názorově rozchází a v budoucím období na základě negativních zkušeností zvažuje upuštění od </w:t>
      </w:r>
      <w:r w:rsidR="00802708" w:rsidRPr="00A9356E">
        <w:rPr>
          <w:sz w:val="22"/>
          <w:szCs w:val="22"/>
        </w:rPr>
        <w:t>Koordinovaného přístupu k sociálně vyloučeným lokalitám</w:t>
      </w:r>
      <w:r w:rsidR="00802708" w:rsidRPr="008C6299">
        <w:rPr>
          <w:sz w:val="22"/>
          <w:szCs w:val="22"/>
        </w:rPr>
        <w:t xml:space="preserve"> </w:t>
      </w:r>
      <w:r w:rsidR="00802708">
        <w:rPr>
          <w:sz w:val="22"/>
          <w:szCs w:val="22"/>
        </w:rPr>
        <w:t>(</w:t>
      </w:r>
      <w:r w:rsidRPr="00A9356E">
        <w:rPr>
          <w:sz w:val="22"/>
          <w:szCs w:val="22"/>
        </w:rPr>
        <w:t>KPS</w:t>
      </w:r>
      <w:r w:rsidR="00E419B1" w:rsidRPr="00A9356E">
        <w:rPr>
          <w:sz w:val="22"/>
          <w:szCs w:val="22"/>
        </w:rPr>
        <w:t>VL</w:t>
      </w:r>
      <w:r w:rsidR="00802708">
        <w:rPr>
          <w:sz w:val="22"/>
          <w:szCs w:val="22"/>
        </w:rPr>
        <w:t>)</w:t>
      </w:r>
      <w:r w:rsidRPr="00A9356E">
        <w:rPr>
          <w:sz w:val="22"/>
          <w:szCs w:val="22"/>
        </w:rPr>
        <w:t xml:space="preserve">. </w:t>
      </w:r>
    </w:p>
    <w:p w:rsidR="007020CC" w:rsidRPr="00A9356E" w:rsidRDefault="007020CC" w:rsidP="007020CC">
      <w:pPr>
        <w:rPr>
          <w:sz w:val="22"/>
          <w:szCs w:val="22"/>
        </w:rPr>
      </w:pPr>
      <w:r w:rsidRPr="00A9356E">
        <w:rPr>
          <w:sz w:val="22"/>
          <w:szCs w:val="22"/>
        </w:rPr>
        <w:t xml:space="preserve">Jako nejméně stěžejní </w:t>
      </w:r>
      <w:r w:rsidR="00560568" w:rsidRPr="00A9356E">
        <w:rPr>
          <w:sz w:val="22"/>
          <w:szCs w:val="22"/>
        </w:rPr>
        <w:t xml:space="preserve">(3. kategorie) </w:t>
      </w:r>
      <w:r w:rsidRPr="00A9356E">
        <w:rPr>
          <w:sz w:val="22"/>
          <w:szCs w:val="22"/>
        </w:rPr>
        <w:t xml:space="preserve">vidí EK </w:t>
      </w:r>
      <w:r w:rsidRPr="00A9356E">
        <w:rPr>
          <w:b/>
          <w:sz w:val="22"/>
          <w:szCs w:val="22"/>
        </w:rPr>
        <w:t>oblast modernizace infrastruktury internetu a dále integrovaný územní rozvoj vzdálenějších venkovských oblastí</w:t>
      </w:r>
      <w:r w:rsidRPr="00A9356E">
        <w:rPr>
          <w:sz w:val="22"/>
          <w:szCs w:val="22"/>
        </w:rPr>
        <w:t xml:space="preserve">, přitom obě tyto oblasti považuje </w:t>
      </w:r>
      <w:r w:rsidRPr="00A9356E">
        <w:rPr>
          <w:b/>
          <w:sz w:val="22"/>
          <w:szCs w:val="22"/>
        </w:rPr>
        <w:t>ČR za prioritní</w:t>
      </w:r>
      <w:r w:rsidRPr="00A9356E">
        <w:rPr>
          <w:sz w:val="22"/>
          <w:szCs w:val="22"/>
        </w:rPr>
        <w:t xml:space="preserve">. </w:t>
      </w:r>
    </w:p>
    <w:p w:rsidR="007020CC" w:rsidRPr="00A9356E" w:rsidRDefault="007020CC" w:rsidP="007020CC">
      <w:pPr>
        <w:rPr>
          <w:sz w:val="22"/>
          <w:szCs w:val="22"/>
        </w:rPr>
      </w:pPr>
      <w:r w:rsidRPr="00A9356E">
        <w:rPr>
          <w:sz w:val="22"/>
          <w:szCs w:val="22"/>
        </w:rPr>
        <w:t>V oblasti politického cíle 5 doporučením C</w:t>
      </w:r>
      <w:r w:rsidR="00560568" w:rsidRPr="00A9356E">
        <w:rPr>
          <w:sz w:val="22"/>
          <w:szCs w:val="22"/>
        </w:rPr>
        <w:t>R</w:t>
      </w:r>
      <w:r w:rsidRPr="00A9356E">
        <w:rPr>
          <w:sz w:val="22"/>
          <w:szCs w:val="22"/>
        </w:rPr>
        <w:t xml:space="preserve"> v NKR neodpovídají žádné konkrétní specifické cíle ani tematické oblasti. Je zde však vazba na průřezové oblasti</w:t>
      </w:r>
      <w:r w:rsidR="00560568" w:rsidRPr="00A9356E">
        <w:rPr>
          <w:sz w:val="22"/>
          <w:szCs w:val="22"/>
        </w:rPr>
        <w:t>,</w:t>
      </w:r>
      <w:r w:rsidRPr="00A9356E">
        <w:rPr>
          <w:sz w:val="22"/>
          <w:szCs w:val="22"/>
        </w:rPr>
        <w:t xml:space="preserve"> </w:t>
      </w:r>
      <w:r w:rsidR="00A83CEF" w:rsidRPr="00A9356E">
        <w:rPr>
          <w:sz w:val="22"/>
          <w:szCs w:val="22"/>
        </w:rPr>
        <w:t xml:space="preserve">zejména </w:t>
      </w:r>
      <w:r w:rsidR="00560568" w:rsidRPr="00A9356E">
        <w:rPr>
          <w:sz w:val="22"/>
          <w:szCs w:val="22"/>
        </w:rPr>
        <w:t xml:space="preserve">na </w:t>
      </w:r>
      <w:r w:rsidR="00A83CEF" w:rsidRPr="00A9356E">
        <w:rPr>
          <w:sz w:val="22"/>
          <w:szCs w:val="22"/>
        </w:rPr>
        <w:t xml:space="preserve">průřezovou oblast územní dimenze, která je popsána </w:t>
      </w:r>
      <w:r w:rsidRPr="00A9356E">
        <w:rPr>
          <w:sz w:val="22"/>
          <w:szCs w:val="22"/>
        </w:rPr>
        <w:t xml:space="preserve">v tematické kartě každého specifického cíle. </w:t>
      </w:r>
      <w:r w:rsidR="00A83CEF" w:rsidRPr="00A9356E">
        <w:rPr>
          <w:sz w:val="22"/>
          <w:szCs w:val="22"/>
        </w:rPr>
        <w:t>K naplňování doporučení v cíl</w:t>
      </w:r>
      <w:r w:rsidR="00560568" w:rsidRPr="00A9356E">
        <w:rPr>
          <w:sz w:val="22"/>
          <w:szCs w:val="22"/>
        </w:rPr>
        <w:t>i</w:t>
      </w:r>
      <w:r w:rsidR="00A83CEF" w:rsidRPr="00A9356E">
        <w:rPr>
          <w:sz w:val="22"/>
          <w:szCs w:val="22"/>
        </w:rPr>
        <w:t xml:space="preserve"> 5</w:t>
      </w:r>
      <w:r w:rsidR="00D83523">
        <w:rPr>
          <w:sz w:val="22"/>
          <w:szCs w:val="22"/>
        </w:rPr>
        <w:t xml:space="preserve"> (Evropa bližší občanům)</w:t>
      </w:r>
      <w:r w:rsidR="00A83CEF" w:rsidRPr="00A9356E">
        <w:rPr>
          <w:sz w:val="22"/>
          <w:szCs w:val="22"/>
        </w:rPr>
        <w:t xml:space="preserve"> tedy dochází prostřednictvím průřezového tématu územní dimenze, v konkrétní rovině pak </w:t>
      </w:r>
      <w:r w:rsidR="00D77F9C" w:rsidRPr="00A9356E">
        <w:rPr>
          <w:sz w:val="22"/>
          <w:szCs w:val="22"/>
        </w:rPr>
        <w:t xml:space="preserve">zejména </w:t>
      </w:r>
      <w:r w:rsidR="00A83CEF" w:rsidRPr="00A9356E">
        <w:rPr>
          <w:sz w:val="22"/>
          <w:szCs w:val="22"/>
        </w:rPr>
        <w:t>prostřednictvím realizace integrovaných nástrojů</w:t>
      </w:r>
      <w:r w:rsidR="00D77F9C" w:rsidRPr="00A9356E">
        <w:rPr>
          <w:sz w:val="22"/>
          <w:szCs w:val="22"/>
        </w:rPr>
        <w:t xml:space="preserve"> a dalších územně specifických přístupů – program Re:start, cílené výzvy, aj</w:t>
      </w:r>
      <w:r w:rsidR="00A83CEF" w:rsidRPr="00A9356E">
        <w:rPr>
          <w:sz w:val="22"/>
          <w:szCs w:val="22"/>
        </w:rPr>
        <w:t>. Ty</w:t>
      </w:r>
      <w:r w:rsidR="006533FA" w:rsidRPr="00A9356E">
        <w:rPr>
          <w:sz w:val="22"/>
          <w:szCs w:val="22"/>
        </w:rPr>
        <w:t>to nástroje</w:t>
      </w:r>
      <w:r w:rsidR="00A83CEF" w:rsidRPr="00A9356E">
        <w:rPr>
          <w:sz w:val="22"/>
          <w:szCs w:val="22"/>
        </w:rPr>
        <w:t xml:space="preserve"> budou přesněji vymezeny v </w:t>
      </w:r>
      <w:r w:rsidR="00560568" w:rsidRPr="00A9356E">
        <w:rPr>
          <w:sz w:val="22"/>
          <w:szCs w:val="22"/>
        </w:rPr>
        <w:t>jednotlivých</w:t>
      </w:r>
      <w:r w:rsidR="00A83CEF" w:rsidRPr="00A9356E">
        <w:rPr>
          <w:sz w:val="22"/>
          <w:szCs w:val="22"/>
        </w:rPr>
        <w:t xml:space="preserve"> operačních programech. Strategické </w:t>
      </w:r>
      <w:r w:rsidRPr="00A9356E">
        <w:rPr>
          <w:sz w:val="22"/>
          <w:szCs w:val="22"/>
        </w:rPr>
        <w:t xml:space="preserve">cíle v oblasti regionálního rozvoje </w:t>
      </w:r>
      <w:r w:rsidR="00A83CEF" w:rsidRPr="00A9356E">
        <w:rPr>
          <w:sz w:val="22"/>
          <w:szCs w:val="22"/>
        </w:rPr>
        <w:t xml:space="preserve">pak </w:t>
      </w:r>
      <w:r w:rsidRPr="00A9356E">
        <w:rPr>
          <w:sz w:val="22"/>
          <w:szCs w:val="22"/>
        </w:rPr>
        <w:t>řeší zejména Strategie regionálního rozvoje pro období let 2020 – 2027</w:t>
      </w:r>
      <w:r w:rsidR="00560568" w:rsidRPr="00A9356E">
        <w:rPr>
          <w:sz w:val="22"/>
          <w:szCs w:val="22"/>
        </w:rPr>
        <w:t xml:space="preserve">; pro oblast politiky soudržnosti pak připravovaný </w:t>
      </w:r>
      <w:r w:rsidR="00802708">
        <w:rPr>
          <w:sz w:val="22"/>
          <w:szCs w:val="22"/>
        </w:rPr>
        <w:t>Národní dokument k územní dimenzi (</w:t>
      </w:r>
      <w:r w:rsidR="00560568" w:rsidRPr="00A9356E">
        <w:rPr>
          <w:sz w:val="22"/>
          <w:szCs w:val="22"/>
        </w:rPr>
        <w:t>NDÚD</w:t>
      </w:r>
      <w:r w:rsidR="00802708">
        <w:rPr>
          <w:sz w:val="22"/>
          <w:szCs w:val="22"/>
        </w:rPr>
        <w:t>)</w:t>
      </w:r>
      <w:r w:rsidRPr="00A9356E">
        <w:rPr>
          <w:sz w:val="22"/>
          <w:szCs w:val="22"/>
        </w:rPr>
        <w:t>.</w:t>
      </w:r>
    </w:p>
    <w:p w:rsidR="007020CC" w:rsidRPr="00A9356E" w:rsidRDefault="00C60491" w:rsidP="00C83D38">
      <w:pPr>
        <w:rPr>
          <w:sz w:val="22"/>
          <w:szCs w:val="22"/>
        </w:rPr>
      </w:pPr>
      <w:r w:rsidRPr="00A9356E">
        <w:rPr>
          <w:sz w:val="22"/>
          <w:szCs w:val="22"/>
        </w:rPr>
        <w:t>Detailní přehled vazeb mezi doporučeními vyplývajícími z </w:t>
      </w:r>
      <w:r w:rsidR="005B3CF9">
        <w:rPr>
          <w:sz w:val="22"/>
          <w:szCs w:val="22"/>
        </w:rPr>
        <w:t>Přilohy</w:t>
      </w:r>
      <w:r w:rsidR="00E419B1" w:rsidRPr="00A9356E">
        <w:rPr>
          <w:sz w:val="22"/>
          <w:szCs w:val="22"/>
        </w:rPr>
        <w:t xml:space="preserve"> </w:t>
      </w:r>
      <w:r w:rsidRPr="00A9356E">
        <w:rPr>
          <w:sz w:val="22"/>
          <w:szCs w:val="22"/>
        </w:rPr>
        <w:t xml:space="preserve">D </w:t>
      </w:r>
      <w:r w:rsidR="00E419B1" w:rsidRPr="00A9356E">
        <w:rPr>
          <w:sz w:val="22"/>
          <w:szCs w:val="22"/>
        </w:rPr>
        <w:t>Zprávy</w:t>
      </w:r>
      <w:r w:rsidRPr="00A9356E">
        <w:rPr>
          <w:sz w:val="22"/>
          <w:szCs w:val="22"/>
        </w:rPr>
        <w:t xml:space="preserve"> a specifickými cíli </w:t>
      </w:r>
      <w:r w:rsidR="00C83D38" w:rsidRPr="00A9356E">
        <w:rPr>
          <w:sz w:val="22"/>
          <w:szCs w:val="22"/>
        </w:rPr>
        <w:t>a</w:t>
      </w:r>
      <w:r w:rsidRPr="00A9356E">
        <w:rPr>
          <w:sz w:val="22"/>
          <w:szCs w:val="22"/>
        </w:rPr>
        <w:t xml:space="preserve"> tematickými oblastmi NKR je uveden v</w:t>
      </w:r>
      <w:r w:rsidR="005B3CF9">
        <w:rPr>
          <w:sz w:val="22"/>
          <w:szCs w:val="22"/>
        </w:rPr>
        <w:t> </w:t>
      </w:r>
      <w:r w:rsidRPr="00A9356E">
        <w:rPr>
          <w:sz w:val="22"/>
          <w:szCs w:val="22"/>
        </w:rPr>
        <w:t>příloze</w:t>
      </w:r>
      <w:r w:rsidR="005B3CF9">
        <w:rPr>
          <w:sz w:val="22"/>
          <w:szCs w:val="22"/>
        </w:rPr>
        <w:t xml:space="preserve"> č. 4 Vztah specifických cílů NKR k procesu evropského semestru</w:t>
      </w:r>
      <w:r w:rsidRPr="00A9356E">
        <w:rPr>
          <w:sz w:val="22"/>
          <w:szCs w:val="22"/>
        </w:rPr>
        <w:t>.</w:t>
      </w:r>
    </w:p>
    <w:p w:rsidR="00053B1D" w:rsidRPr="00362FA7" w:rsidRDefault="00437F1E" w:rsidP="00254F4C">
      <w:pPr>
        <w:pStyle w:val="Nadpis2"/>
        <w:numPr>
          <w:ilvl w:val="1"/>
          <w:numId w:val="9"/>
        </w:numPr>
        <w:spacing w:line="240" w:lineRule="auto"/>
        <w:ind w:left="425" w:hanging="431"/>
        <w:jc w:val="left"/>
      </w:pPr>
      <w:bookmarkStart w:id="82" w:name="_Toc7774230"/>
      <w:bookmarkStart w:id="83" w:name="_Toc13828226"/>
      <w:r>
        <w:t>P</w:t>
      </w:r>
      <w:r w:rsidR="00053B1D" w:rsidRPr="00362FA7">
        <w:t>rioritizace</w:t>
      </w:r>
      <w:bookmarkEnd w:id="82"/>
      <w:bookmarkEnd w:id="83"/>
    </w:p>
    <w:p w:rsidR="00053B1D" w:rsidRPr="00C4716B" w:rsidRDefault="00053B1D" w:rsidP="00053B1D">
      <w:pPr>
        <w:rPr>
          <w:sz w:val="22"/>
        </w:rPr>
      </w:pPr>
      <w:r w:rsidRPr="00C4716B">
        <w:rPr>
          <w:sz w:val="22"/>
        </w:rPr>
        <w:t xml:space="preserve">Po finalizaci analytické části a jejím schválení Radou vlády pro ESI fondy v červenci 2018 byla připravena prioritizace podle stanovených kritérií, přičemž postup a pravidla prioritizace byla rovněž schválena Radou vlády pro ESI fondy (po projednání se členy </w:t>
      </w:r>
      <w:r w:rsidR="00264394">
        <w:rPr>
          <w:sz w:val="22"/>
          <w:szCs w:val="22"/>
        </w:rPr>
        <w:t xml:space="preserve">Expertní skupiny pro strategickou práci, Pracovního týmu Rady hospodářské a sociální dohody, Expertní poradní skupiny pro budoucnost politiky soudržnosti a </w:t>
      </w:r>
      <w:r w:rsidRPr="00C4716B">
        <w:rPr>
          <w:sz w:val="22"/>
        </w:rPr>
        <w:t>P-Rady).</w:t>
      </w:r>
    </w:p>
    <w:p w:rsidR="00BB433C" w:rsidRDefault="00053B1D" w:rsidP="6A9D794E">
      <w:pPr>
        <w:rPr>
          <w:sz w:val="22"/>
          <w:szCs w:val="22"/>
        </w:rPr>
      </w:pPr>
      <w:r w:rsidRPr="6A9D794E">
        <w:rPr>
          <w:sz w:val="22"/>
          <w:szCs w:val="22"/>
        </w:rPr>
        <w:t xml:space="preserve">Prioritizace </w:t>
      </w:r>
      <w:r w:rsidR="00CB480E">
        <w:rPr>
          <w:sz w:val="22"/>
          <w:szCs w:val="22"/>
        </w:rPr>
        <w:t>byla</w:t>
      </w:r>
      <w:r w:rsidRPr="6A9D794E">
        <w:rPr>
          <w:sz w:val="22"/>
          <w:szCs w:val="22"/>
        </w:rPr>
        <w:t xml:space="preserve"> pojata jako dvoufázová. V 1. fázi (srpen-září 2018) došlo k vyhodnocení připravenosti jednotlivých tematických oblastí a jejich podoblastí na financování z </w:t>
      </w:r>
      <w:r w:rsidR="008C143C">
        <w:rPr>
          <w:sz w:val="22"/>
          <w:szCs w:val="22"/>
        </w:rPr>
        <w:t>fondů EU</w:t>
      </w:r>
      <w:r w:rsidRPr="6A9D794E">
        <w:rPr>
          <w:sz w:val="22"/>
          <w:szCs w:val="22"/>
        </w:rPr>
        <w:t xml:space="preserve"> po roce 2020. Hodnoceny byly klíčové aspekty, jako jasné stanovení strategického zacílení investic, vyhodnocení posunu v dané oblasti či předpokládaná absorpční kapacita a případné bariéry čerpání. Cílem 1. fáze </w:t>
      </w:r>
      <w:r w:rsidR="008E0621">
        <w:rPr>
          <w:sz w:val="22"/>
          <w:szCs w:val="22"/>
        </w:rPr>
        <w:t>bylo</w:t>
      </w:r>
      <w:r w:rsidRPr="6A9D794E">
        <w:rPr>
          <w:sz w:val="22"/>
          <w:szCs w:val="22"/>
        </w:rPr>
        <w:t xml:space="preserve"> vytvořit argumentační základnu pro negociační pozici ČR pro oblast politiky soudržnosti.</w:t>
      </w:r>
      <w:r w:rsidR="00BB433C">
        <w:rPr>
          <w:sz w:val="22"/>
          <w:szCs w:val="22"/>
        </w:rPr>
        <w:t xml:space="preserve"> </w:t>
      </w:r>
    </w:p>
    <w:p w:rsidR="00053B1D" w:rsidRPr="00A9359F" w:rsidRDefault="00BB433C" w:rsidP="6A9D794E">
      <w:pPr>
        <w:rPr>
          <w:sz w:val="22"/>
          <w:szCs w:val="22"/>
        </w:rPr>
      </w:pPr>
      <w:r>
        <w:rPr>
          <w:sz w:val="22"/>
          <w:szCs w:val="22"/>
        </w:rPr>
        <w:t>V rámci</w:t>
      </w:r>
      <w:r w:rsidR="00053B1D" w:rsidRPr="6A9D794E">
        <w:rPr>
          <w:sz w:val="22"/>
          <w:szCs w:val="22"/>
        </w:rPr>
        <w:t xml:space="preserve"> 2. fáz</w:t>
      </w:r>
      <w:r w:rsidR="008E0621">
        <w:rPr>
          <w:sz w:val="22"/>
          <w:szCs w:val="22"/>
        </w:rPr>
        <w:t>e</w:t>
      </w:r>
      <w:r>
        <w:rPr>
          <w:sz w:val="22"/>
          <w:szCs w:val="22"/>
        </w:rPr>
        <w:t>, která</w:t>
      </w:r>
      <w:r w:rsidR="00053B1D" w:rsidRPr="6A9D794E">
        <w:rPr>
          <w:sz w:val="22"/>
          <w:szCs w:val="22"/>
        </w:rPr>
        <w:t xml:space="preserve"> proběh</w:t>
      </w:r>
      <w:r w:rsidR="008E0621">
        <w:rPr>
          <w:sz w:val="22"/>
          <w:szCs w:val="22"/>
        </w:rPr>
        <w:t>la</w:t>
      </w:r>
      <w:r w:rsidR="00053B1D" w:rsidRPr="6A9D794E">
        <w:rPr>
          <w:sz w:val="22"/>
          <w:szCs w:val="22"/>
        </w:rPr>
        <w:t xml:space="preserve"> </w:t>
      </w:r>
      <w:r>
        <w:rPr>
          <w:sz w:val="22"/>
          <w:szCs w:val="22"/>
        </w:rPr>
        <w:t xml:space="preserve">na přelomu března a dubna </w:t>
      </w:r>
      <w:r w:rsidR="00053B1D" w:rsidRPr="6A9D794E">
        <w:rPr>
          <w:sz w:val="22"/>
          <w:szCs w:val="22"/>
        </w:rPr>
        <w:t xml:space="preserve">2019, </w:t>
      </w:r>
      <w:r>
        <w:rPr>
          <w:sz w:val="22"/>
          <w:szCs w:val="22"/>
        </w:rPr>
        <w:t>byla témata přejmenována na specifické cíle a opětovně přehodnocena na základě do karet nově doplněných informací</w:t>
      </w:r>
      <w:r w:rsidR="00C50E5E">
        <w:rPr>
          <w:sz w:val="22"/>
          <w:szCs w:val="22"/>
        </w:rPr>
        <w:t>. Z</w:t>
      </w:r>
      <w:r>
        <w:rPr>
          <w:sz w:val="22"/>
          <w:szCs w:val="22"/>
        </w:rPr>
        <w:t xml:space="preserve">ároveň byla </w:t>
      </w:r>
      <w:r w:rsidR="00CB480E">
        <w:rPr>
          <w:sz w:val="22"/>
          <w:szCs w:val="22"/>
        </w:rPr>
        <w:t xml:space="preserve">doplněna nová kritéria, a to </w:t>
      </w:r>
      <w:r w:rsidR="00C50E5E">
        <w:rPr>
          <w:sz w:val="22"/>
          <w:szCs w:val="22"/>
        </w:rPr>
        <w:t xml:space="preserve">vazba na cíle politik dle </w:t>
      </w:r>
      <w:r w:rsidR="00313E40">
        <w:rPr>
          <w:sz w:val="22"/>
          <w:szCs w:val="22"/>
        </w:rPr>
        <w:t xml:space="preserve">návrhu </w:t>
      </w:r>
      <w:r w:rsidR="00C50E5E">
        <w:rPr>
          <w:sz w:val="22"/>
          <w:szCs w:val="22"/>
        </w:rPr>
        <w:t xml:space="preserve">obecného nařízení a na specifické cíle dle </w:t>
      </w:r>
      <w:r w:rsidR="00313E40">
        <w:rPr>
          <w:sz w:val="22"/>
          <w:szCs w:val="22"/>
        </w:rPr>
        <w:t xml:space="preserve">návrhů </w:t>
      </w:r>
      <w:r w:rsidR="00C50E5E">
        <w:rPr>
          <w:sz w:val="22"/>
          <w:szCs w:val="22"/>
        </w:rPr>
        <w:t xml:space="preserve">nařízení k jednotlivým fondům a dále vazba na </w:t>
      </w:r>
      <w:r w:rsidR="00313E40">
        <w:rPr>
          <w:sz w:val="22"/>
          <w:szCs w:val="22"/>
        </w:rPr>
        <w:t>investiční</w:t>
      </w:r>
      <w:r w:rsidR="00313E40" w:rsidRPr="6A9D794E">
        <w:rPr>
          <w:sz w:val="22"/>
          <w:szCs w:val="22"/>
        </w:rPr>
        <w:t xml:space="preserve"> </w:t>
      </w:r>
      <w:r w:rsidR="00A9359F" w:rsidRPr="6A9D794E">
        <w:rPr>
          <w:sz w:val="22"/>
          <w:szCs w:val="22"/>
        </w:rPr>
        <w:t>doporučení Rady</w:t>
      </w:r>
      <w:r w:rsidR="00C50E5E">
        <w:rPr>
          <w:sz w:val="22"/>
          <w:szCs w:val="22"/>
        </w:rPr>
        <w:t xml:space="preserve"> obsažená v Country reportu pro ČR v příloze D</w:t>
      </w:r>
      <w:r w:rsidR="00053B1D" w:rsidRPr="6A9D794E">
        <w:rPr>
          <w:sz w:val="22"/>
          <w:szCs w:val="22"/>
        </w:rPr>
        <w:t xml:space="preserve">. </w:t>
      </w:r>
      <w:r w:rsidR="00CB480E">
        <w:rPr>
          <w:sz w:val="22"/>
          <w:szCs w:val="22"/>
        </w:rPr>
        <w:t xml:space="preserve">Současně bylo vypuštěno kritérium EVA (Evropská přidaná hodnota). Pro větší objektivitu procesu se druhé fáze zúčastnilo více hodnotitelů (minimálně pět, z toho dva za věcně příslušný resort) a po individuálním hodnocení následovala skupinová setkání hodnotitelů, kde došlo ke korekcím extrémních odchylek hodnocení. </w:t>
      </w:r>
      <w:r w:rsidR="00C50E5E">
        <w:rPr>
          <w:sz w:val="22"/>
          <w:szCs w:val="22"/>
        </w:rPr>
        <w:t xml:space="preserve">Výsledky prioritizace budou využity pro </w:t>
      </w:r>
      <w:r w:rsidR="00A9359F" w:rsidRPr="6A9D794E">
        <w:rPr>
          <w:sz w:val="22"/>
          <w:szCs w:val="22"/>
        </w:rPr>
        <w:t>přípravu Dohody o partnerství a operačních programů (v obou případech stavěných na principech intervenční logiky</w:t>
      </w:r>
      <w:r w:rsidR="00C50E5E">
        <w:rPr>
          <w:sz w:val="22"/>
          <w:szCs w:val="22"/>
        </w:rPr>
        <w:t>)</w:t>
      </w:r>
      <w:r w:rsidR="00053B1D" w:rsidRPr="6A9D794E">
        <w:rPr>
          <w:sz w:val="22"/>
          <w:szCs w:val="22"/>
        </w:rPr>
        <w:t>.</w:t>
      </w:r>
    </w:p>
    <w:p w:rsidR="00053B1D" w:rsidRPr="00C4716B" w:rsidRDefault="00053B1D" w:rsidP="00053B1D">
      <w:pPr>
        <w:rPr>
          <w:sz w:val="22"/>
        </w:rPr>
      </w:pPr>
      <w:r w:rsidRPr="00362FA7">
        <w:rPr>
          <w:sz w:val="22"/>
        </w:rPr>
        <w:t>Hlavní kritéria prioritizace vycháze</w:t>
      </w:r>
      <w:r w:rsidR="00351314">
        <w:rPr>
          <w:sz w:val="22"/>
        </w:rPr>
        <w:t>la v obou fázích</w:t>
      </w:r>
      <w:r w:rsidRPr="00362FA7">
        <w:rPr>
          <w:sz w:val="22"/>
        </w:rPr>
        <w:t xml:space="preserve"> ze základní intervenční logiky</w:t>
      </w:r>
      <w:r w:rsidRPr="00A9359F">
        <w:rPr>
          <w:sz w:val="22"/>
        </w:rPr>
        <w:t xml:space="preserve"> a patří mezi ně důležitost oblasti, </w:t>
      </w:r>
      <w:r w:rsidR="00351314">
        <w:rPr>
          <w:sz w:val="22"/>
        </w:rPr>
        <w:t>vazba na strategie</w:t>
      </w:r>
      <w:r w:rsidRPr="00C4716B">
        <w:rPr>
          <w:sz w:val="22"/>
        </w:rPr>
        <w:t xml:space="preserve">, </w:t>
      </w:r>
      <w:r w:rsidR="00351314">
        <w:rPr>
          <w:sz w:val="22"/>
        </w:rPr>
        <w:t xml:space="preserve">očekávaný přínos, </w:t>
      </w:r>
      <w:r w:rsidRPr="00C4716B">
        <w:rPr>
          <w:sz w:val="22"/>
        </w:rPr>
        <w:t>absorpční kapacita</w:t>
      </w:r>
      <w:r w:rsidR="00351314">
        <w:rPr>
          <w:sz w:val="22"/>
        </w:rPr>
        <w:t>, včetně připravenosti a zájmu příjemců</w:t>
      </w:r>
      <w:r w:rsidRPr="00C4716B">
        <w:rPr>
          <w:sz w:val="22"/>
        </w:rPr>
        <w:t xml:space="preserve"> a existence či neexistence alternativních zdrojů financování (státní rozpočet, finanční nástroje, přímo řízené programy). </w:t>
      </w:r>
    </w:p>
    <w:p w:rsidR="00053B1D" w:rsidRPr="00C4716B" w:rsidRDefault="00053B1D" w:rsidP="00053B1D">
      <w:pPr>
        <w:rPr>
          <w:sz w:val="22"/>
        </w:rPr>
      </w:pPr>
      <w:r w:rsidRPr="00C4716B">
        <w:rPr>
          <w:sz w:val="22"/>
        </w:rPr>
        <w:t xml:space="preserve">Podkladem pro hodnocení byly karty jednotlivých </w:t>
      </w:r>
      <w:r w:rsidR="00351314">
        <w:rPr>
          <w:sz w:val="22"/>
        </w:rPr>
        <w:t>specifických cílů</w:t>
      </w:r>
      <w:r w:rsidRPr="00C4716B">
        <w:rPr>
          <w:sz w:val="22"/>
        </w:rPr>
        <w:t xml:space="preserve"> zpracované v rámci analytické části NKR, informace o existujících či nově připravovaných strategických dokumentech resortů pro období po roce 2020, globální megatrendy, cíle udržitelného rozvoje OSN, národní i sektorové analytické a expertní podklady.</w:t>
      </w:r>
    </w:p>
    <w:p w:rsidR="00CC6696" w:rsidRDefault="00CC6696" w:rsidP="00254F4C">
      <w:pPr>
        <w:pStyle w:val="Nadpis2"/>
        <w:numPr>
          <w:ilvl w:val="1"/>
          <w:numId w:val="9"/>
        </w:numPr>
        <w:spacing w:line="240" w:lineRule="auto"/>
        <w:ind w:left="425" w:hanging="431"/>
        <w:jc w:val="left"/>
      </w:pPr>
      <w:bookmarkStart w:id="84" w:name="_Toc7774231"/>
      <w:bookmarkStart w:id="85" w:name="_Toc13828227"/>
      <w:r>
        <w:t>Výsledky hodnocení podle jednotlivých oblastí</w:t>
      </w:r>
      <w:bookmarkEnd w:id="84"/>
      <w:bookmarkEnd w:id="85"/>
    </w:p>
    <w:p w:rsidR="00CC6696" w:rsidRDefault="00CC6696" w:rsidP="00520175">
      <w:pPr>
        <w:rPr>
          <w:sz w:val="22"/>
          <w:szCs w:val="22"/>
        </w:rPr>
      </w:pPr>
      <w:r w:rsidRPr="00520175">
        <w:rPr>
          <w:sz w:val="22"/>
          <w:szCs w:val="22"/>
        </w:rPr>
        <w:t xml:space="preserve">Účelem prioritizace </w:t>
      </w:r>
      <w:r w:rsidR="00674517">
        <w:rPr>
          <w:sz w:val="22"/>
          <w:szCs w:val="22"/>
        </w:rPr>
        <w:t>nebylo</w:t>
      </w:r>
      <w:r w:rsidRPr="00520175">
        <w:rPr>
          <w:sz w:val="22"/>
          <w:szCs w:val="22"/>
        </w:rPr>
        <w:t xml:space="preserve"> jednotlivé specifické cíle a priori</w:t>
      </w:r>
      <w:r w:rsidR="00674517">
        <w:rPr>
          <w:sz w:val="22"/>
          <w:szCs w:val="22"/>
        </w:rPr>
        <w:t>ty</w:t>
      </w:r>
      <w:r w:rsidRPr="00520175">
        <w:rPr>
          <w:sz w:val="22"/>
          <w:szCs w:val="22"/>
        </w:rPr>
        <w:t xml:space="preserve"> vyřazovat z budoucí podpory</w:t>
      </w:r>
      <w:r w:rsidR="00674517">
        <w:rPr>
          <w:sz w:val="22"/>
          <w:szCs w:val="22"/>
        </w:rPr>
        <w:t xml:space="preserve"> či stanovovat pořadí důležitosti mezi jednotlivými tematickými oblastmi. Cílem je </w:t>
      </w:r>
      <w:r w:rsidRPr="00520175">
        <w:rPr>
          <w:sz w:val="22"/>
          <w:szCs w:val="22"/>
        </w:rPr>
        <w:t>identifikovat silná</w:t>
      </w:r>
      <w:r w:rsidR="00674517">
        <w:rPr>
          <w:sz w:val="22"/>
          <w:szCs w:val="22"/>
        </w:rPr>
        <w:t xml:space="preserve">, </w:t>
      </w:r>
      <w:r w:rsidRPr="00520175">
        <w:rPr>
          <w:sz w:val="22"/>
          <w:szCs w:val="22"/>
        </w:rPr>
        <w:t>slabá místa</w:t>
      </w:r>
      <w:r w:rsidR="00674517">
        <w:rPr>
          <w:sz w:val="22"/>
          <w:szCs w:val="22"/>
        </w:rPr>
        <w:t xml:space="preserve"> a bariéry</w:t>
      </w:r>
      <w:r w:rsidRPr="00520175">
        <w:rPr>
          <w:sz w:val="22"/>
          <w:szCs w:val="22"/>
        </w:rPr>
        <w:t>, u nichž je třeba problémové aspekty řešit tak, aby byl</w:t>
      </w:r>
      <w:r w:rsidR="00674517">
        <w:rPr>
          <w:sz w:val="22"/>
          <w:szCs w:val="22"/>
        </w:rPr>
        <w:t xml:space="preserve">a </w:t>
      </w:r>
      <w:r w:rsidRPr="00520175">
        <w:rPr>
          <w:sz w:val="22"/>
          <w:szCs w:val="22"/>
        </w:rPr>
        <w:t xml:space="preserve">rizika </w:t>
      </w:r>
      <w:r w:rsidR="00674517">
        <w:rPr>
          <w:sz w:val="22"/>
          <w:szCs w:val="22"/>
        </w:rPr>
        <w:t xml:space="preserve">implementace politiky </w:t>
      </w:r>
      <w:r w:rsidR="008C6299" w:rsidRPr="008C6299">
        <w:rPr>
          <w:sz w:val="22"/>
          <w:szCs w:val="22"/>
        </w:rPr>
        <w:t xml:space="preserve">soudržnosti </w:t>
      </w:r>
      <w:r w:rsidR="00674517">
        <w:rPr>
          <w:sz w:val="22"/>
          <w:szCs w:val="22"/>
        </w:rPr>
        <w:t xml:space="preserve">v budoucím období </w:t>
      </w:r>
      <w:r w:rsidRPr="00520175">
        <w:rPr>
          <w:sz w:val="22"/>
          <w:szCs w:val="22"/>
        </w:rPr>
        <w:t>odstraněn</w:t>
      </w:r>
      <w:r w:rsidR="00674517">
        <w:rPr>
          <w:sz w:val="22"/>
          <w:szCs w:val="22"/>
        </w:rPr>
        <w:t>a či maximálně eliminována</w:t>
      </w:r>
      <w:r w:rsidRPr="00520175">
        <w:rPr>
          <w:sz w:val="22"/>
          <w:szCs w:val="22"/>
        </w:rPr>
        <w:t>.</w:t>
      </w:r>
      <w:r w:rsidR="0005669F">
        <w:rPr>
          <w:sz w:val="22"/>
          <w:szCs w:val="22"/>
        </w:rPr>
        <w:t xml:space="preserve"> </w:t>
      </w:r>
      <w:r w:rsidR="008C6299" w:rsidRPr="008C6299">
        <w:rPr>
          <w:sz w:val="22"/>
          <w:szCs w:val="22"/>
        </w:rPr>
        <w:t>Hodnocení vč. číselného vyjádření je třeba vnímat v rámci jednotlivých oblastí, a napříč oblastmi již při vědomí, že srovnání nemusí být zcela objektivní, neboť například podpora v rámci ESF</w:t>
      </w:r>
      <w:r w:rsidR="00313E40">
        <w:rPr>
          <w:sz w:val="22"/>
          <w:szCs w:val="22"/>
        </w:rPr>
        <w:t>+</w:t>
      </w:r>
      <w:r w:rsidR="008C6299" w:rsidRPr="008C6299">
        <w:rPr>
          <w:sz w:val="22"/>
          <w:szCs w:val="22"/>
        </w:rPr>
        <w:t xml:space="preserve"> není svým charakterem totožná jako investice z EFRR. </w:t>
      </w:r>
      <w:r w:rsidR="0005669F">
        <w:rPr>
          <w:sz w:val="22"/>
          <w:szCs w:val="22"/>
        </w:rPr>
        <w:t xml:space="preserve">Výsledky tak mohou využít řídicí orgány při přípravě svých operačních programů a při nastavení </w:t>
      </w:r>
      <w:r w:rsidR="00313E40">
        <w:rPr>
          <w:sz w:val="22"/>
          <w:szCs w:val="22"/>
        </w:rPr>
        <w:t xml:space="preserve">jejich </w:t>
      </w:r>
      <w:r w:rsidR="0005669F">
        <w:rPr>
          <w:sz w:val="22"/>
          <w:szCs w:val="22"/>
        </w:rPr>
        <w:t>intervenční logiky</w:t>
      </w:r>
      <w:r w:rsidR="008764CA">
        <w:rPr>
          <w:sz w:val="22"/>
          <w:szCs w:val="22"/>
        </w:rPr>
        <w:t xml:space="preserve"> a NOK při přípravě Dohody o partnerství</w:t>
      </w:r>
      <w:r w:rsidR="0005669F">
        <w:rPr>
          <w:sz w:val="22"/>
          <w:szCs w:val="22"/>
        </w:rPr>
        <w:t xml:space="preserve">. </w:t>
      </w:r>
    </w:p>
    <w:p w:rsidR="006675EC" w:rsidRPr="006675EC" w:rsidRDefault="003A2F62" w:rsidP="006675EC">
      <w:pPr>
        <w:rPr>
          <w:sz w:val="22"/>
          <w:szCs w:val="22"/>
        </w:rPr>
      </w:pPr>
      <w:r>
        <w:rPr>
          <w:sz w:val="22"/>
          <w:szCs w:val="22"/>
        </w:rPr>
        <w:t>S</w:t>
      </w:r>
      <w:r w:rsidR="006675EC" w:rsidRPr="006675EC">
        <w:rPr>
          <w:sz w:val="22"/>
          <w:szCs w:val="22"/>
        </w:rPr>
        <w:t xml:space="preserve">pecifické cíle </w:t>
      </w:r>
      <w:r>
        <w:rPr>
          <w:sz w:val="22"/>
          <w:szCs w:val="22"/>
        </w:rPr>
        <w:t xml:space="preserve">NKR </w:t>
      </w:r>
      <w:r w:rsidR="006675EC" w:rsidRPr="006675EC">
        <w:rPr>
          <w:sz w:val="22"/>
          <w:szCs w:val="22"/>
        </w:rPr>
        <w:t>byly hodnoceny podle šesti kritérií, z nichž každé se sestávalo z několika hodnotících výroků, které se zaměřovaly na:</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Důležitost: naléhavost daného problému pro ČR, vazba na megatrendy, vazba na územní dimenzi, společnost 4.0 a změnu klimatu, vazba na doporučení Country Report</w:t>
      </w:r>
      <w:r w:rsidR="000D53C2">
        <w:rPr>
          <w:rFonts w:ascii="Arial" w:hAnsi="Arial"/>
          <w:sz w:val="22"/>
          <w:szCs w:val="22"/>
        </w:rPr>
        <w:t>u</w:t>
      </w:r>
      <w:r w:rsidRPr="009E3951">
        <w:rPr>
          <w:rFonts w:ascii="Arial" w:hAnsi="Arial"/>
          <w:sz w:val="22"/>
          <w:szCs w:val="22"/>
        </w:rPr>
        <w:t xml:space="preserve">, naplnění cílů politik </w:t>
      </w:r>
      <w:r w:rsidR="00313E40">
        <w:rPr>
          <w:rFonts w:ascii="Arial" w:hAnsi="Arial"/>
          <w:sz w:val="22"/>
          <w:szCs w:val="22"/>
        </w:rPr>
        <w:t xml:space="preserve">návrhu </w:t>
      </w:r>
      <w:r w:rsidRPr="009E3951">
        <w:rPr>
          <w:rFonts w:ascii="Arial" w:hAnsi="Arial"/>
          <w:sz w:val="22"/>
          <w:szCs w:val="22"/>
        </w:rPr>
        <w:t>obecného nařízení.</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Strategie: existence strategického dokumentu pro období po roce 2020, včetně analýzy, relevantních cílů a implementačního a monitorovacího rámce.</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 xml:space="preserve">Cíle: definice výstupů, výsledků a dopadů k dosažení požadované změny, předpokládaný podíl </w:t>
      </w:r>
      <w:r w:rsidR="008C143C">
        <w:rPr>
          <w:rFonts w:ascii="Arial" w:hAnsi="Arial"/>
          <w:sz w:val="22"/>
          <w:szCs w:val="22"/>
        </w:rPr>
        <w:t>fondů EU</w:t>
      </w:r>
      <w:r w:rsidRPr="009E3951">
        <w:rPr>
          <w:rFonts w:ascii="Arial" w:hAnsi="Arial"/>
          <w:sz w:val="22"/>
          <w:szCs w:val="22"/>
        </w:rPr>
        <w:t xml:space="preserve"> k naplňování cíle, věcný posun intervencí oproti stávajícímu období.</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Posun: účinnost a účelnost intervence, multiplikační a synergické efekty.</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Absorpční kapacita: čerpání ve stávajícím období, připravenost projektových záměrů pro období 2020+, poptávka příjemců, existence bariér podpory a opatření k jejich odstranění.</w:t>
      </w:r>
    </w:p>
    <w:p w:rsidR="006675EC" w:rsidRPr="009E3951" w:rsidRDefault="006675EC" w:rsidP="009E3951">
      <w:pPr>
        <w:pStyle w:val="Odstavecseseznamem"/>
        <w:numPr>
          <w:ilvl w:val="0"/>
          <w:numId w:val="31"/>
        </w:numPr>
        <w:ind w:left="426"/>
        <w:rPr>
          <w:rFonts w:ascii="Arial" w:hAnsi="Arial"/>
          <w:sz w:val="22"/>
          <w:szCs w:val="22"/>
        </w:rPr>
      </w:pPr>
      <w:r w:rsidRPr="009E3951">
        <w:rPr>
          <w:rFonts w:ascii="Arial" w:hAnsi="Arial"/>
          <w:sz w:val="22"/>
          <w:szCs w:val="22"/>
        </w:rPr>
        <w:t>Alternativní zdroje: možnost podpory specifického cíle z unijních programů, z veřejných rozpočtů ČR či dalších zdrojů, možnost využití finančních nástrojů nebo tržních zdrojů.</w:t>
      </w:r>
    </w:p>
    <w:p w:rsidR="00313E40" w:rsidRPr="00F41D0E" w:rsidRDefault="00313E40" w:rsidP="00F41D0E">
      <w:pPr>
        <w:rPr>
          <w:sz w:val="22"/>
          <w:szCs w:val="22"/>
        </w:rPr>
      </w:pPr>
      <w:r>
        <w:rPr>
          <w:sz w:val="22"/>
          <w:szCs w:val="22"/>
        </w:rPr>
        <w:t>V tabulkách uváděné maximální hodnoty a průměry se vztahují k celkovému hodnocení všech oblastí.</w:t>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Ochrana životního prostředí a oběhové hospodářství</w:t>
      </w:r>
    </w:p>
    <w:tbl>
      <w:tblPr>
        <w:tblStyle w:val="Tabulkasmkou3zvraznn51"/>
        <w:tblW w:w="9072"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460"/>
        <w:gridCol w:w="950"/>
        <w:gridCol w:w="1155"/>
        <w:gridCol w:w="1101"/>
        <w:gridCol w:w="698"/>
        <w:gridCol w:w="817"/>
        <w:gridCol w:w="1047"/>
        <w:gridCol w:w="844"/>
      </w:tblGrid>
      <w:tr w:rsidR="00857077" w:rsidRPr="00F564B5" w:rsidTr="00A93813">
        <w:trPr>
          <w:cnfStyle w:val="100000000000" w:firstRow="1" w:lastRow="0" w:firstColumn="0" w:lastColumn="0" w:oddVBand="0" w:evenVBand="0" w:oddHBand="0" w:evenHBand="0" w:firstRowFirstColumn="0" w:firstRowLastColumn="0" w:lastRowFirstColumn="0" w:lastRowLastColumn="0"/>
          <w:trHeight w:val="1236"/>
        </w:trPr>
        <w:tc>
          <w:tcPr>
            <w:cnfStyle w:val="001000000100" w:firstRow="0" w:lastRow="0" w:firstColumn="1" w:lastColumn="0" w:oddVBand="0" w:evenVBand="0" w:oddHBand="0" w:evenHBand="0" w:firstRowFirstColumn="1" w:firstRowLastColumn="0" w:lastRowFirstColumn="0" w:lastRowLastColumn="0"/>
            <w:tcW w:w="2460"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noWrap/>
            <w:vAlign w:val="center"/>
            <w:hideMark/>
          </w:tcPr>
          <w:p w:rsidR="00744CFD" w:rsidRPr="00857077" w:rsidRDefault="00744CFD" w:rsidP="00744CFD">
            <w:pPr>
              <w:rPr>
                <w:rFonts w:eastAsia="Times New Roman"/>
                <w:lang w:eastAsia="cs-CZ"/>
              </w:rPr>
            </w:pPr>
          </w:p>
        </w:tc>
        <w:tc>
          <w:tcPr>
            <w:tcW w:w="950"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Celkem (m</w:t>
            </w:r>
            <w:r w:rsidRPr="00857077">
              <w:rPr>
                <w:color w:val="FFFFFF" w:themeColor="background1"/>
                <w:sz w:val="18"/>
                <w:szCs w:val="18"/>
                <w:lang w:val="en-US"/>
              </w:rPr>
              <w:t>ax</w:t>
            </w:r>
            <w:r w:rsidRPr="00857077">
              <w:rPr>
                <w:color w:val="FFFFFF" w:themeColor="background1"/>
                <w:sz w:val="18"/>
                <w:szCs w:val="18"/>
              </w:rPr>
              <w:t xml:space="preserve"> 100, </w:t>
            </w:r>
            <w:r w:rsidRPr="00857077">
              <w:rPr>
                <w:color w:val="FFFFFF" w:themeColor="background1"/>
                <w:sz w:val="18"/>
                <w:szCs w:val="18"/>
                <w:lang w:val="en-US"/>
              </w:rPr>
              <w:br/>
            </w:r>
            <w:r w:rsidRPr="00857077">
              <w:rPr>
                <w:color w:val="FFFFFF" w:themeColor="background1"/>
                <w:sz w:val="18"/>
                <w:szCs w:val="18"/>
              </w:rPr>
              <w:t>ø</w:t>
            </w:r>
            <w:r w:rsidRPr="00857077">
              <w:rPr>
                <w:color w:val="FFFFFF" w:themeColor="background1"/>
                <w:sz w:val="18"/>
                <w:szCs w:val="18"/>
                <w:lang w:val="en-US"/>
              </w:rPr>
              <w:t xml:space="preserve"> 76,9</w:t>
            </w:r>
            <w:r w:rsidRPr="00857077">
              <w:rPr>
                <w:color w:val="FFFFFF" w:themeColor="background1"/>
                <w:sz w:val="18"/>
                <w:szCs w:val="18"/>
              </w:rPr>
              <w:t>)</w:t>
            </w:r>
          </w:p>
        </w:tc>
        <w:tc>
          <w:tcPr>
            <w:tcW w:w="1155"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Důležitost (m</w:t>
            </w:r>
            <w:r w:rsidRPr="00857077">
              <w:rPr>
                <w:color w:val="FFFFFF" w:themeColor="background1"/>
                <w:sz w:val="18"/>
                <w:szCs w:val="18"/>
                <w:lang w:val="en-US"/>
              </w:rPr>
              <w:t>ax</w:t>
            </w:r>
            <w:r w:rsidRPr="00857077">
              <w:rPr>
                <w:color w:val="FFFFFF" w:themeColor="background1"/>
                <w:sz w:val="18"/>
                <w:szCs w:val="18"/>
              </w:rPr>
              <w:t xml:space="preserve"> </w:t>
            </w:r>
            <w:r w:rsidRPr="00857077">
              <w:rPr>
                <w:color w:val="FFFFFF" w:themeColor="background1"/>
                <w:sz w:val="18"/>
                <w:szCs w:val="18"/>
                <w:lang w:val="en-US"/>
              </w:rPr>
              <w:t>28</w:t>
            </w:r>
            <w:r w:rsidRPr="00857077">
              <w:rPr>
                <w:color w:val="FFFFFF" w:themeColor="background1"/>
                <w:sz w:val="18"/>
                <w:szCs w:val="18"/>
              </w:rPr>
              <w:t>, ø</w:t>
            </w:r>
            <w:r w:rsidRPr="00857077">
              <w:rPr>
                <w:color w:val="FFFFFF" w:themeColor="background1"/>
                <w:sz w:val="18"/>
                <w:szCs w:val="18"/>
                <w:lang w:val="en-US"/>
              </w:rPr>
              <w:t xml:space="preserve"> 22,9</w:t>
            </w:r>
            <w:r w:rsidRPr="00857077">
              <w:rPr>
                <w:color w:val="FFFFFF" w:themeColor="background1"/>
                <w:sz w:val="18"/>
                <w:szCs w:val="18"/>
              </w:rPr>
              <w:t>)</w:t>
            </w:r>
          </w:p>
        </w:tc>
        <w:tc>
          <w:tcPr>
            <w:tcW w:w="1101"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Strategie</w:t>
            </w:r>
            <w:r w:rsidRPr="00857077">
              <w:rPr>
                <w:color w:val="FFFFFF" w:themeColor="background1"/>
                <w:sz w:val="18"/>
                <w:szCs w:val="18"/>
                <w:lang w:val="en-US"/>
              </w:rPr>
              <w:br/>
            </w:r>
            <w:r w:rsidRPr="00857077">
              <w:rPr>
                <w:color w:val="FFFFFF" w:themeColor="background1"/>
                <w:sz w:val="18"/>
                <w:szCs w:val="18"/>
              </w:rPr>
              <w:t>(m</w:t>
            </w:r>
            <w:r w:rsidRPr="00857077">
              <w:rPr>
                <w:color w:val="FFFFFF" w:themeColor="background1"/>
                <w:sz w:val="18"/>
                <w:szCs w:val="18"/>
                <w:lang w:val="en-US"/>
              </w:rPr>
              <w:t>ax</w:t>
            </w:r>
            <w:r w:rsidRPr="00857077">
              <w:rPr>
                <w:color w:val="FFFFFF" w:themeColor="background1"/>
                <w:sz w:val="18"/>
                <w:szCs w:val="18"/>
              </w:rPr>
              <w:t xml:space="preserve"> </w:t>
            </w:r>
            <w:r w:rsidRPr="00857077">
              <w:rPr>
                <w:color w:val="FFFFFF" w:themeColor="background1"/>
                <w:sz w:val="18"/>
                <w:szCs w:val="18"/>
                <w:lang w:val="en-US"/>
              </w:rPr>
              <w:t>18</w:t>
            </w:r>
            <w:r w:rsidRPr="00857077">
              <w:rPr>
                <w:color w:val="FFFFFF" w:themeColor="background1"/>
                <w:sz w:val="18"/>
                <w:szCs w:val="18"/>
              </w:rPr>
              <w:t xml:space="preserve">, </w:t>
            </w:r>
            <w:r w:rsidRPr="00857077">
              <w:rPr>
                <w:color w:val="FFFFFF" w:themeColor="background1"/>
                <w:sz w:val="18"/>
                <w:szCs w:val="18"/>
                <w:lang w:val="en-US"/>
              </w:rPr>
              <w:br/>
            </w:r>
            <w:r w:rsidRPr="00857077">
              <w:rPr>
                <w:color w:val="FFFFFF" w:themeColor="background1"/>
                <w:sz w:val="18"/>
                <w:szCs w:val="18"/>
              </w:rPr>
              <w:t>ø</w:t>
            </w:r>
            <w:r w:rsidRPr="00857077">
              <w:rPr>
                <w:color w:val="FFFFFF" w:themeColor="background1"/>
                <w:sz w:val="18"/>
                <w:szCs w:val="18"/>
                <w:lang w:val="en-US"/>
              </w:rPr>
              <w:t xml:space="preserve"> 14,5</w:t>
            </w:r>
            <w:r w:rsidRPr="00857077">
              <w:rPr>
                <w:color w:val="FFFFFF" w:themeColor="background1"/>
                <w:sz w:val="18"/>
                <w:szCs w:val="18"/>
              </w:rPr>
              <w:t>)</w:t>
            </w:r>
          </w:p>
        </w:tc>
        <w:tc>
          <w:tcPr>
            <w:tcW w:w="698"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1A712B"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Cíle</w:t>
            </w:r>
            <w:r w:rsidR="00744CFD" w:rsidRPr="00857077">
              <w:rPr>
                <w:color w:val="FFFFFF" w:themeColor="background1"/>
                <w:sz w:val="18"/>
                <w:szCs w:val="18"/>
              </w:rPr>
              <w:t xml:space="preserve"> (m</w:t>
            </w:r>
            <w:r w:rsidR="00744CFD" w:rsidRPr="00857077">
              <w:rPr>
                <w:color w:val="FFFFFF" w:themeColor="background1"/>
                <w:sz w:val="18"/>
                <w:szCs w:val="18"/>
                <w:lang w:val="en-US"/>
              </w:rPr>
              <w:t>ax</w:t>
            </w:r>
            <w:r w:rsidR="00744CFD" w:rsidRPr="00857077">
              <w:rPr>
                <w:color w:val="FFFFFF" w:themeColor="background1"/>
                <w:sz w:val="18"/>
                <w:szCs w:val="18"/>
              </w:rPr>
              <w:t xml:space="preserve"> </w:t>
            </w:r>
            <w:r w:rsidR="00744CFD" w:rsidRPr="00857077">
              <w:rPr>
                <w:color w:val="FFFFFF" w:themeColor="background1"/>
                <w:sz w:val="18"/>
                <w:szCs w:val="18"/>
                <w:lang w:val="en-US"/>
              </w:rPr>
              <w:t>12</w:t>
            </w:r>
            <w:r w:rsidR="00744CFD" w:rsidRPr="00857077">
              <w:rPr>
                <w:color w:val="FFFFFF" w:themeColor="background1"/>
                <w:sz w:val="18"/>
                <w:szCs w:val="18"/>
              </w:rPr>
              <w:t xml:space="preserve">, </w:t>
            </w:r>
            <w:r w:rsidR="00744CFD" w:rsidRPr="00857077">
              <w:rPr>
                <w:color w:val="FFFFFF" w:themeColor="background1"/>
                <w:sz w:val="18"/>
                <w:szCs w:val="18"/>
                <w:lang w:val="en-US"/>
              </w:rPr>
              <w:br/>
            </w:r>
            <w:r w:rsidR="00744CFD" w:rsidRPr="00857077">
              <w:rPr>
                <w:color w:val="FFFFFF" w:themeColor="background1"/>
                <w:sz w:val="18"/>
                <w:szCs w:val="18"/>
              </w:rPr>
              <w:t>ø</w:t>
            </w:r>
            <w:r w:rsidR="00744CFD" w:rsidRPr="00857077">
              <w:rPr>
                <w:color w:val="FFFFFF" w:themeColor="background1"/>
                <w:sz w:val="18"/>
                <w:szCs w:val="18"/>
                <w:lang w:val="en-US"/>
              </w:rPr>
              <w:t xml:space="preserve"> 9,1</w:t>
            </w:r>
            <w:r w:rsidR="00744CFD" w:rsidRPr="00857077">
              <w:rPr>
                <w:color w:val="FFFFFF" w:themeColor="background1"/>
                <w:sz w:val="18"/>
                <w:szCs w:val="18"/>
              </w:rPr>
              <w:t>)</w:t>
            </w:r>
          </w:p>
        </w:tc>
        <w:tc>
          <w:tcPr>
            <w:tcW w:w="817"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Posun (m</w:t>
            </w:r>
            <w:r w:rsidRPr="00857077">
              <w:rPr>
                <w:color w:val="FFFFFF" w:themeColor="background1"/>
                <w:sz w:val="18"/>
                <w:szCs w:val="18"/>
                <w:lang w:val="en-US"/>
              </w:rPr>
              <w:t>ax</w:t>
            </w:r>
            <w:r w:rsidRPr="00857077">
              <w:rPr>
                <w:color w:val="FFFFFF" w:themeColor="background1"/>
                <w:sz w:val="18"/>
                <w:szCs w:val="18"/>
              </w:rPr>
              <w:t xml:space="preserve"> </w:t>
            </w:r>
            <w:r w:rsidRPr="00857077">
              <w:rPr>
                <w:color w:val="FFFFFF" w:themeColor="background1"/>
                <w:sz w:val="18"/>
                <w:szCs w:val="18"/>
                <w:lang w:val="en-US"/>
              </w:rPr>
              <w:t>10</w:t>
            </w:r>
            <w:r w:rsidRPr="00857077">
              <w:rPr>
                <w:color w:val="FFFFFF" w:themeColor="background1"/>
                <w:sz w:val="18"/>
                <w:szCs w:val="18"/>
              </w:rPr>
              <w:t xml:space="preserve">, </w:t>
            </w:r>
            <w:r w:rsidRPr="00857077">
              <w:rPr>
                <w:color w:val="FFFFFF" w:themeColor="background1"/>
                <w:sz w:val="18"/>
                <w:szCs w:val="18"/>
                <w:lang w:val="en-US"/>
              </w:rPr>
              <w:br/>
            </w:r>
            <w:r w:rsidRPr="00857077">
              <w:rPr>
                <w:color w:val="FFFFFF" w:themeColor="background1"/>
                <w:sz w:val="18"/>
                <w:szCs w:val="18"/>
              </w:rPr>
              <w:t>ø</w:t>
            </w:r>
            <w:r w:rsidRPr="00857077">
              <w:rPr>
                <w:color w:val="FFFFFF" w:themeColor="background1"/>
                <w:sz w:val="18"/>
                <w:szCs w:val="18"/>
                <w:lang w:val="en-US"/>
              </w:rPr>
              <w:t xml:space="preserve"> 7,4</w:t>
            </w:r>
            <w:r w:rsidRPr="00857077">
              <w:rPr>
                <w:color w:val="FFFFFF" w:themeColor="background1"/>
                <w:sz w:val="18"/>
                <w:szCs w:val="18"/>
              </w:rPr>
              <w:t>)</w:t>
            </w:r>
          </w:p>
        </w:tc>
        <w:tc>
          <w:tcPr>
            <w:tcW w:w="1047"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Absorpce (m</w:t>
            </w:r>
            <w:r w:rsidRPr="00857077">
              <w:rPr>
                <w:color w:val="FFFFFF" w:themeColor="background1"/>
                <w:sz w:val="18"/>
                <w:szCs w:val="18"/>
                <w:lang w:val="en-US"/>
              </w:rPr>
              <w:t>ax</w:t>
            </w:r>
            <w:r w:rsidRPr="00857077">
              <w:rPr>
                <w:color w:val="FFFFFF" w:themeColor="background1"/>
                <w:sz w:val="18"/>
                <w:szCs w:val="18"/>
              </w:rPr>
              <w:t xml:space="preserve"> </w:t>
            </w:r>
            <w:r w:rsidRPr="00857077">
              <w:rPr>
                <w:color w:val="FFFFFF" w:themeColor="background1"/>
                <w:sz w:val="18"/>
                <w:szCs w:val="18"/>
                <w:lang w:val="en-US"/>
              </w:rPr>
              <w:t>20</w:t>
            </w:r>
            <w:r w:rsidRPr="00857077">
              <w:rPr>
                <w:color w:val="FFFFFF" w:themeColor="background1"/>
                <w:sz w:val="18"/>
                <w:szCs w:val="18"/>
              </w:rPr>
              <w:t xml:space="preserve">, </w:t>
            </w:r>
            <w:r w:rsidRPr="00857077">
              <w:rPr>
                <w:color w:val="FFFFFF" w:themeColor="background1"/>
                <w:sz w:val="18"/>
                <w:szCs w:val="18"/>
                <w:lang w:val="en-US"/>
              </w:rPr>
              <w:br/>
            </w:r>
            <w:r w:rsidRPr="00857077">
              <w:rPr>
                <w:color w:val="FFFFFF" w:themeColor="background1"/>
                <w:sz w:val="18"/>
                <w:szCs w:val="18"/>
              </w:rPr>
              <w:t>ø</w:t>
            </w:r>
            <w:r w:rsidRPr="00857077">
              <w:rPr>
                <w:color w:val="FFFFFF" w:themeColor="background1"/>
                <w:sz w:val="18"/>
                <w:szCs w:val="18"/>
                <w:lang w:val="en-US"/>
              </w:rPr>
              <w:t xml:space="preserve"> 14,8</w:t>
            </w:r>
            <w:r w:rsidRPr="00857077">
              <w:rPr>
                <w:color w:val="FFFFFF" w:themeColor="background1"/>
                <w:sz w:val="18"/>
                <w:szCs w:val="18"/>
              </w:rPr>
              <w:t>)</w:t>
            </w:r>
          </w:p>
        </w:tc>
        <w:tc>
          <w:tcPr>
            <w:tcW w:w="844" w:type="dxa"/>
            <w:tcBorders>
              <w:top w:val="single" w:sz="8" w:space="0" w:color="FFFFFF" w:themeColor="background1"/>
              <w:left w:val="none" w:sz="0" w:space="0" w:color="auto"/>
              <w:bottom w:val="single" w:sz="24" w:space="0" w:color="FFFFFF" w:themeColor="background1"/>
              <w:right w:val="none" w:sz="0" w:space="0" w:color="auto"/>
            </w:tcBorders>
            <w:shd w:val="clear" w:color="auto" w:fill="4F81BD" w:themeFill="accent1"/>
            <w:noWrap/>
            <w:vAlign w:val="center"/>
            <w:hideMark/>
          </w:tcPr>
          <w:p w:rsidR="00744CFD" w:rsidRPr="00857077" w:rsidRDefault="00744CFD" w:rsidP="00744CFD">
            <w:pPr>
              <w:spacing w:after="16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57077">
              <w:rPr>
                <w:color w:val="FFFFFF" w:themeColor="background1"/>
                <w:sz w:val="18"/>
                <w:szCs w:val="18"/>
              </w:rPr>
              <w:t xml:space="preserve">Alt. </w:t>
            </w:r>
            <w:r w:rsidR="001A712B">
              <w:rPr>
                <w:color w:val="FFFFFF" w:themeColor="background1"/>
                <w:sz w:val="18"/>
                <w:szCs w:val="18"/>
                <w:lang w:val="en-US"/>
              </w:rPr>
              <w:t>z</w:t>
            </w:r>
            <w:r w:rsidRPr="00857077">
              <w:rPr>
                <w:color w:val="FFFFFF" w:themeColor="background1"/>
                <w:sz w:val="18"/>
                <w:szCs w:val="18"/>
              </w:rPr>
              <w:t>droje (m</w:t>
            </w:r>
            <w:r w:rsidRPr="00857077">
              <w:rPr>
                <w:color w:val="FFFFFF" w:themeColor="background1"/>
                <w:sz w:val="18"/>
                <w:szCs w:val="18"/>
                <w:lang w:val="en-US"/>
              </w:rPr>
              <w:t>ax</w:t>
            </w:r>
            <w:r w:rsidRPr="00857077">
              <w:rPr>
                <w:color w:val="FFFFFF" w:themeColor="background1"/>
                <w:sz w:val="18"/>
                <w:szCs w:val="18"/>
              </w:rPr>
              <w:t xml:space="preserve"> </w:t>
            </w:r>
            <w:r w:rsidRPr="00857077">
              <w:rPr>
                <w:color w:val="FFFFFF" w:themeColor="background1"/>
                <w:sz w:val="18"/>
                <w:szCs w:val="18"/>
                <w:lang w:val="en-US"/>
              </w:rPr>
              <w:t>12</w:t>
            </w:r>
            <w:r w:rsidRPr="00857077">
              <w:rPr>
                <w:color w:val="FFFFFF" w:themeColor="background1"/>
                <w:sz w:val="18"/>
                <w:szCs w:val="18"/>
              </w:rPr>
              <w:t xml:space="preserve">, </w:t>
            </w:r>
            <w:r w:rsidRPr="00857077">
              <w:rPr>
                <w:color w:val="FFFFFF" w:themeColor="background1"/>
                <w:sz w:val="18"/>
                <w:szCs w:val="18"/>
                <w:lang w:val="en-US"/>
              </w:rPr>
              <w:br/>
            </w:r>
            <w:r w:rsidRPr="00857077">
              <w:rPr>
                <w:color w:val="FFFFFF" w:themeColor="background1"/>
                <w:sz w:val="18"/>
                <w:szCs w:val="18"/>
              </w:rPr>
              <w:t>ø</w:t>
            </w:r>
            <w:r w:rsidRPr="00857077">
              <w:rPr>
                <w:color w:val="FFFFFF" w:themeColor="background1"/>
                <w:sz w:val="18"/>
                <w:szCs w:val="18"/>
                <w:lang w:val="en-US"/>
              </w:rPr>
              <w:t xml:space="preserve"> 8,4</w:t>
            </w:r>
            <w:r w:rsidRPr="00857077">
              <w:rPr>
                <w:color w:val="FFFFFF" w:themeColor="background1"/>
                <w:sz w:val="18"/>
                <w:szCs w:val="18"/>
              </w:rPr>
              <w:t>)</w:t>
            </w:r>
          </w:p>
        </w:tc>
      </w:tr>
      <w:tr w:rsidR="00857077" w:rsidRPr="00F564B5" w:rsidTr="00A938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60" w:type="dxa"/>
            <w:tcBorders>
              <w:top w:val="single" w:sz="24" w:space="0" w:color="FFFFFF" w:themeColor="background1"/>
              <w:left w:val="none" w:sz="0" w:space="0" w:color="auto"/>
              <w:bottom w:val="single" w:sz="24" w:space="0" w:color="FFFFFF" w:themeColor="background1"/>
            </w:tcBorders>
            <w:shd w:val="clear" w:color="auto" w:fill="4F81BD" w:themeFill="accent1"/>
            <w:vAlign w:val="center"/>
            <w:hideMark/>
          </w:tcPr>
          <w:p w:rsidR="00744CFD" w:rsidRPr="00857077" w:rsidRDefault="00744CFD" w:rsidP="00857077">
            <w:pPr>
              <w:jc w:val="left"/>
              <w:rPr>
                <w:rFonts w:eastAsia="Times New Roman"/>
                <w:b/>
                <w:i w:val="0"/>
                <w:color w:val="FFFFFF" w:themeColor="background1"/>
                <w:lang w:eastAsia="cs-CZ"/>
              </w:rPr>
            </w:pPr>
            <w:r w:rsidRPr="00857077">
              <w:rPr>
                <w:rFonts w:eastAsia="Times New Roman"/>
                <w:b/>
                <w:i w:val="0"/>
                <w:color w:val="FFFFFF" w:themeColor="background1"/>
                <w:lang w:eastAsia="cs-CZ"/>
              </w:rPr>
              <w:t>Ochrana životního prostředí a oběhové hospodářství</w:t>
            </w:r>
          </w:p>
        </w:tc>
        <w:tc>
          <w:tcPr>
            <w:tcW w:w="950"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85,3</w:t>
            </w:r>
          </w:p>
        </w:tc>
        <w:tc>
          <w:tcPr>
            <w:tcW w:w="1155"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24,1</w:t>
            </w:r>
          </w:p>
        </w:tc>
        <w:tc>
          <w:tcPr>
            <w:tcW w:w="1101"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16,5</w:t>
            </w:r>
          </w:p>
        </w:tc>
        <w:tc>
          <w:tcPr>
            <w:tcW w:w="698"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10,1</w:t>
            </w:r>
          </w:p>
        </w:tc>
        <w:tc>
          <w:tcPr>
            <w:tcW w:w="817"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8,6</w:t>
            </w:r>
          </w:p>
        </w:tc>
        <w:tc>
          <w:tcPr>
            <w:tcW w:w="1047"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16,6</w:t>
            </w:r>
          </w:p>
        </w:tc>
        <w:tc>
          <w:tcPr>
            <w:tcW w:w="844" w:type="dxa"/>
            <w:tcBorders>
              <w:top w:val="single" w:sz="24" w:space="0" w:color="FFFFFF" w:themeColor="background1"/>
              <w:bottom w:val="single" w:sz="24" w:space="0" w:color="FFFFFF" w:themeColor="background1"/>
            </w:tcBorders>
            <w:shd w:val="clear" w:color="auto" w:fill="D0D8E8"/>
            <w:noWrap/>
            <w:vAlign w:val="center"/>
          </w:tcPr>
          <w:p w:rsidR="00744CFD" w:rsidRPr="00A93813" w:rsidRDefault="00744CFD" w:rsidP="00857077">
            <w:pPr>
              <w:spacing w:before="0"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A93813">
              <w:rPr>
                <w:rFonts w:eastAsia="Times New Roman"/>
                <w:b/>
                <w:lang w:eastAsia="cs-CZ"/>
              </w:rPr>
              <w:t>9,5</w:t>
            </w:r>
          </w:p>
        </w:tc>
      </w:tr>
      <w:tr w:rsidR="00857077" w:rsidRPr="00F564B5" w:rsidTr="00A93813">
        <w:trPr>
          <w:trHeight w:val="255"/>
        </w:trPr>
        <w:tc>
          <w:tcPr>
            <w:cnfStyle w:val="001000000000" w:firstRow="0" w:lastRow="0" w:firstColumn="1" w:lastColumn="0" w:oddVBand="0" w:evenVBand="0" w:oddHBand="0" w:evenHBand="0" w:firstRowFirstColumn="0" w:firstRowLastColumn="0" w:lastRowFirstColumn="0" w:lastRowLastColumn="0"/>
            <w:tcW w:w="2460" w:type="dxa"/>
            <w:tcBorders>
              <w:top w:val="single" w:sz="24" w:space="0" w:color="FFFFFF" w:themeColor="background1"/>
              <w:left w:val="none" w:sz="0" w:space="0" w:color="auto"/>
              <w:bottom w:val="none" w:sz="0" w:space="0" w:color="auto"/>
            </w:tcBorders>
            <w:shd w:val="clear" w:color="auto" w:fill="4F81BD" w:themeFill="accent1"/>
            <w:vAlign w:val="center"/>
            <w:hideMark/>
          </w:tcPr>
          <w:p w:rsidR="00744CFD" w:rsidRPr="00857077" w:rsidRDefault="00744CFD" w:rsidP="00857077">
            <w:pPr>
              <w:jc w:val="left"/>
              <w:rPr>
                <w:i w:val="0"/>
                <w:color w:val="FFFFFF" w:themeColor="background1"/>
              </w:rPr>
            </w:pPr>
            <w:r w:rsidRPr="00857077">
              <w:rPr>
                <w:i w:val="0"/>
                <w:color w:val="FFFFFF" w:themeColor="background1"/>
              </w:rPr>
              <w:t>Zlepšení kvality ovzduší</w:t>
            </w:r>
          </w:p>
        </w:tc>
        <w:tc>
          <w:tcPr>
            <w:tcW w:w="950" w:type="dxa"/>
            <w:tcBorders>
              <w:top w:val="single" w:sz="24" w:space="0" w:color="FFFFFF" w:themeColor="background1"/>
            </w:tcBorders>
            <w:shd w:val="clear" w:color="auto" w:fill="D0D8E8"/>
            <w:noWrap/>
            <w:vAlign w:val="center"/>
          </w:tcPr>
          <w:p w:rsidR="00744CFD" w:rsidRPr="00A93813" w:rsidRDefault="00744CFD" w:rsidP="00744CFD">
            <w:pPr>
              <w:jc w:val="center"/>
              <w:cnfStyle w:val="000000000000" w:firstRow="0" w:lastRow="0" w:firstColumn="0" w:lastColumn="0" w:oddVBand="0" w:evenVBand="0" w:oddHBand="0" w:evenHBand="0" w:firstRowFirstColumn="0" w:firstRowLastColumn="0" w:lastRowFirstColumn="0" w:lastRowLastColumn="0"/>
              <w:rPr>
                <w:b/>
              </w:rPr>
            </w:pPr>
            <w:r w:rsidRPr="00A93813">
              <w:rPr>
                <w:b/>
              </w:rPr>
              <w:t>91,7</w:t>
            </w:r>
          </w:p>
        </w:tc>
        <w:tc>
          <w:tcPr>
            <w:tcW w:w="1155"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27,6</w:t>
            </w:r>
          </w:p>
        </w:tc>
        <w:tc>
          <w:tcPr>
            <w:tcW w:w="1101"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16,8</w:t>
            </w:r>
          </w:p>
        </w:tc>
        <w:tc>
          <w:tcPr>
            <w:tcW w:w="698"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11,3</w:t>
            </w:r>
          </w:p>
        </w:tc>
        <w:tc>
          <w:tcPr>
            <w:tcW w:w="817"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8,3</w:t>
            </w:r>
          </w:p>
        </w:tc>
        <w:tc>
          <w:tcPr>
            <w:tcW w:w="1047"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18,8</w:t>
            </w:r>
          </w:p>
        </w:tc>
        <w:tc>
          <w:tcPr>
            <w:tcW w:w="844" w:type="dxa"/>
            <w:tcBorders>
              <w:top w:val="single" w:sz="24" w:space="0" w:color="FFFFFF" w:themeColor="background1"/>
            </w:tcBorders>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8,9</w:t>
            </w:r>
          </w:p>
        </w:tc>
      </w:tr>
      <w:tr w:rsidR="00857077" w:rsidRPr="00F564B5" w:rsidTr="00A9381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460" w:type="dxa"/>
            <w:tcBorders>
              <w:left w:val="none" w:sz="0" w:space="0" w:color="auto"/>
              <w:bottom w:val="none" w:sz="0" w:space="0" w:color="auto"/>
            </w:tcBorders>
            <w:shd w:val="clear" w:color="auto" w:fill="4F81BD" w:themeFill="accent1"/>
            <w:vAlign w:val="center"/>
            <w:hideMark/>
          </w:tcPr>
          <w:p w:rsidR="00744CFD" w:rsidRPr="00857077" w:rsidRDefault="00744CFD" w:rsidP="00857077">
            <w:pPr>
              <w:jc w:val="left"/>
              <w:rPr>
                <w:i w:val="0"/>
                <w:color w:val="FFFFFF" w:themeColor="background1"/>
              </w:rPr>
            </w:pPr>
            <w:r w:rsidRPr="00857077">
              <w:rPr>
                <w:i w:val="0"/>
                <w:color w:val="FFFFFF" w:themeColor="background1"/>
              </w:rPr>
              <w:t xml:space="preserve">Ochrana a péče </w:t>
            </w:r>
            <w:r w:rsidR="00EF5CE2">
              <w:rPr>
                <w:i w:val="0"/>
                <w:color w:val="FFFFFF" w:themeColor="background1"/>
              </w:rPr>
              <w:br/>
            </w:r>
            <w:r w:rsidRPr="00857077">
              <w:rPr>
                <w:i w:val="0"/>
                <w:color w:val="FFFFFF" w:themeColor="background1"/>
              </w:rPr>
              <w:t>o přírodu a krajinu</w:t>
            </w:r>
          </w:p>
        </w:tc>
        <w:tc>
          <w:tcPr>
            <w:tcW w:w="950" w:type="dxa"/>
            <w:shd w:val="clear" w:color="auto" w:fill="D0D8E8"/>
            <w:noWrap/>
            <w:vAlign w:val="center"/>
          </w:tcPr>
          <w:p w:rsidR="00744CFD" w:rsidRPr="00A93813" w:rsidRDefault="00744CFD" w:rsidP="00744CFD">
            <w:pPr>
              <w:jc w:val="center"/>
              <w:cnfStyle w:val="000000100000" w:firstRow="0" w:lastRow="0" w:firstColumn="0" w:lastColumn="0" w:oddVBand="0" w:evenVBand="0" w:oddHBand="1" w:evenHBand="0" w:firstRowFirstColumn="0" w:firstRowLastColumn="0" w:lastRowFirstColumn="0" w:lastRowLastColumn="0"/>
              <w:rPr>
                <w:b/>
              </w:rPr>
            </w:pPr>
            <w:r w:rsidRPr="00A93813">
              <w:rPr>
                <w:b/>
              </w:rPr>
              <w:t>87,5</w:t>
            </w:r>
          </w:p>
        </w:tc>
        <w:tc>
          <w:tcPr>
            <w:tcW w:w="1155"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25,4</w:t>
            </w:r>
          </w:p>
        </w:tc>
        <w:tc>
          <w:tcPr>
            <w:tcW w:w="1101"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18,0</w:t>
            </w:r>
          </w:p>
        </w:tc>
        <w:tc>
          <w:tcPr>
            <w:tcW w:w="698"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10,2</w:t>
            </w:r>
          </w:p>
        </w:tc>
        <w:tc>
          <w:tcPr>
            <w:tcW w:w="81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8,5</w:t>
            </w:r>
          </w:p>
        </w:tc>
        <w:tc>
          <w:tcPr>
            <w:tcW w:w="104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15,2</w:t>
            </w:r>
          </w:p>
        </w:tc>
        <w:tc>
          <w:tcPr>
            <w:tcW w:w="844"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10,1</w:t>
            </w:r>
          </w:p>
        </w:tc>
      </w:tr>
      <w:tr w:rsidR="00857077" w:rsidRPr="00F564B5" w:rsidTr="00A93813">
        <w:trPr>
          <w:trHeight w:val="750"/>
        </w:trPr>
        <w:tc>
          <w:tcPr>
            <w:cnfStyle w:val="001000000000" w:firstRow="0" w:lastRow="0" w:firstColumn="1" w:lastColumn="0" w:oddVBand="0" w:evenVBand="0" w:oddHBand="0" w:evenHBand="0" w:firstRowFirstColumn="0" w:firstRowLastColumn="0" w:lastRowFirstColumn="0" w:lastRowLastColumn="0"/>
            <w:tcW w:w="2460" w:type="dxa"/>
            <w:tcBorders>
              <w:left w:val="none" w:sz="0" w:space="0" w:color="auto"/>
              <w:bottom w:val="none" w:sz="0" w:space="0" w:color="auto"/>
            </w:tcBorders>
            <w:shd w:val="clear" w:color="auto" w:fill="4F81BD" w:themeFill="accent1"/>
            <w:vAlign w:val="center"/>
            <w:hideMark/>
          </w:tcPr>
          <w:p w:rsidR="00744CFD" w:rsidRPr="00857077" w:rsidRDefault="00744CFD" w:rsidP="00857077">
            <w:pPr>
              <w:jc w:val="left"/>
              <w:rPr>
                <w:i w:val="0"/>
                <w:color w:val="FFFFFF" w:themeColor="background1"/>
              </w:rPr>
            </w:pPr>
            <w:r w:rsidRPr="00857077">
              <w:rPr>
                <w:i w:val="0"/>
                <w:color w:val="FFFFFF" w:themeColor="background1"/>
              </w:rPr>
              <w:t>Ochrana a zlepšení stavu vody a vodního hospodářství</w:t>
            </w:r>
          </w:p>
        </w:tc>
        <w:tc>
          <w:tcPr>
            <w:tcW w:w="950" w:type="dxa"/>
            <w:shd w:val="clear" w:color="auto" w:fill="D0D8E8"/>
            <w:noWrap/>
            <w:vAlign w:val="center"/>
          </w:tcPr>
          <w:p w:rsidR="00744CFD" w:rsidRPr="00A93813" w:rsidRDefault="00744CFD" w:rsidP="00744CFD">
            <w:pPr>
              <w:jc w:val="center"/>
              <w:cnfStyle w:val="000000000000" w:firstRow="0" w:lastRow="0" w:firstColumn="0" w:lastColumn="0" w:oddVBand="0" w:evenVBand="0" w:oddHBand="0" w:evenHBand="0" w:firstRowFirstColumn="0" w:firstRowLastColumn="0" w:lastRowFirstColumn="0" w:lastRowLastColumn="0"/>
              <w:rPr>
                <w:b/>
              </w:rPr>
            </w:pPr>
            <w:r w:rsidRPr="00A93813">
              <w:rPr>
                <w:b/>
              </w:rPr>
              <w:t>86,6</w:t>
            </w:r>
          </w:p>
        </w:tc>
        <w:tc>
          <w:tcPr>
            <w:tcW w:w="1155"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26,1</w:t>
            </w:r>
          </w:p>
        </w:tc>
        <w:tc>
          <w:tcPr>
            <w:tcW w:w="1101"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17,1</w:t>
            </w:r>
          </w:p>
        </w:tc>
        <w:tc>
          <w:tcPr>
            <w:tcW w:w="698"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9,2</w:t>
            </w:r>
          </w:p>
        </w:tc>
        <w:tc>
          <w:tcPr>
            <w:tcW w:w="817"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8,8</w:t>
            </w:r>
          </w:p>
        </w:tc>
        <w:tc>
          <w:tcPr>
            <w:tcW w:w="1047"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16,6</w:t>
            </w:r>
          </w:p>
        </w:tc>
        <w:tc>
          <w:tcPr>
            <w:tcW w:w="844"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8,8</w:t>
            </w:r>
          </w:p>
        </w:tc>
      </w:tr>
      <w:tr w:rsidR="00857077" w:rsidRPr="00F564B5" w:rsidTr="00A93813">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460" w:type="dxa"/>
            <w:tcBorders>
              <w:left w:val="none" w:sz="0" w:space="0" w:color="auto"/>
              <w:bottom w:val="none" w:sz="0" w:space="0" w:color="auto"/>
            </w:tcBorders>
            <w:shd w:val="clear" w:color="auto" w:fill="4F81BD" w:themeFill="accent1"/>
            <w:vAlign w:val="center"/>
          </w:tcPr>
          <w:p w:rsidR="00744CFD" w:rsidRPr="00857077" w:rsidRDefault="00744CFD" w:rsidP="00857077">
            <w:pPr>
              <w:jc w:val="left"/>
              <w:rPr>
                <w:i w:val="0"/>
                <w:color w:val="FFFFFF" w:themeColor="background1"/>
              </w:rPr>
            </w:pPr>
            <w:r w:rsidRPr="00857077">
              <w:rPr>
                <w:i w:val="0"/>
                <w:color w:val="FFFFFF" w:themeColor="background1"/>
              </w:rPr>
              <w:t>Oběhové hospodářství, odpady a účinné využívání zdrojů</w:t>
            </w:r>
          </w:p>
        </w:tc>
        <w:tc>
          <w:tcPr>
            <w:tcW w:w="950" w:type="dxa"/>
            <w:shd w:val="clear" w:color="auto" w:fill="D0D8E8"/>
            <w:noWrap/>
            <w:vAlign w:val="center"/>
          </w:tcPr>
          <w:p w:rsidR="00744CFD" w:rsidRPr="00A93813" w:rsidRDefault="00744CFD" w:rsidP="00744CFD">
            <w:pPr>
              <w:jc w:val="center"/>
              <w:cnfStyle w:val="000000100000" w:firstRow="0" w:lastRow="0" w:firstColumn="0" w:lastColumn="0" w:oddVBand="0" w:evenVBand="0" w:oddHBand="1" w:evenHBand="0" w:firstRowFirstColumn="0" w:firstRowLastColumn="0" w:lastRowFirstColumn="0" w:lastRowLastColumn="0"/>
              <w:rPr>
                <w:b/>
              </w:rPr>
            </w:pPr>
            <w:r w:rsidRPr="00A93813">
              <w:rPr>
                <w:b/>
              </w:rPr>
              <w:t>84,6</w:t>
            </w:r>
          </w:p>
        </w:tc>
        <w:tc>
          <w:tcPr>
            <w:tcW w:w="1155"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25,3</w:t>
            </w:r>
          </w:p>
        </w:tc>
        <w:tc>
          <w:tcPr>
            <w:tcW w:w="1101"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16,2</w:t>
            </w:r>
          </w:p>
        </w:tc>
        <w:tc>
          <w:tcPr>
            <w:tcW w:w="698"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9,9</w:t>
            </w:r>
          </w:p>
        </w:tc>
        <w:tc>
          <w:tcPr>
            <w:tcW w:w="81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8,7</w:t>
            </w:r>
          </w:p>
        </w:tc>
        <w:tc>
          <w:tcPr>
            <w:tcW w:w="104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16,0</w:t>
            </w:r>
          </w:p>
        </w:tc>
        <w:tc>
          <w:tcPr>
            <w:tcW w:w="844"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8,5</w:t>
            </w:r>
          </w:p>
        </w:tc>
      </w:tr>
      <w:tr w:rsidR="00857077" w:rsidRPr="00F564B5" w:rsidTr="00A93813">
        <w:trPr>
          <w:trHeight w:val="750"/>
        </w:trPr>
        <w:tc>
          <w:tcPr>
            <w:cnfStyle w:val="001000000000" w:firstRow="0" w:lastRow="0" w:firstColumn="1" w:lastColumn="0" w:oddVBand="0" w:evenVBand="0" w:oddHBand="0" w:evenHBand="0" w:firstRowFirstColumn="0" w:firstRowLastColumn="0" w:lastRowFirstColumn="0" w:lastRowLastColumn="0"/>
            <w:tcW w:w="2460" w:type="dxa"/>
            <w:tcBorders>
              <w:left w:val="none" w:sz="0" w:space="0" w:color="auto"/>
              <w:bottom w:val="none" w:sz="0" w:space="0" w:color="auto"/>
            </w:tcBorders>
            <w:shd w:val="clear" w:color="auto" w:fill="4F81BD" w:themeFill="accent1"/>
            <w:vAlign w:val="center"/>
          </w:tcPr>
          <w:p w:rsidR="00744CFD" w:rsidRPr="00857077" w:rsidRDefault="00744CFD" w:rsidP="00857077">
            <w:pPr>
              <w:jc w:val="left"/>
              <w:rPr>
                <w:i w:val="0"/>
                <w:color w:val="FFFFFF" w:themeColor="background1"/>
              </w:rPr>
            </w:pPr>
            <w:r w:rsidRPr="00857077">
              <w:rPr>
                <w:i w:val="0"/>
                <w:color w:val="FFFFFF" w:themeColor="background1"/>
              </w:rPr>
              <w:t xml:space="preserve">Sanace míst </w:t>
            </w:r>
            <w:r w:rsidR="00EF5CE2">
              <w:rPr>
                <w:i w:val="0"/>
                <w:color w:val="FFFFFF" w:themeColor="background1"/>
              </w:rPr>
              <w:br/>
            </w:r>
            <w:r w:rsidRPr="00857077">
              <w:rPr>
                <w:i w:val="0"/>
                <w:color w:val="FFFFFF" w:themeColor="background1"/>
              </w:rPr>
              <w:t xml:space="preserve">s ekologickou zátěží </w:t>
            </w:r>
            <w:r w:rsidR="00EF5CE2">
              <w:rPr>
                <w:i w:val="0"/>
                <w:color w:val="FFFFFF" w:themeColor="background1"/>
              </w:rPr>
              <w:br/>
            </w:r>
            <w:r w:rsidRPr="00857077">
              <w:rPr>
                <w:i w:val="0"/>
                <w:color w:val="FFFFFF" w:themeColor="background1"/>
              </w:rPr>
              <w:t>a revitalizace brownfieldů</w:t>
            </w:r>
          </w:p>
        </w:tc>
        <w:tc>
          <w:tcPr>
            <w:tcW w:w="950" w:type="dxa"/>
            <w:shd w:val="clear" w:color="auto" w:fill="D0D8E8"/>
            <w:noWrap/>
            <w:vAlign w:val="center"/>
          </w:tcPr>
          <w:p w:rsidR="00744CFD" w:rsidRPr="00A93813" w:rsidRDefault="00744CFD" w:rsidP="00744CFD">
            <w:pPr>
              <w:jc w:val="center"/>
              <w:cnfStyle w:val="000000000000" w:firstRow="0" w:lastRow="0" w:firstColumn="0" w:lastColumn="0" w:oddVBand="0" w:evenVBand="0" w:oddHBand="0" w:evenHBand="0" w:firstRowFirstColumn="0" w:firstRowLastColumn="0" w:lastRowFirstColumn="0" w:lastRowLastColumn="0"/>
              <w:rPr>
                <w:b/>
              </w:rPr>
            </w:pPr>
            <w:r w:rsidRPr="00A93813">
              <w:rPr>
                <w:b/>
              </w:rPr>
              <w:t>83,8</w:t>
            </w:r>
          </w:p>
        </w:tc>
        <w:tc>
          <w:tcPr>
            <w:tcW w:w="1155"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23,1</w:t>
            </w:r>
          </w:p>
        </w:tc>
        <w:tc>
          <w:tcPr>
            <w:tcW w:w="1101"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15,5</w:t>
            </w:r>
          </w:p>
        </w:tc>
        <w:tc>
          <w:tcPr>
            <w:tcW w:w="698"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9,3</w:t>
            </w:r>
          </w:p>
        </w:tc>
        <w:tc>
          <w:tcPr>
            <w:tcW w:w="817"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8,8</w:t>
            </w:r>
          </w:p>
        </w:tc>
        <w:tc>
          <w:tcPr>
            <w:tcW w:w="1047"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17,7</w:t>
            </w:r>
          </w:p>
        </w:tc>
        <w:tc>
          <w:tcPr>
            <w:tcW w:w="844" w:type="dxa"/>
            <w:shd w:val="clear" w:color="auto" w:fill="D0D8E8"/>
            <w:noWrap/>
            <w:vAlign w:val="center"/>
          </w:tcPr>
          <w:p w:rsidR="00744CFD" w:rsidRPr="00857077" w:rsidRDefault="00744CFD" w:rsidP="00744CFD">
            <w:pPr>
              <w:jc w:val="center"/>
              <w:cnfStyle w:val="000000000000" w:firstRow="0" w:lastRow="0" w:firstColumn="0" w:lastColumn="0" w:oddVBand="0" w:evenVBand="0" w:oddHBand="0" w:evenHBand="0" w:firstRowFirstColumn="0" w:firstRowLastColumn="0" w:lastRowFirstColumn="0" w:lastRowLastColumn="0"/>
            </w:pPr>
            <w:r w:rsidRPr="00857077">
              <w:t>9,4</w:t>
            </w:r>
          </w:p>
        </w:tc>
      </w:tr>
      <w:tr w:rsidR="00857077" w:rsidRPr="00F564B5" w:rsidTr="00A93813">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460" w:type="dxa"/>
            <w:tcBorders>
              <w:left w:val="none" w:sz="0" w:space="0" w:color="auto"/>
              <w:bottom w:val="none" w:sz="0" w:space="0" w:color="auto"/>
            </w:tcBorders>
            <w:shd w:val="clear" w:color="auto" w:fill="4F81BD" w:themeFill="accent1"/>
            <w:vAlign w:val="center"/>
          </w:tcPr>
          <w:p w:rsidR="00744CFD" w:rsidRPr="00857077" w:rsidRDefault="00744CFD" w:rsidP="00857077">
            <w:pPr>
              <w:jc w:val="left"/>
              <w:rPr>
                <w:i w:val="0"/>
                <w:color w:val="FFFFFF" w:themeColor="background1"/>
              </w:rPr>
            </w:pPr>
            <w:r w:rsidRPr="00857077">
              <w:rPr>
                <w:i w:val="0"/>
                <w:color w:val="FFFFFF" w:themeColor="background1"/>
              </w:rPr>
              <w:t xml:space="preserve">Vytvoření zázemí </w:t>
            </w:r>
            <w:r w:rsidR="00EF5CE2">
              <w:rPr>
                <w:i w:val="0"/>
                <w:color w:val="FFFFFF" w:themeColor="background1"/>
              </w:rPr>
              <w:br/>
            </w:r>
            <w:r w:rsidRPr="00857077">
              <w:rPr>
                <w:i w:val="0"/>
                <w:color w:val="FFFFFF" w:themeColor="background1"/>
              </w:rPr>
              <w:t xml:space="preserve">pro vzdělávání </w:t>
            </w:r>
            <w:r w:rsidR="00EF5CE2">
              <w:rPr>
                <w:i w:val="0"/>
                <w:color w:val="FFFFFF" w:themeColor="background1"/>
              </w:rPr>
              <w:br/>
            </w:r>
            <w:r w:rsidRPr="00857077">
              <w:rPr>
                <w:i w:val="0"/>
                <w:color w:val="FFFFFF" w:themeColor="background1"/>
              </w:rPr>
              <w:t>pro udržitelný rozvoj</w:t>
            </w:r>
          </w:p>
        </w:tc>
        <w:tc>
          <w:tcPr>
            <w:tcW w:w="950" w:type="dxa"/>
            <w:shd w:val="clear" w:color="auto" w:fill="D0D8E8"/>
            <w:noWrap/>
            <w:vAlign w:val="center"/>
          </w:tcPr>
          <w:p w:rsidR="00744CFD" w:rsidRPr="00A93813" w:rsidRDefault="00744CFD" w:rsidP="00744CFD">
            <w:pPr>
              <w:jc w:val="center"/>
              <w:cnfStyle w:val="000000100000" w:firstRow="0" w:lastRow="0" w:firstColumn="0" w:lastColumn="0" w:oddVBand="0" w:evenVBand="0" w:oddHBand="1" w:evenHBand="0" w:firstRowFirstColumn="0" w:firstRowLastColumn="0" w:lastRowFirstColumn="0" w:lastRowLastColumn="0"/>
              <w:rPr>
                <w:b/>
              </w:rPr>
            </w:pPr>
            <w:r w:rsidRPr="00A93813">
              <w:rPr>
                <w:b/>
              </w:rPr>
              <w:t>77,9</w:t>
            </w:r>
          </w:p>
        </w:tc>
        <w:tc>
          <w:tcPr>
            <w:tcW w:w="1155"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17,3</w:t>
            </w:r>
          </w:p>
        </w:tc>
        <w:tc>
          <w:tcPr>
            <w:tcW w:w="1101"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15,6</w:t>
            </w:r>
          </w:p>
        </w:tc>
        <w:tc>
          <w:tcPr>
            <w:tcW w:w="698"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10,5</w:t>
            </w:r>
          </w:p>
        </w:tc>
        <w:tc>
          <w:tcPr>
            <w:tcW w:w="81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8,3</w:t>
            </w:r>
          </w:p>
        </w:tc>
        <w:tc>
          <w:tcPr>
            <w:tcW w:w="1047"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15,1</w:t>
            </w:r>
          </w:p>
        </w:tc>
        <w:tc>
          <w:tcPr>
            <w:tcW w:w="844" w:type="dxa"/>
            <w:shd w:val="clear" w:color="auto" w:fill="D0D8E8"/>
            <w:noWrap/>
            <w:vAlign w:val="center"/>
          </w:tcPr>
          <w:p w:rsidR="00744CFD" w:rsidRPr="00857077" w:rsidRDefault="00744CFD" w:rsidP="00744CFD">
            <w:pPr>
              <w:jc w:val="center"/>
              <w:cnfStyle w:val="000000100000" w:firstRow="0" w:lastRow="0" w:firstColumn="0" w:lastColumn="0" w:oddVBand="0" w:evenVBand="0" w:oddHBand="1" w:evenHBand="0" w:firstRowFirstColumn="0" w:firstRowLastColumn="0" w:lastRowFirstColumn="0" w:lastRowLastColumn="0"/>
            </w:pPr>
            <w:r w:rsidRPr="00857077">
              <w:t>11,1</w:t>
            </w:r>
          </w:p>
        </w:tc>
      </w:tr>
    </w:tbl>
    <w:p w:rsidR="00744CFD" w:rsidRPr="00A9356E" w:rsidRDefault="00744CFD" w:rsidP="00744CFD">
      <w:pPr>
        <w:rPr>
          <w:sz w:val="22"/>
        </w:rPr>
      </w:pPr>
      <w:r w:rsidRPr="00A9356E">
        <w:rPr>
          <w:sz w:val="22"/>
        </w:rPr>
        <w:t xml:space="preserve">Nejlépe je hodnocený SC </w:t>
      </w:r>
      <w:r w:rsidRPr="00A9356E">
        <w:rPr>
          <w:i/>
          <w:sz w:val="22"/>
        </w:rPr>
        <w:t>Zlepšení kvality ovzduší</w:t>
      </w:r>
      <w:r w:rsidRPr="00A9356E">
        <w:rPr>
          <w:sz w:val="22"/>
        </w:rPr>
        <w:t xml:space="preserve"> (ve všech 6 kritériích nad průměrem), následován s určitým odstupem SC </w:t>
      </w:r>
      <w:r w:rsidRPr="00A9356E">
        <w:rPr>
          <w:i/>
          <w:sz w:val="22"/>
        </w:rPr>
        <w:t>Ochrana a péče o přírodu a krajinu</w:t>
      </w:r>
      <w:r w:rsidRPr="00A9356E">
        <w:rPr>
          <w:sz w:val="22"/>
        </w:rPr>
        <w:t xml:space="preserve"> a SC </w:t>
      </w:r>
      <w:r w:rsidRPr="00A9356E">
        <w:rPr>
          <w:i/>
          <w:sz w:val="22"/>
        </w:rPr>
        <w:t>Ochrana a zlepšení stavu vody a vodního hospodářství</w:t>
      </w:r>
      <w:r w:rsidRPr="00A9356E">
        <w:rPr>
          <w:sz w:val="22"/>
        </w:rPr>
        <w:t xml:space="preserve">. Uvedené cíle se drží na předních pozicích i v pořadí všech SC. </w:t>
      </w:r>
      <w:r w:rsidRPr="00A9356E">
        <w:rPr>
          <w:i/>
          <w:sz w:val="22"/>
        </w:rPr>
        <w:t>Oběhové hospodářství, odpady a účinné využívání zdrojů</w:t>
      </w:r>
      <w:r w:rsidRPr="00A9356E">
        <w:rPr>
          <w:sz w:val="22"/>
        </w:rPr>
        <w:t xml:space="preserve"> je rovněž hodnoceno vysoce. Nejhůře hodnoceným SC je </w:t>
      </w:r>
      <w:r w:rsidRPr="00A9356E">
        <w:rPr>
          <w:i/>
          <w:sz w:val="22"/>
        </w:rPr>
        <w:t>Vytvoření zázemí pro vzdělávání pro udržitelný rozvoj</w:t>
      </w:r>
      <w:r w:rsidRPr="00A9356E">
        <w:rPr>
          <w:sz w:val="22"/>
        </w:rPr>
        <w:t>, což je však stále těsně nad průměrem hodnocení všech SC.</w:t>
      </w:r>
    </w:p>
    <w:p w:rsidR="00744CFD" w:rsidRPr="00A9356E" w:rsidRDefault="00744CFD" w:rsidP="00744CFD">
      <w:pPr>
        <w:rPr>
          <w:sz w:val="22"/>
        </w:rPr>
      </w:pPr>
      <w:r w:rsidRPr="00A9356E">
        <w:rPr>
          <w:sz w:val="22"/>
        </w:rPr>
        <w:t xml:space="preserve">Jednotlivé SC se, co do kritéria důležitosti, poměrně značně liší. Vysoko nad průměrem se opět pohybuje </w:t>
      </w:r>
      <w:r w:rsidRPr="00A9356E">
        <w:rPr>
          <w:i/>
          <w:sz w:val="22"/>
        </w:rPr>
        <w:t>Zlepšení kvality ovzduší</w:t>
      </w:r>
      <w:r w:rsidRPr="00A9356E">
        <w:rPr>
          <w:sz w:val="22"/>
        </w:rPr>
        <w:t xml:space="preserve"> a </w:t>
      </w:r>
      <w:r w:rsidRPr="00A9356E">
        <w:rPr>
          <w:i/>
          <w:sz w:val="22"/>
        </w:rPr>
        <w:t>Ochrana a zlepšení stavu vody a vodního hospodářství</w:t>
      </w:r>
      <w:r w:rsidRPr="00A9356E">
        <w:rPr>
          <w:sz w:val="22"/>
        </w:rPr>
        <w:t xml:space="preserve">, v těsném závěsu </w:t>
      </w:r>
      <w:r w:rsidRPr="00A9356E">
        <w:rPr>
          <w:i/>
          <w:sz w:val="22"/>
        </w:rPr>
        <w:t>Ochrana přírody a krajiny</w:t>
      </w:r>
      <w:r w:rsidRPr="00A9356E">
        <w:rPr>
          <w:sz w:val="22"/>
        </w:rPr>
        <w:t xml:space="preserve"> a </w:t>
      </w:r>
      <w:r w:rsidRPr="00A9356E">
        <w:rPr>
          <w:i/>
          <w:sz w:val="22"/>
        </w:rPr>
        <w:t>Oběhové hospodářství a účinné využívání zdrojů</w:t>
      </w:r>
      <w:r w:rsidRPr="00A9356E">
        <w:rPr>
          <w:sz w:val="22"/>
        </w:rPr>
        <w:t xml:space="preserve">. U těchto cílů je zejména jasná vazba na stěžejní témata udržitelného rozvoje, megatrendy, průřezová témata a cíle návrhu Obecného nařízení EK. Silně zastoupena je u nich i územní dimenze. Na průměrných hodnotách jsou ekologické zátěže a brownfieldy, pod průměrem pak vzdělávání pro udržitelný rozvoj, což je dáno slabou územní dimenzí, spíše nejasnou vazbou na Country report a </w:t>
      </w:r>
      <w:r w:rsidR="00C6434F">
        <w:rPr>
          <w:sz w:val="22"/>
        </w:rPr>
        <w:t>relativně</w:t>
      </w:r>
      <w:r w:rsidRPr="00A9356E">
        <w:rPr>
          <w:sz w:val="22"/>
        </w:rPr>
        <w:t xml:space="preserve"> </w:t>
      </w:r>
      <w:r w:rsidR="00C6434F">
        <w:rPr>
          <w:sz w:val="22"/>
        </w:rPr>
        <w:t xml:space="preserve">o něco nižším hodnocením </w:t>
      </w:r>
      <w:r w:rsidRPr="00A9356E">
        <w:rPr>
          <w:sz w:val="22"/>
        </w:rPr>
        <w:t>hlediska udržitelného rozvoje</w:t>
      </w:r>
      <w:r w:rsidR="00C6434F">
        <w:rPr>
          <w:sz w:val="22"/>
        </w:rPr>
        <w:t xml:space="preserve"> ve vztahu k ostatním specifickým cílům oblasti</w:t>
      </w:r>
      <w:r w:rsidRPr="00A9356E">
        <w:rPr>
          <w:sz w:val="22"/>
        </w:rPr>
        <w:t xml:space="preserve">. </w:t>
      </w:r>
    </w:p>
    <w:p w:rsidR="00744CFD" w:rsidRPr="00A9356E" w:rsidRDefault="00744CFD" w:rsidP="00744CFD">
      <w:pPr>
        <w:rPr>
          <w:sz w:val="22"/>
        </w:rPr>
      </w:pPr>
      <w:r w:rsidRPr="00A9356E">
        <w:rPr>
          <w:sz w:val="22"/>
        </w:rPr>
        <w:t xml:space="preserve">V kritériu absorpční kapacity si nejlépe vede opět SC </w:t>
      </w:r>
      <w:r w:rsidRPr="00A9356E">
        <w:rPr>
          <w:i/>
          <w:sz w:val="22"/>
        </w:rPr>
        <w:t>zlepšení kvality ovzduší</w:t>
      </w:r>
      <w:r w:rsidRPr="00A9356E">
        <w:rPr>
          <w:sz w:val="22"/>
        </w:rPr>
        <w:t xml:space="preserve">, výrazně nadprůměrně je vnímána absorpční kapacita u SC </w:t>
      </w:r>
      <w:r w:rsidRPr="00A9356E">
        <w:rPr>
          <w:i/>
          <w:sz w:val="22"/>
        </w:rPr>
        <w:t>sanace ekologických zátěží a revitalizace brownfieldů</w:t>
      </w:r>
      <w:r w:rsidRPr="00A9356E">
        <w:rPr>
          <w:sz w:val="22"/>
        </w:rPr>
        <w:t xml:space="preserve">, v obou případech je to dáno dosavadním zájmem příjemců a dobrým čerpáním. Bariéry jsou méně závažné a pracuje se průběžně na jejich eliminaci. Největší překážkou je omezení podpory pro velké podniky. </w:t>
      </w:r>
    </w:p>
    <w:p w:rsidR="00744CFD" w:rsidRPr="00A9356E" w:rsidRDefault="00744CFD" w:rsidP="00744CFD">
      <w:pPr>
        <w:rPr>
          <w:sz w:val="22"/>
        </w:rPr>
      </w:pPr>
      <w:r w:rsidRPr="00A9356E">
        <w:rPr>
          <w:sz w:val="22"/>
        </w:rPr>
        <w:t xml:space="preserve">Ve vazbě na strategie je hodnocena nejvýše </w:t>
      </w:r>
      <w:r w:rsidRPr="00A9356E">
        <w:rPr>
          <w:i/>
          <w:sz w:val="22"/>
        </w:rPr>
        <w:t>ochrana a péče o přírodu a krajinu</w:t>
      </w:r>
      <w:r w:rsidRPr="00A9356E">
        <w:rPr>
          <w:sz w:val="22"/>
        </w:rPr>
        <w:t xml:space="preserve">, což je dáno propracovaností </w:t>
      </w:r>
      <w:r w:rsidRPr="00A9356E">
        <w:rPr>
          <w:rFonts w:eastAsia="Calibri"/>
          <w:sz w:val="22"/>
        </w:rPr>
        <w:t>Strategie EU v oblasti biologické rozmanitosti a Strategického plánu pro biodiverzitu a rovněž mezinárodně závaznou Úmluvou o biologické rozmanitosti</w:t>
      </w:r>
      <w:r w:rsidRPr="00A9356E">
        <w:rPr>
          <w:sz w:val="22"/>
        </w:rPr>
        <w:t xml:space="preserve">.  Vysoce je hodnocena také </w:t>
      </w:r>
      <w:r w:rsidRPr="00A9356E">
        <w:rPr>
          <w:i/>
          <w:sz w:val="22"/>
        </w:rPr>
        <w:t>Ochrana a zlepšení stavu vody a vodního hospodářství</w:t>
      </w:r>
      <w:r w:rsidRPr="00A9356E">
        <w:rPr>
          <w:sz w:val="22"/>
        </w:rPr>
        <w:t xml:space="preserve"> a </w:t>
      </w:r>
      <w:r w:rsidRPr="00A9356E">
        <w:rPr>
          <w:i/>
          <w:sz w:val="22"/>
        </w:rPr>
        <w:t>zlepšení kvality ovzduší</w:t>
      </w:r>
      <w:r w:rsidRPr="00A9356E">
        <w:rPr>
          <w:sz w:val="22"/>
        </w:rPr>
        <w:t xml:space="preserve">. Nejhůře v rámci oblasti, i když stále mírně nadprůměrně, si vede cíl </w:t>
      </w:r>
      <w:r w:rsidRPr="00A9356E">
        <w:rPr>
          <w:i/>
          <w:sz w:val="22"/>
        </w:rPr>
        <w:t>sanace míst s ekologickou zátěží a revitalizace brownfieldů.</w:t>
      </w:r>
      <w:r w:rsidRPr="00A9356E">
        <w:rPr>
          <w:sz w:val="22"/>
        </w:rPr>
        <w:t xml:space="preserve">  </w:t>
      </w:r>
    </w:p>
    <w:p w:rsidR="00744CFD" w:rsidRPr="00A9356E" w:rsidRDefault="00744CFD" w:rsidP="00744CFD">
      <w:pPr>
        <w:rPr>
          <w:sz w:val="22"/>
        </w:rPr>
      </w:pPr>
      <w:r w:rsidRPr="00A9356E">
        <w:rPr>
          <w:sz w:val="22"/>
        </w:rPr>
        <w:t xml:space="preserve">Překvapivě všechny SC mají v kritériu alternativních zdrojů nadprůměrné hodnoty, patrně proto, že jiné zdroje nelze využít v plné šíři specifického cíle nebo objem prostředků neodpovídá potřebám. I proto byla potřeba </w:t>
      </w:r>
      <w:r w:rsidR="008C143C">
        <w:rPr>
          <w:sz w:val="22"/>
        </w:rPr>
        <w:t>fondů EU</w:t>
      </w:r>
      <w:r w:rsidRPr="00A9356E">
        <w:rPr>
          <w:sz w:val="22"/>
        </w:rPr>
        <w:t xml:space="preserve"> v tomto kritériu vyhodnocena jako vysoká, což koreluje i </w:t>
      </w:r>
      <w:r w:rsidR="00313E40">
        <w:rPr>
          <w:sz w:val="22"/>
        </w:rPr>
        <w:t>s</w:t>
      </w:r>
      <w:r w:rsidR="00313E40" w:rsidRPr="008C6299">
        <w:rPr>
          <w:sz w:val="22"/>
        </w:rPr>
        <w:t xml:space="preserve"> </w:t>
      </w:r>
      <w:r w:rsidRPr="00A9356E">
        <w:rPr>
          <w:sz w:val="22"/>
        </w:rPr>
        <w:t>požadavky na tematickou koncentraci prostředků do CP 2 v</w:t>
      </w:r>
      <w:r w:rsidR="00313E40">
        <w:rPr>
          <w:sz w:val="22"/>
        </w:rPr>
        <w:t> návrhu o</w:t>
      </w:r>
      <w:r w:rsidRPr="00A9356E">
        <w:rPr>
          <w:sz w:val="22"/>
        </w:rPr>
        <w:t>becné</w:t>
      </w:r>
      <w:r w:rsidR="00313E40">
        <w:rPr>
          <w:sz w:val="22"/>
        </w:rPr>
        <w:t>ho</w:t>
      </w:r>
      <w:r w:rsidRPr="00A9356E">
        <w:rPr>
          <w:sz w:val="22"/>
        </w:rPr>
        <w:t xml:space="preserve"> nařízení.</w:t>
      </w:r>
    </w:p>
    <w:p w:rsidR="003042A3" w:rsidRPr="00A9356E"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 xml:space="preserve"> Zkvalitňování veřejných prostranství a rozvoj zelené infrastruktury</w:t>
      </w:r>
    </w:p>
    <w:tbl>
      <w:tblPr>
        <w:tblW w:w="9072" w:type="dxa"/>
        <w:tblInd w:w="171" w:type="dxa"/>
        <w:tblBorders>
          <w:top w:val="single" w:sz="8" w:space="0" w:color="FFFFFF"/>
          <w:left w:val="single" w:sz="8" w:space="0" w:color="FFFFFF"/>
          <w:right w:val="single" w:sz="8" w:space="0" w:color="FFFFFF"/>
          <w:insideH w:val="single" w:sz="24" w:space="0" w:color="FFFFFF"/>
          <w:insideV w:val="single" w:sz="8" w:space="0" w:color="FFFFFF"/>
        </w:tblBorders>
        <w:tblCellMar>
          <w:left w:w="0" w:type="dxa"/>
          <w:right w:w="0" w:type="dxa"/>
        </w:tblCellMar>
        <w:tblLook w:val="04A0" w:firstRow="1" w:lastRow="0" w:firstColumn="1" w:lastColumn="0" w:noHBand="0" w:noVBand="1"/>
      </w:tblPr>
      <w:tblGrid>
        <w:gridCol w:w="1643"/>
        <w:gridCol w:w="895"/>
        <w:gridCol w:w="1043"/>
        <w:gridCol w:w="937"/>
        <w:gridCol w:w="1011"/>
        <w:gridCol w:w="1573"/>
        <w:gridCol w:w="1033"/>
        <w:gridCol w:w="937"/>
      </w:tblGrid>
      <w:tr w:rsidR="00E94393" w:rsidRPr="00553C8C" w:rsidTr="00857077">
        <w:trPr>
          <w:trHeight w:val="830"/>
        </w:trPr>
        <w:tc>
          <w:tcPr>
            <w:tcW w:w="1643" w:type="dxa"/>
            <w:shd w:val="clear" w:color="auto" w:fill="4F81BD" w:themeFill="accent1"/>
            <w:tcMar>
              <w:top w:w="15" w:type="dxa"/>
              <w:left w:w="171" w:type="dxa"/>
              <w:bottom w:w="0" w:type="dxa"/>
              <w:right w:w="171" w:type="dxa"/>
            </w:tcMar>
            <w:hideMark/>
          </w:tcPr>
          <w:p w:rsidR="004527E9" w:rsidRPr="00A9356E" w:rsidRDefault="004527E9">
            <w:pPr>
              <w:rPr>
                <w:rFonts w:eastAsia="Times New Roman"/>
                <w:lang w:eastAsia="cs-CZ"/>
              </w:rPr>
            </w:pPr>
          </w:p>
        </w:tc>
        <w:tc>
          <w:tcPr>
            <w:tcW w:w="895"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Celkem</w:t>
            </w:r>
          </w:p>
          <w:p w:rsidR="004527E9" w:rsidRDefault="004527E9" w:rsidP="00C02894">
            <w:pPr>
              <w:spacing w:before="0" w:line="256" w:lineRule="auto"/>
              <w:jc w:val="center"/>
              <w:rPr>
                <w:rFonts w:eastAsiaTheme="minorEastAsia"/>
                <w:color w:val="FFFFFF" w:themeColor="light1"/>
                <w:sz w:val="18"/>
                <w:lang w:eastAsia="cs-CZ"/>
              </w:rPr>
            </w:pPr>
            <w:r w:rsidRPr="00C02894">
              <w:rPr>
                <w:rFonts w:eastAsia="Times New Roman"/>
                <w:color w:val="FFFFFF" w:themeColor="light1"/>
                <w:sz w:val="18"/>
                <w:lang w:eastAsia="cs-CZ"/>
              </w:rPr>
              <w:t>(m</w:t>
            </w:r>
            <w:r w:rsidRPr="00C02894">
              <w:rPr>
                <w:rFonts w:eastAsia="Times New Roman"/>
                <w:color w:val="FFFFFF" w:themeColor="light1"/>
                <w:sz w:val="18"/>
                <w:lang w:val="en-US" w:eastAsia="cs-CZ"/>
              </w:rPr>
              <w:t>ax</w:t>
            </w:r>
            <w:r w:rsidRPr="00C02894">
              <w:rPr>
                <w:rFonts w:eastAsia="Times New Roman"/>
                <w:color w:val="FFFFFF" w:themeColor="light1"/>
                <w:sz w:val="18"/>
                <w:lang w:eastAsia="cs-CZ"/>
              </w:rPr>
              <w:t xml:space="preserve"> 100, </w:t>
            </w:r>
            <w:r w:rsidRPr="00C02894">
              <w:rPr>
                <w:rFonts w:eastAsia="Times New Roman"/>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76,9</w:t>
            </w:r>
            <w:r w:rsidRPr="00C02894">
              <w:rPr>
                <w:rFonts w:eastAsiaTheme="minorEastAsia"/>
                <w:color w:val="FFFFFF" w:themeColor="light1"/>
                <w:sz w:val="18"/>
                <w:lang w:eastAsia="cs-CZ"/>
              </w:rPr>
              <w:t>)</w:t>
            </w:r>
          </w:p>
          <w:p w:rsidR="00A93813" w:rsidRPr="00C02894" w:rsidRDefault="00A93813" w:rsidP="00C02894">
            <w:pPr>
              <w:spacing w:before="0" w:line="256" w:lineRule="auto"/>
              <w:jc w:val="center"/>
              <w:rPr>
                <w:rFonts w:eastAsia="Times New Roman"/>
                <w:sz w:val="18"/>
                <w:lang w:eastAsia="cs-CZ"/>
              </w:rPr>
            </w:pPr>
          </w:p>
        </w:tc>
        <w:tc>
          <w:tcPr>
            <w:tcW w:w="1043"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Důležitost (</w:t>
            </w:r>
            <w:r w:rsidRPr="00C02894">
              <w:rPr>
                <w:rFonts w:eastAsiaTheme="minorEastAsia"/>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28</w:t>
            </w:r>
            <w:r w:rsidRPr="00C02894">
              <w:rPr>
                <w:rFonts w:eastAsiaTheme="minorEastAsia"/>
                <w:color w:val="FFFFFF" w:themeColor="light1"/>
                <w:sz w:val="18"/>
                <w:lang w:eastAsia="cs-CZ"/>
              </w:rPr>
              <w:t>, l</w:t>
            </w:r>
            <w:r w:rsidRPr="00C02894">
              <w:rPr>
                <w:rFonts w:eastAsiaTheme="minorEastAsia"/>
                <w:color w:val="FFFFFF" w:themeColor="light1"/>
                <w:sz w:val="18"/>
                <w:lang w:val="en-US" w:eastAsia="cs-CZ"/>
              </w:rPr>
              <w:t xml:space="preserve"> 22,9</w:t>
            </w:r>
            <w:r w:rsidRPr="00C02894">
              <w:rPr>
                <w:rFonts w:eastAsiaTheme="minorEastAsia"/>
                <w:color w:val="FFFFFF" w:themeColor="light1"/>
                <w:sz w:val="18"/>
                <w:lang w:eastAsia="cs-CZ"/>
              </w:rPr>
              <w:t>)</w:t>
            </w:r>
          </w:p>
        </w:tc>
        <w:tc>
          <w:tcPr>
            <w:tcW w:w="937"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Strategie</w:t>
            </w:r>
            <w:r w:rsidRPr="00C02894">
              <w:rPr>
                <w:rFonts w:eastAsia="Times New Roman"/>
                <w:color w:val="FFFFFF" w:themeColor="light1"/>
                <w:sz w:val="18"/>
                <w:lang w:val="en-US" w:eastAsia="cs-CZ"/>
              </w:rPr>
              <w:br/>
            </w:r>
            <w:r w:rsidRPr="00C02894">
              <w:rPr>
                <w:rFonts w:eastAsia="Times New Roman"/>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18</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14,5</w:t>
            </w:r>
            <w:r w:rsidRPr="00C02894">
              <w:rPr>
                <w:rFonts w:eastAsiaTheme="minorEastAsia"/>
                <w:color w:val="FFFFFF" w:themeColor="light1"/>
                <w:sz w:val="18"/>
                <w:lang w:eastAsia="cs-CZ"/>
              </w:rPr>
              <w:t>)</w:t>
            </w:r>
          </w:p>
        </w:tc>
        <w:tc>
          <w:tcPr>
            <w:tcW w:w="1011"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Cíle</w:t>
            </w: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w:t>
            </w:r>
            <w:r w:rsidRPr="00C02894">
              <w:rPr>
                <w:rFonts w:eastAsiaTheme="minorEastAsia"/>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12</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9,1</w:t>
            </w:r>
            <w:r w:rsidRPr="00C02894">
              <w:rPr>
                <w:rFonts w:eastAsiaTheme="minorEastAsia"/>
                <w:color w:val="FFFFFF" w:themeColor="light1"/>
                <w:sz w:val="18"/>
                <w:lang w:eastAsia="cs-CZ"/>
              </w:rPr>
              <w:t>)</w:t>
            </w:r>
          </w:p>
        </w:tc>
        <w:tc>
          <w:tcPr>
            <w:tcW w:w="1573"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Posun</w:t>
            </w: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10</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7,4</w:t>
            </w:r>
            <w:r w:rsidRPr="00C02894">
              <w:rPr>
                <w:rFonts w:eastAsiaTheme="minorEastAsia"/>
                <w:color w:val="FFFFFF" w:themeColor="light1"/>
                <w:sz w:val="18"/>
                <w:lang w:eastAsia="cs-CZ"/>
              </w:rPr>
              <w:t>)</w:t>
            </w:r>
          </w:p>
        </w:tc>
        <w:tc>
          <w:tcPr>
            <w:tcW w:w="1033"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Absorpce</w:t>
            </w: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20</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14,8</w:t>
            </w:r>
            <w:r w:rsidRPr="00C02894">
              <w:rPr>
                <w:rFonts w:eastAsiaTheme="minorEastAsia"/>
                <w:color w:val="FFFFFF" w:themeColor="light1"/>
                <w:sz w:val="18"/>
                <w:lang w:eastAsia="cs-CZ"/>
              </w:rPr>
              <w:t>)</w:t>
            </w:r>
          </w:p>
        </w:tc>
        <w:tc>
          <w:tcPr>
            <w:tcW w:w="937" w:type="dxa"/>
            <w:shd w:val="clear" w:color="auto" w:fill="4F81BD"/>
            <w:tcMar>
              <w:top w:w="15" w:type="dxa"/>
              <w:left w:w="108" w:type="dxa"/>
              <w:bottom w:w="0" w:type="dxa"/>
              <w:right w:w="108" w:type="dxa"/>
            </w:tcMar>
            <w:hideMark/>
          </w:tcPr>
          <w:p w:rsidR="00A93813" w:rsidRDefault="00A93813" w:rsidP="00C02894">
            <w:pPr>
              <w:spacing w:before="0" w:line="256" w:lineRule="auto"/>
              <w:jc w:val="center"/>
              <w:rPr>
                <w:rFonts w:eastAsia="Times New Roman"/>
                <w:color w:val="FFFFFF" w:themeColor="light1"/>
                <w:sz w:val="18"/>
                <w:lang w:eastAsia="cs-CZ"/>
              </w:rPr>
            </w:pP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 xml:space="preserve">Alt. </w:t>
            </w:r>
            <w:r w:rsidRPr="00C02894">
              <w:rPr>
                <w:rFonts w:eastAsia="Times New Roman"/>
                <w:color w:val="FFFFFF" w:themeColor="light1"/>
                <w:sz w:val="18"/>
                <w:lang w:val="en-US" w:eastAsia="cs-CZ"/>
              </w:rPr>
              <w:t>z</w:t>
            </w:r>
            <w:r w:rsidRPr="00C02894">
              <w:rPr>
                <w:rFonts w:eastAsia="Times New Roman"/>
                <w:color w:val="FFFFFF" w:themeColor="light1"/>
                <w:sz w:val="18"/>
                <w:lang w:eastAsia="cs-CZ"/>
              </w:rPr>
              <w:t>droje</w:t>
            </w:r>
          </w:p>
          <w:p w:rsidR="004527E9" w:rsidRPr="00C02894" w:rsidRDefault="004527E9" w:rsidP="00C02894">
            <w:pPr>
              <w:spacing w:before="0" w:line="256" w:lineRule="auto"/>
              <w:jc w:val="center"/>
              <w:rPr>
                <w:rFonts w:eastAsia="Times New Roman"/>
                <w:sz w:val="18"/>
                <w:lang w:eastAsia="cs-CZ"/>
              </w:rPr>
            </w:pPr>
            <w:r w:rsidRPr="00C02894">
              <w:rPr>
                <w:rFonts w:eastAsia="Times New Roman"/>
                <w:color w:val="FFFFFF" w:themeColor="light1"/>
                <w:sz w:val="18"/>
                <w:lang w:eastAsia="cs-CZ"/>
              </w:rPr>
              <w:t>(m</w:t>
            </w:r>
            <w:r w:rsidRPr="00C02894">
              <w:rPr>
                <w:rFonts w:eastAsiaTheme="minorEastAsia"/>
                <w:color w:val="FFFFFF" w:themeColor="light1"/>
                <w:sz w:val="18"/>
                <w:lang w:val="en-US" w:eastAsia="cs-CZ"/>
              </w:rPr>
              <w:t>ax</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t>12</w:t>
            </w:r>
            <w:r w:rsidRPr="00C02894">
              <w:rPr>
                <w:rFonts w:eastAsiaTheme="minorEastAsia"/>
                <w:color w:val="FFFFFF" w:themeColor="light1"/>
                <w:sz w:val="18"/>
                <w:lang w:eastAsia="cs-CZ"/>
              </w:rPr>
              <w:t xml:space="preserve">, </w:t>
            </w:r>
            <w:r w:rsidRPr="00C02894">
              <w:rPr>
                <w:rFonts w:eastAsiaTheme="minorEastAsia"/>
                <w:color w:val="FFFFFF" w:themeColor="light1"/>
                <w:sz w:val="18"/>
                <w:lang w:val="en-US" w:eastAsia="cs-CZ"/>
              </w:rPr>
              <w:br/>
            </w:r>
            <w:r w:rsidRPr="00C02894">
              <w:rPr>
                <w:rFonts w:eastAsiaTheme="minorEastAsia"/>
                <w:color w:val="FFFFFF" w:themeColor="light1"/>
                <w:sz w:val="18"/>
                <w:lang w:eastAsia="cs-CZ"/>
              </w:rPr>
              <w:t>ø</w:t>
            </w:r>
            <w:r w:rsidRPr="00C02894">
              <w:rPr>
                <w:rFonts w:eastAsiaTheme="minorEastAsia"/>
                <w:color w:val="FFFFFF" w:themeColor="light1"/>
                <w:sz w:val="18"/>
                <w:lang w:val="en-US" w:eastAsia="cs-CZ"/>
              </w:rPr>
              <w:t xml:space="preserve"> 8,4</w:t>
            </w:r>
            <w:r w:rsidRPr="00C02894">
              <w:rPr>
                <w:rFonts w:eastAsiaTheme="minorEastAsia"/>
                <w:color w:val="FFFFFF" w:themeColor="light1"/>
                <w:sz w:val="18"/>
                <w:lang w:eastAsia="cs-CZ"/>
              </w:rPr>
              <w:t>)</w:t>
            </w:r>
          </w:p>
        </w:tc>
      </w:tr>
      <w:tr w:rsidR="00E94393" w:rsidRPr="00553C8C" w:rsidTr="00857077">
        <w:trPr>
          <w:trHeight w:val="1047"/>
        </w:trPr>
        <w:tc>
          <w:tcPr>
            <w:tcW w:w="1643" w:type="dxa"/>
            <w:shd w:val="clear" w:color="auto" w:fill="4F81BD"/>
            <w:tcMar>
              <w:top w:w="15" w:type="dxa"/>
              <w:left w:w="171" w:type="dxa"/>
              <w:bottom w:w="0" w:type="dxa"/>
              <w:right w:w="171" w:type="dxa"/>
            </w:tcMar>
            <w:hideMark/>
          </w:tcPr>
          <w:p w:rsidR="00A93813" w:rsidRPr="00A93813" w:rsidRDefault="004527E9" w:rsidP="00A9356E">
            <w:pPr>
              <w:spacing w:before="0" w:line="256" w:lineRule="auto"/>
              <w:jc w:val="left"/>
              <w:rPr>
                <w:rFonts w:eastAsia="Times New Roman"/>
                <w:b/>
                <w:color w:val="FFFFFF" w:themeColor="light1"/>
                <w:lang w:eastAsia="cs-CZ"/>
              </w:rPr>
            </w:pPr>
            <w:r w:rsidRPr="00A9356E">
              <w:rPr>
                <w:rFonts w:eastAsia="Times New Roman"/>
                <w:b/>
                <w:color w:val="FFFFFF" w:themeColor="light1"/>
                <w:lang w:eastAsia="cs-CZ"/>
              </w:rPr>
              <w:t>Zkvalitňování veřejných prostranství a rozvoj zelené infrastruktury</w:t>
            </w:r>
          </w:p>
        </w:tc>
        <w:tc>
          <w:tcPr>
            <w:tcW w:w="895"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77,0</w:t>
            </w:r>
          </w:p>
        </w:tc>
        <w:tc>
          <w:tcPr>
            <w:tcW w:w="1043"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21,1</w:t>
            </w:r>
          </w:p>
        </w:tc>
        <w:tc>
          <w:tcPr>
            <w:tcW w:w="937"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15,0</w:t>
            </w:r>
          </w:p>
        </w:tc>
        <w:tc>
          <w:tcPr>
            <w:tcW w:w="1011"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9,8</w:t>
            </w:r>
          </w:p>
        </w:tc>
        <w:tc>
          <w:tcPr>
            <w:tcW w:w="1573"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8,1</w:t>
            </w:r>
          </w:p>
        </w:tc>
        <w:tc>
          <w:tcPr>
            <w:tcW w:w="1033"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14,3</w:t>
            </w:r>
          </w:p>
        </w:tc>
        <w:tc>
          <w:tcPr>
            <w:tcW w:w="937" w:type="dxa"/>
            <w:shd w:val="clear" w:color="auto" w:fill="D0D8E8"/>
            <w:tcMar>
              <w:top w:w="15" w:type="dxa"/>
              <w:left w:w="171" w:type="dxa"/>
              <w:bottom w:w="0" w:type="dxa"/>
              <w:right w:w="171" w:type="dxa"/>
            </w:tcMar>
            <w:hideMark/>
          </w:tcPr>
          <w:p w:rsidR="00A93813" w:rsidRDefault="00A93813" w:rsidP="00A9356E">
            <w:pPr>
              <w:spacing w:before="0" w:line="256" w:lineRule="auto"/>
              <w:jc w:val="center"/>
              <w:rPr>
                <w:rFonts w:eastAsia="Times New Roman"/>
                <w:b/>
                <w:lang w:eastAsia="cs-CZ"/>
              </w:rPr>
            </w:pPr>
          </w:p>
          <w:p w:rsidR="00A93813" w:rsidRDefault="00A93813" w:rsidP="00A9356E">
            <w:pPr>
              <w:spacing w:before="0" w:line="256" w:lineRule="auto"/>
              <w:jc w:val="center"/>
              <w:rPr>
                <w:rFonts w:eastAsia="Times New Roman"/>
                <w:b/>
                <w:lang w:eastAsia="cs-CZ"/>
              </w:rPr>
            </w:pPr>
          </w:p>
          <w:p w:rsidR="004527E9" w:rsidRPr="00A9356E" w:rsidRDefault="004527E9" w:rsidP="00A9356E">
            <w:pPr>
              <w:spacing w:before="0" w:line="256" w:lineRule="auto"/>
              <w:jc w:val="center"/>
              <w:rPr>
                <w:rFonts w:eastAsia="Times New Roman"/>
                <w:b/>
                <w:lang w:eastAsia="cs-CZ"/>
              </w:rPr>
            </w:pPr>
            <w:r w:rsidRPr="00A93813">
              <w:rPr>
                <w:rFonts w:eastAsia="Times New Roman"/>
                <w:b/>
                <w:lang w:eastAsia="cs-CZ"/>
              </w:rPr>
              <w:t>8,8</w:t>
            </w:r>
          </w:p>
        </w:tc>
      </w:tr>
    </w:tbl>
    <w:p w:rsidR="003042A3" w:rsidRPr="00F41D0E" w:rsidRDefault="003042A3" w:rsidP="00A9356E">
      <w:pPr>
        <w:rPr>
          <w:sz w:val="22"/>
          <w:szCs w:val="22"/>
        </w:rPr>
      </w:pPr>
      <w:r w:rsidRPr="00F41D0E">
        <w:rPr>
          <w:sz w:val="22"/>
          <w:szCs w:val="22"/>
        </w:rPr>
        <w:t>Veřejná prostranství jsou</w:t>
      </w:r>
      <w:r w:rsidRPr="00A9356E">
        <w:rPr>
          <w:sz w:val="22"/>
        </w:rPr>
        <w:t xml:space="preserve"> </w:t>
      </w:r>
      <w:r w:rsidRPr="00F41D0E">
        <w:rPr>
          <w:sz w:val="22"/>
          <w:szCs w:val="22"/>
        </w:rPr>
        <w:t xml:space="preserve">součástí </w:t>
      </w:r>
      <w:r w:rsidR="002F1DCB" w:rsidRPr="00F41D0E">
        <w:rPr>
          <w:sz w:val="22"/>
          <w:szCs w:val="22"/>
        </w:rPr>
        <w:t>základní komunikační sítě sídelní struktury a jsou využívána všemi občany bez rozdílu ekonomického statusu. Zároveň v době klimatických změn jsou na tuto infrastrukturu veřejných prostranství kladeny velké nároky, co se týče „zelených“ funkcí – ovzduší, mikroklima, absorpce a zadržování vody, biokoridory.</w:t>
      </w:r>
    </w:p>
    <w:p w:rsidR="002F1DCB" w:rsidRDefault="002F1DCB" w:rsidP="00A9356E">
      <w:pPr>
        <w:rPr>
          <w:sz w:val="22"/>
          <w:szCs w:val="22"/>
        </w:rPr>
      </w:pPr>
      <w:r w:rsidRPr="002523DF">
        <w:rPr>
          <w:sz w:val="22"/>
        </w:rPr>
        <w:t>Zejména díky</w:t>
      </w:r>
      <w:r w:rsidRPr="00F41D0E">
        <w:rPr>
          <w:sz w:val="22"/>
          <w:szCs w:val="22"/>
        </w:rPr>
        <w:t> odkazu na klimatické strategie získal tento SC relativně vysoké hodnocení, k čemuž by nedošlo, pokud by toto téma odkazovalo pouze na prostou obnovu veřejných prostranství. Vazba na řešení klimatu a architektonickou kvalitu veřejných prostranství přidává na hodnotě její užitnosti a prospěchu pro kvalitu života obyvatel zejména v městských sídlech</w:t>
      </w:r>
      <w:r w:rsidR="00BC3376" w:rsidRPr="00F41D0E">
        <w:rPr>
          <w:sz w:val="22"/>
          <w:szCs w:val="22"/>
        </w:rPr>
        <w:t>, kde je dostupnost zelených veřejných prostranství oproti venkovským sídlům minimální</w:t>
      </w:r>
      <w:r w:rsidRPr="00F41D0E">
        <w:rPr>
          <w:sz w:val="22"/>
          <w:szCs w:val="22"/>
        </w:rPr>
        <w:t>.</w:t>
      </w:r>
      <w:r w:rsidR="00BC3376" w:rsidRPr="00F41D0E">
        <w:rPr>
          <w:sz w:val="22"/>
          <w:szCs w:val="22"/>
        </w:rPr>
        <w:t xml:space="preserve"> Jelikož jsou veřejná prostranství v naprosté většině </w:t>
      </w:r>
      <w:r w:rsidR="00563C1D" w:rsidRPr="00F41D0E">
        <w:rPr>
          <w:sz w:val="22"/>
          <w:szCs w:val="22"/>
        </w:rPr>
        <w:t>ve vlastnictví a správě obecních, příp. krajských samospráv, lze také předpokládat, že zdroje na jejich obnovu leží v jejich rozpočtech. Ve vazbě na rekonstrukci inženýrských sítí se vždy řeší i obnova „povrchu“, tudíž města a obce mají připravené projekty na jejich obnovu průběžně, jde pouze o jejich úpravu podle kritérií zohledňujících klimatická a zelen</w:t>
      </w:r>
      <w:r w:rsidR="000D53C2">
        <w:rPr>
          <w:sz w:val="22"/>
          <w:szCs w:val="22"/>
        </w:rPr>
        <w:t>á</w:t>
      </w:r>
      <w:r w:rsidR="00563C1D" w:rsidRPr="00F41D0E">
        <w:rPr>
          <w:sz w:val="22"/>
          <w:szCs w:val="22"/>
        </w:rPr>
        <w:t xml:space="preserve"> opatření, zadržování vody apod. Absorpční kapacita je tak střední, záleží na včasné komunikaci rámcových podmínek směrem k samosprávám.</w:t>
      </w:r>
      <w:r w:rsidR="002F21AA" w:rsidRPr="00F41D0E">
        <w:rPr>
          <w:sz w:val="22"/>
          <w:szCs w:val="22"/>
        </w:rPr>
        <w:t xml:space="preserve"> Je třeba se tedy zaměřit na informační kampaň samospráv ohledně zlepšování kvality životního prostředí prostřednictvím </w:t>
      </w:r>
      <w:r w:rsidR="00AC62B9" w:rsidRPr="00F41D0E">
        <w:rPr>
          <w:sz w:val="22"/>
          <w:szCs w:val="22"/>
        </w:rPr>
        <w:t>kvality veřejných prostranství a sítě zelené/modré infrastruktury ve městech a obcích. Případně také vůči správcům státní a regionální silniční dopravní infrastruktury (ŘSD, Kraje).</w:t>
      </w:r>
    </w:p>
    <w:p w:rsidR="00062678" w:rsidRPr="00F41D0E" w:rsidRDefault="00062678" w:rsidP="00A9356E">
      <w:pPr>
        <w:rPr>
          <w:sz w:val="22"/>
          <w:szCs w:val="22"/>
        </w:rPr>
      </w:pP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Vzdělávání</w:t>
      </w:r>
    </w:p>
    <w:tbl>
      <w:tblPr>
        <w:tblStyle w:val="Tabulkasmkou3zvraznn51"/>
        <w:tblW w:w="9142"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645"/>
        <w:gridCol w:w="973"/>
        <w:gridCol w:w="1007"/>
        <w:gridCol w:w="937"/>
        <w:gridCol w:w="818"/>
        <w:gridCol w:w="832"/>
        <w:gridCol w:w="977"/>
        <w:gridCol w:w="953"/>
      </w:tblGrid>
      <w:tr w:rsidR="00B85F68" w:rsidRPr="00264504" w:rsidTr="00A93813">
        <w:trPr>
          <w:cnfStyle w:val="100000000000" w:firstRow="1" w:lastRow="0" w:firstColumn="0" w:lastColumn="0" w:oddVBand="0" w:evenVBand="0" w:oddHBand="0" w:evenHBand="0" w:firstRowFirstColumn="0" w:firstRowLastColumn="0" w:lastRowFirstColumn="0" w:lastRowLastColumn="0"/>
          <w:trHeight w:val="861"/>
          <w:jc w:val="center"/>
        </w:trPr>
        <w:tc>
          <w:tcPr>
            <w:cnfStyle w:val="001000000100" w:firstRow="0" w:lastRow="0" w:firstColumn="1" w:lastColumn="0" w:oddVBand="0" w:evenVBand="0" w:oddHBand="0" w:evenHBand="0" w:firstRowFirstColumn="1" w:firstRowLastColumn="0" w:lastRowFirstColumn="0" w:lastRowLastColumn="0"/>
            <w:tcW w:w="2699" w:type="dxa"/>
            <w:tcBorders>
              <w:top w:val="none" w:sz="0" w:space="0" w:color="auto"/>
              <w:left w:val="none" w:sz="0" w:space="0" w:color="auto"/>
              <w:bottom w:val="single" w:sz="24" w:space="0" w:color="FFFFFF" w:themeColor="background1"/>
              <w:right w:val="none" w:sz="0" w:space="0" w:color="auto"/>
            </w:tcBorders>
            <w:shd w:val="clear" w:color="auto" w:fill="4F81BD"/>
            <w:hideMark/>
          </w:tcPr>
          <w:p w:rsidR="00B85F68" w:rsidRPr="00A93813" w:rsidRDefault="00B85F68" w:rsidP="00B85F68">
            <w:pPr>
              <w:spacing w:after="160" w:line="259" w:lineRule="auto"/>
              <w:rPr>
                <w:b w:val="0"/>
                <w:i w:val="0"/>
                <w:sz w:val="16"/>
                <w:szCs w:val="16"/>
              </w:rPr>
            </w:pPr>
          </w:p>
        </w:tc>
        <w:tc>
          <w:tcPr>
            <w:tcW w:w="979"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Celkem (m</w:t>
            </w:r>
            <w:r w:rsidRPr="00A93813">
              <w:rPr>
                <w:b w:val="0"/>
                <w:color w:val="FFFFFF" w:themeColor="background1"/>
                <w:sz w:val="18"/>
                <w:szCs w:val="18"/>
                <w:lang w:val="en-US"/>
              </w:rPr>
              <w:t>ax</w:t>
            </w:r>
            <w:r w:rsidRPr="00A93813">
              <w:rPr>
                <w:b w:val="0"/>
                <w:color w:val="FFFFFF" w:themeColor="background1"/>
                <w:sz w:val="18"/>
                <w:szCs w:val="18"/>
              </w:rPr>
              <w:t xml:space="preserve"> 100, </w:t>
            </w:r>
            <w:r w:rsidRPr="00A93813">
              <w:rPr>
                <w:b w:val="0"/>
                <w:color w:val="FFFFFF" w:themeColor="background1"/>
                <w:sz w:val="18"/>
                <w:szCs w:val="18"/>
                <w:lang w:val="en-US"/>
              </w:rPr>
              <w:br/>
            </w:r>
            <w:r w:rsidRPr="00A93813">
              <w:rPr>
                <w:b w:val="0"/>
                <w:color w:val="FFFFFF" w:themeColor="background1"/>
                <w:sz w:val="18"/>
                <w:szCs w:val="18"/>
              </w:rPr>
              <w:t>ø</w:t>
            </w:r>
            <w:r w:rsidRPr="00A93813">
              <w:rPr>
                <w:b w:val="0"/>
                <w:color w:val="FFFFFF" w:themeColor="background1"/>
                <w:sz w:val="18"/>
                <w:szCs w:val="18"/>
                <w:lang w:val="en-US"/>
              </w:rPr>
              <w:t xml:space="preserve"> 76,9</w:t>
            </w:r>
            <w:r w:rsidRPr="00A93813">
              <w:rPr>
                <w:b w:val="0"/>
                <w:color w:val="FFFFFF" w:themeColor="background1"/>
                <w:sz w:val="18"/>
                <w:szCs w:val="18"/>
              </w:rPr>
              <w:t>)</w:t>
            </w:r>
          </w:p>
        </w:tc>
        <w:tc>
          <w:tcPr>
            <w:tcW w:w="981"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Důležitost (m</w:t>
            </w:r>
            <w:r w:rsidRPr="00A93813">
              <w:rPr>
                <w:b w:val="0"/>
                <w:color w:val="FFFFFF" w:themeColor="background1"/>
                <w:sz w:val="18"/>
                <w:szCs w:val="18"/>
                <w:lang w:val="en-US"/>
              </w:rPr>
              <w:t>ax</w:t>
            </w:r>
            <w:r w:rsidRPr="00A93813">
              <w:rPr>
                <w:b w:val="0"/>
                <w:color w:val="FFFFFF" w:themeColor="background1"/>
                <w:sz w:val="18"/>
                <w:szCs w:val="18"/>
              </w:rPr>
              <w:t xml:space="preserve"> </w:t>
            </w:r>
            <w:r w:rsidRPr="00A93813">
              <w:rPr>
                <w:b w:val="0"/>
                <w:color w:val="FFFFFF" w:themeColor="background1"/>
                <w:sz w:val="18"/>
                <w:szCs w:val="18"/>
                <w:lang w:val="en-US"/>
              </w:rPr>
              <w:t>28</w:t>
            </w:r>
            <w:r w:rsidRPr="00A93813">
              <w:rPr>
                <w:b w:val="0"/>
                <w:color w:val="FFFFFF" w:themeColor="background1"/>
                <w:sz w:val="18"/>
                <w:szCs w:val="18"/>
              </w:rPr>
              <w:t>, ø</w:t>
            </w:r>
            <w:r w:rsidRPr="00A93813">
              <w:rPr>
                <w:b w:val="0"/>
                <w:color w:val="FFFFFF" w:themeColor="background1"/>
                <w:sz w:val="18"/>
                <w:szCs w:val="18"/>
                <w:lang w:val="en-US"/>
              </w:rPr>
              <w:t xml:space="preserve"> 22,9</w:t>
            </w:r>
            <w:r w:rsidRPr="00A93813">
              <w:rPr>
                <w:b w:val="0"/>
                <w:color w:val="FFFFFF" w:themeColor="background1"/>
                <w:sz w:val="18"/>
                <w:szCs w:val="18"/>
              </w:rPr>
              <w:t>)</w:t>
            </w:r>
          </w:p>
        </w:tc>
        <w:tc>
          <w:tcPr>
            <w:tcW w:w="901"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Strategie</w:t>
            </w:r>
            <w:r w:rsidRPr="00A93813">
              <w:rPr>
                <w:b w:val="0"/>
                <w:color w:val="FFFFFF" w:themeColor="background1"/>
                <w:sz w:val="18"/>
                <w:szCs w:val="18"/>
                <w:lang w:val="en-US"/>
              </w:rPr>
              <w:br/>
            </w:r>
            <w:r w:rsidRPr="00A93813">
              <w:rPr>
                <w:b w:val="0"/>
                <w:color w:val="FFFFFF" w:themeColor="background1"/>
                <w:sz w:val="18"/>
                <w:szCs w:val="18"/>
              </w:rPr>
              <w:t>(m</w:t>
            </w:r>
            <w:r w:rsidRPr="00A93813">
              <w:rPr>
                <w:b w:val="0"/>
                <w:color w:val="FFFFFF" w:themeColor="background1"/>
                <w:sz w:val="18"/>
                <w:szCs w:val="18"/>
                <w:lang w:val="en-US"/>
              </w:rPr>
              <w:t>ax</w:t>
            </w:r>
            <w:r w:rsidRPr="00A93813">
              <w:rPr>
                <w:b w:val="0"/>
                <w:color w:val="FFFFFF" w:themeColor="background1"/>
                <w:sz w:val="18"/>
                <w:szCs w:val="18"/>
              </w:rPr>
              <w:t xml:space="preserve"> </w:t>
            </w:r>
            <w:r w:rsidRPr="00A93813">
              <w:rPr>
                <w:b w:val="0"/>
                <w:color w:val="FFFFFF" w:themeColor="background1"/>
                <w:sz w:val="18"/>
                <w:szCs w:val="18"/>
                <w:lang w:val="en-US"/>
              </w:rPr>
              <w:t>18</w:t>
            </w:r>
            <w:r w:rsidRPr="00A93813">
              <w:rPr>
                <w:b w:val="0"/>
                <w:color w:val="FFFFFF" w:themeColor="background1"/>
                <w:sz w:val="18"/>
                <w:szCs w:val="18"/>
              </w:rPr>
              <w:t xml:space="preserve">, </w:t>
            </w:r>
            <w:r w:rsidRPr="00A93813">
              <w:rPr>
                <w:b w:val="0"/>
                <w:color w:val="FFFFFF" w:themeColor="background1"/>
                <w:sz w:val="18"/>
                <w:szCs w:val="18"/>
                <w:lang w:val="en-US"/>
              </w:rPr>
              <w:br/>
            </w:r>
            <w:r w:rsidRPr="00A93813">
              <w:rPr>
                <w:b w:val="0"/>
                <w:color w:val="FFFFFF" w:themeColor="background1"/>
                <w:sz w:val="18"/>
                <w:szCs w:val="18"/>
              </w:rPr>
              <w:t>ø</w:t>
            </w:r>
            <w:r w:rsidRPr="00A93813">
              <w:rPr>
                <w:b w:val="0"/>
                <w:color w:val="FFFFFF" w:themeColor="background1"/>
                <w:sz w:val="18"/>
                <w:szCs w:val="18"/>
                <w:lang w:val="en-US"/>
              </w:rPr>
              <w:t xml:space="preserve"> 14,5</w:t>
            </w:r>
            <w:r w:rsidRPr="00A93813">
              <w:rPr>
                <w:b w:val="0"/>
                <w:color w:val="FFFFFF" w:themeColor="background1"/>
                <w:sz w:val="18"/>
                <w:szCs w:val="18"/>
              </w:rPr>
              <w:t>)</w:t>
            </w:r>
          </w:p>
        </w:tc>
        <w:tc>
          <w:tcPr>
            <w:tcW w:w="827"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A93813"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 xml:space="preserve">Cíle </w:t>
            </w:r>
            <w:r w:rsidR="00B85F68" w:rsidRPr="00A93813">
              <w:rPr>
                <w:b w:val="0"/>
                <w:color w:val="FFFFFF" w:themeColor="background1"/>
                <w:sz w:val="18"/>
                <w:szCs w:val="18"/>
              </w:rPr>
              <w:t>(m</w:t>
            </w:r>
            <w:r w:rsidR="00B85F68" w:rsidRPr="00A93813">
              <w:rPr>
                <w:b w:val="0"/>
                <w:color w:val="FFFFFF" w:themeColor="background1"/>
                <w:sz w:val="18"/>
                <w:szCs w:val="18"/>
                <w:lang w:val="en-US"/>
              </w:rPr>
              <w:t>ax</w:t>
            </w:r>
            <w:r w:rsidR="00B85F68" w:rsidRPr="00A93813">
              <w:rPr>
                <w:b w:val="0"/>
                <w:color w:val="FFFFFF" w:themeColor="background1"/>
                <w:sz w:val="18"/>
                <w:szCs w:val="18"/>
              </w:rPr>
              <w:t xml:space="preserve"> </w:t>
            </w:r>
            <w:r w:rsidR="00B85F68" w:rsidRPr="00A93813">
              <w:rPr>
                <w:b w:val="0"/>
                <w:color w:val="FFFFFF" w:themeColor="background1"/>
                <w:sz w:val="18"/>
                <w:szCs w:val="18"/>
                <w:lang w:val="en-US"/>
              </w:rPr>
              <w:t>12</w:t>
            </w:r>
            <w:r w:rsidR="00B85F68" w:rsidRPr="00A93813">
              <w:rPr>
                <w:b w:val="0"/>
                <w:color w:val="FFFFFF" w:themeColor="background1"/>
                <w:sz w:val="18"/>
                <w:szCs w:val="18"/>
              </w:rPr>
              <w:t xml:space="preserve">, </w:t>
            </w:r>
            <w:r w:rsidR="00B85F68" w:rsidRPr="00A93813">
              <w:rPr>
                <w:b w:val="0"/>
                <w:color w:val="FFFFFF" w:themeColor="background1"/>
                <w:sz w:val="18"/>
                <w:szCs w:val="18"/>
                <w:lang w:val="en-US"/>
              </w:rPr>
              <w:br/>
            </w:r>
            <w:r w:rsidR="00B85F68" w:rsidRPr="00A93813">
              <w:rPr>
                <w:b w:val="0"/>
                <w:color w:val="FFFFFF" w:themeColor="background1"/>
                <w:sz w:val="18"/>
                <w:szCs w:val="18"/>
              </w:rPr>
              <w:t>ø</w:t>
            </w:r>
            <w:r w:rsidR="00B85F68" w:rsidRPr="00A93813">
              <w:rPr>
                <w:b w:val="0"/>
                <w:color w:val="FFFFFF" w:themeColor="background1"/>
                <w:sz w:val="18"/>
                <w:szCs w:val="18"/>
                <w:lang w:val="en-US"/>
              </w:rPr>
              <w:t xml:space="preserve"> 9,1</w:t>
            </w:r>
            <w:r w:rsidR="00B85F68" w:rsidRPr="00A93813">
              <w:rPr>
                <w:b w:val="0"/>
                <w:color w:val="FFFFFF" w:themeColor="background1"/>
                <w:sz w:val="18"/>
                <w:szCs w:val="18"/>
              </w:rPr>
              <w:t>)</w:t>
            </w:r>
          </w:p>
        </w:tc>
        <w:tc>
          <w:tcPr>
            <w:tcW w:w="837"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Posun (m</w:t>
            </w:r>
            <w:r w:rsidRPr="00A93813">
              <w:rPr>
                <w:b w:val="0"/>
                <w:color w:val="FFFFFF" w:themeColor="background1"/>
                <w:sz w:val="18"/>
                <w:szCs w:val="18"/>
                <w:lang w:val="en-US"/>
              </w:rPr>
              <w:t>ax</w:t>
            </w:r>
            <w:r w:rsidRPr="00A93813">
              <w:rPr>
                <w:b w:val="0"/>
                <w:color w:val="FFFFFF" w:themeColor="background1"/>
                <w:sz w:val="18"/>
                <w:szCs w:val="18"/>
              </w:rPr>
              <w:t xml:space="preserve"> </w:t>
            </w:r>
            <w:r w:rsidRPr="00A93813">
              <w:rPr>
                <w:b w:val="0"/>
                <w:color w:val="FFFFFF" w:themeColor="background1"/>
                <w:sz w:val="18"/>
                <w:szCs w:val="18"/>
                <w:lang w:val="en-US"/>
              </w:rPr>
              <w:t>10</w:t>
            </w:r>
            <w:r w:rsidRPr="00A93813">
              <w:rPr>
                <w:b w:val="0"/>
                <w:color w:val="FFFFFF" w:themeColor="background1"/>
                <w:sz w:val="18"/>
                <w:szCs w:val="18"/>
              </w:rPr>
              <w:t xml:space="preserve">, </w:t>
            </w:r>
            <w:r w:rsidRPr="00A93813">
              <w:rPr>
                <w:b w:val="0"/>
                <w:color w:val="FFFFFF" w:themeColor="background1"/>
                <w:sz w:val="18"/>
                <w:szCs w:val="18"/>
                <w:lang w:val="en-US"/>
              </w:rPr>
              <w:br/>
            </w:r>
            <w:r w:rsidRPr="00A93813">
              <w:rPr>
                <w:b w:val="0"/>
                <w:color w:val="FFFFFF" w:themeColor="background1"/>
                <w:sz w:val="18"/>
                <w:szCs w:val="18"/>
              </w:rPr>
              <w:t>ø</w:t>
            </w:r>
            <w:r w:rsidRPr="00A93813">
              <w:rPr>
                <w:b w:val="0"/>
                <w:color w:val="FFFFFF" w:themeColor="background1"/>
                <w:sz w:val="18"/>
                <w:szCs w:val="18"/>
                <w:lang w:val="en-US"/>
              </w:rPr>
              <w:t xml:space="preserve"> 7,4</w:t>
            </w:r>
            <w:r w:rsidRPr="00A93813">
              <w:rPr>
                <w:b w:val="0"/>
                <w:color w:val="FFFFFF" w:themeColor="background1"/>
                <w:sz w:val="18"/>
                <w:szCs w:val="18"/>
              </w:rPr>
              <w:t>)</w:t>
            </w:r>
          </w:p>
        </w:tc>
        <w:tc>
          <w:tcPr>
            <w:tcW w:w="954"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Absorpce (m</w:t>
            </w:r>
            <w:r w:rsidRPr="00A93813">
              <w:rPr>
                <w:b w:val="0"/>
                <w:color w:val="FFFFFF" w:themeColor="background1"/>
                <w:sz w:val="18"/>
                <w:szCs w:val="18"/>
                <w:lang w:val="en-US"/>
              </w:rPr>
              <w:t>ax</w:t>
            </w:r>
            <w:r w:rsidRPr="00A93813">
              <w:rPr>
                <w:b w:val="0"/>
                <w:color w:val="FFFFFF" w:themeColor="background1"/>
                <w:sz w:val="18"/>
                <w:szCs w:val="18"/>
              </w:rPr>
              <w:t xml:space="preserve"> </w:t>
            </w:r>
            <w:r w:rsidRPr="00A93813">
              <w:rPr>
                <w:b w:val="0"/>
                <w:color w:val="FFFFFF" w:themeColor="background1"/>
                <w:sz w:val="18"/>
                <w:szCs w:val="18"/>
                <w:lang w:val="en-US"/>
              </w:rPr>
              <w:t>20</w:t>
            </w:r>
            <w:r w:rsidRPr="00A93813">
              <w:rPr>
                <w:b w:val="0"/>
                <w:color w:val="FFFFFF" w:themeColor="background1"/>
                <w:sz w:val="18"/>
                <w:szCs w:val="18"/>
              </w:rPr>
              <w:t xml:space="preserve">, </w:t>
            </w:r>
            <w:r w:rsidRPr="00A93813">
              <w:rPr>
                <w:b w:val="0"/>
                <w:color w:val="FFFFFF" w:themeColor="background1"/>
                <w:sz w:val="18"/>
                <w:szCs w:val="18"/>
                <w:lang w:val="en-US"/>
              </w:rPr>
              <w:br/>
            </w:r>
            <w:r w:rsidRPr="00A93813">
              <w:rPr>
                <w:b w:val="0"/>
                <w:color w:val="FFFFFF" w:themeColor="background1"/>
                <w:sz w:val="18"/>
                <w:szCs w:val="18"/>
              </w:rPr>
              <w:t>ø</w:t>
            </w:r>
            <w:r w:rsidRPr="00A93813">
              <w:rPr>
                <w:b w:val="0"/>
                <w:color w:val="FFFFFF" w:themeColor="background1"/>
                <w:sz w:val="18"/>
                <w:szCs w:val="18"/>
                <w:lang w:val="en-US"/>
              </w:rPr>
              <w:t xml:space="preserve"> 14,8</w:t>
            </w:r>
            <w:r w:rsidRPr="00A93813">
              <w:rPr>
                <w:b w:val="0"/>
                <w:color w:val="FFFFFF" w:themeColor="background1"/>
                <w:sz w:val="18"/>
                <w:szCs w:val="18"/>
              </w:rPr>
              <w:t>)</w:t>
            </w:r>
          </w:p>
        </w:tc>
        <w:tc>
          <w:tcPr>
            <w:tcW w:w="964" w:type="dxa"/>
            <w:tcBorders>
              <w:top w:val="none" w:sz="0" w:space="0" w:color="auto"/>
              <w:left w:val="none" w:sz="0" w:space="0" w:color="auto"/>
              <w:bottom w:val="single" w:sz="24" w:space="0" w:color="FFFFFF" w:themeColor="background1"/>
              <w:right w:val="none" w:sz="0" w:space="0" w:color="auto"/>
            </w:tcBorders>
            <w:shd w:val="clear" w:color="auto" w:fill="4F81BD"/>
            <w:vAlign w:val="center"/>
            <w:hideMark/>
          </w:tcPr>
          <w:p w:rsidR="00B85F68" w:rsidRPr="00A93813" w:rsidRDefault="00B85F68" w:rsidP="00B85F6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A93813">
              <w:rPr>
                <w:b w:val="0"/>
                <w:color w:val="FFFFFF" w:themeColor="background1"/>
                <w:sz w:val="18"/>
                <w:szCs w:val="18"/>
              </w:rPr>
              <w:t>Alt. zdroje (m</w:t>
            </w:r>
            <w:r w:rsidRPr="00A93813">
              <w:rPr>
                <w:b w:val="0"/>
                <w:color w:val="FFFFFF" w:themeColor="background1"/>
                <w:sz w:val="18"/>
                <w:szCs w:val="18"/>
                <w:lang w:val="en-US"/>
              </w:rPr>
              <w:t>ax</w:t>
            </w:r>
            <w:r w:rsidRPr="00A93813">
              <w:rPr>
                <w:b w:val="0"/>
                <w:color w:val="FFFFFF" w:themeColor="background1"/>
                <w:sz w:val="18"/>
                <w:szCs w:val="18"/>
              </w:rPr>
              <w:t xml:space="preserve"> </w:t>
            </w:r>
            <w:r w:rsidRPr="00A93813">
              <w:rPr>
                <w:b w:val="0"/>
                <w:color w:val="FFFFFF" w:themeColor="background1"/>
                <w:sz w:val="18"/>
                <w:szCs w:val="18"/>
                <w:lang w:val="en-US"/>
              </w:rPr>
              <w:t>12</w:t>
            </w:r>
            <w:r w:rsidRPr="00A93813">
              <w:rPr>
                <w:b w:val="0"/>
                <w:color w:val="FFFFFF" w:themeColor="background1"/>
                <w:sz w:val="18"/>
                <w:szCs w:val="18"/>
              </w:rPr>
              <w:t xml:space="preserve">, </w:t>
            </w:r>
            <w:r w:rsidRPr="00A93813">
              <w:rPr>
                <w:b w:val="0"/>
                <w:color w:val="FFFFFF" w:themeColor="background1"/>
                <w:sz w:val="18"/>
                <w:szCs w:val="18"/>
                <w:lang w:val="en-US"/>
              </w:rPr>
              <w:br/>
            </w:r>
            <w:r w:rsidRPr="00A93813">
              <w:rPr>
                <w:b w:val="0"/>
                <w:color w:val="FFFFFF" w:themeColor="background1"/>
                <w:sz w:val="18"/>
                <w:szCs w:val="18"/>
              </w:rPr>
              <w:t>ø</w:t>
            </w:r>
            <w:r w:rsidRPr="00A93813">
              <w:rPr>
                <w:b w:val="0"/>
                <w:color w:val="FFFFFF" w:themeColor="background1"/>
                <w:sz w:val="18"/>
                <w:szCs w:val="18"/>
                <w:lang w:val="en-US"/>
              </w:rPr>
              <w:t xml:space="preserve"> 8,4</w:t>
            </w:r>
            <w:r w:rsidRPr="00A93813">
              <w:rPr>
                <w:b w:val="0"/>
                <w:color w:val="FFFFFF" w:themeColor="background1"/>
                <w:sz w:val="18"/>
                <w:szCs w:val="18"/>
              </w:rPr>
              <w:t>)</w:t>
            </w:r>
          </w:p>
        </w:tc>
      </w:tr>
      <w:tr w:rsidR="00A93813" w:rsidRPr="00264504" w:rsidTr="00062678">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2699" w:type="dxa"/>
            <w:tcBorders>
              <w:top w:val="single" w:sz="24" w:space="0" w:color="FFFFFF" w:themeColor="background1"/>
              <w:bottom w:val="single" w:sz="24" w:space="0" w:color="FFFFFF" w:themeColor="background1"/>
            </w:tcBorders>
            <w:shd w:val="clear" w:color="auto" w:fill="4F81BD"/>
            <w:hideMark/>
          </w:tcPr>
          <w:p w:rsidR="00B85F68" w:rsidRPr="00A93813" w:rsidRDefault="00A93813" w:rsidP="00B85F68">
            <w:pPr>
              <w:spacing w:after="160" w:line="259" w:lineRule="auto"/>
              <w:jc w:val="left"/>
              <w:rPr>
                <w:i w:val="0"/>
                <w:color w:val="FFFFFF" w:themeColor="background1"/>
              </w:rPr>
            </w:pPr>
            <w:r w:rsidRPr="00A93813">
              <w:rPr>
                <w:b/>
                <w:i w:val="0"/>
                <w:color w:val="FFFFFF" w:themeColor="background1"/>
              </w:rPr>
              <w:t>Vzdělávání</w:t>
            </w:r>
          </w:p>
        </w:tc>
        <w:tc>
          <w:tcPr>
            <w:tcW w:w="979"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80,9</w:t>
            </w:r>
          </w:p>
        </w:tc>
        <w:tc>
          <w:tcPr>
            <w:tcW w:w="981"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23,2</w:t>
            </w:r>
          </w:p>
        </w:tc>
        <w:tc>
          <w:tcPr>
            <w:tcW w:w="901"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13,0</w:t>
            </w:r>
          </w:p>
        </w:tc>
        <w:tc>
          <w:tcPr>
            <w:tcW w:w="827"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9,9</w:t>
            </w:r>
          </w:p>
        </w:tc>
        <w:tc>
          <w:tcPr>
            <w:tcW w:w="837"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8,5</w:t>
            </w:r>
          </w:p>
        </w:tc>
        <w:tc>
          <w:tcPr>
            <w:tcW w:w="954" w:type="dxa"/>
            <w:tcBorders>
              <w:top w:val="single" w:sz="24" w:space="0" w:color="FFFFFF" w:themeColor="background1"/>
              <w:bottom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16,3</w:t>
            </w:r>
          </w:p>
        </w:tc>
        <w:tc>
          <w:tcPr>
            <w:tcW w:w="964" w:type="dxa"/>
            <w:tcBorders>
              <w:top w:val="single" w:sz="24" w:space="0" w:color="FFFFFF" w:themeColor="background1"/>
              <w:bottom w:val="single" w:sz="24" w:space="0" w:color="FFFFFF" w:themeColor="background1"/>
              <w:right w:val="nil"/>
            </w:tcBorders>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rPr>
                <w:b/>
              </w:rPr>
            </w:pPr>
            <w:r w:rsidRPr="008C6299">
              <w:rPr>
                <w:b/>
              </w:rPr>
              <w:t>10,0</w:t>
            </w:r>
          </w:p>
        </w:tc>
      </w:tr>
      <w:tr w:rsidR="00B85F68" w:rsidRPr="00264504" w:rsidTr="00062678">
        <w:trPr>
          <w:trHeight w:val="574"/>
          <w:jc w:val="center"/>
        </w:trPr>
        <w:tc>
          <w:tcPr>
            <w:cnfStyle w:val="001000000000" w:firstRow="0" w:lastRow="0" w:firstColumn="1" w:lastColumn="0" w:oddVBand="0" w:evenVBand="0" w:oddHBand="0" w:evenHBand="0" w:firstRowFirstColumn="0" w:firstRowLastColumn="0" w:lastRowFirstColumn="0" w:lastRowLastColumn="0"/>
            <w:tcW w:w="2699" w:type="dxa"/>
            <w:tcBorders>
              <w:top w:val="single" w:sz="24" w:space="0" w:color="FFFFFF" w:themeColor="background1"/>
              <w:left w:val="none" w:sz="0" w:space="0" w:color="auto"/>
              <w:bottom w:val="none" w:sz="0" w:space="0" w:color="auto"/>
            </w:tcBorders>
            <w:shd w:val="clear" w:color="auto" w:fill="4F81BD"/>
            <w:hideMark/>
          </w:tcPr>
          <w:p w:rsidR="00B85F68" w:rsidRPr="00A93813" w:rsidRDefault="00B85F68" w:rsidP="00A9356E">
            <w:pPr>
              <w:spacing w:after="160" w:line="259" w:lineRule="auto"/>
              <w:jc w:val="left"/>
              <w:rPr>
                <w:i w:val="0"/>
                <w:color w:val="FFFFFF" w:themeColor="background1"/>
              </w:rPr>
            </w:pPr>
            <w:r w:rsidRPr="00A93813">
              <w:rPr>
                <w:i w:val="0"/>
                <w:color w:val="FFFFFF" w:themeColor="background1"/>
              </w:rPr>
              <w:t>Zajištění rovného přístupu ke vzdělání</w:t>
            </w:r>
          </w:p>
        </w:tc>
        <w:tc>
          <w:tcPr>
            <w:tcW w:w="979"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rPr>
                <w:b/>
              </w:rPr>
              <w:t>81,6</w:t>
            </w:r>
          </w:p>
        </w:tc>
        <w:tc>
          <w:tcPr>
            <w:tcW w:w="981"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23,1</w:t>
            </w:r>
          </w:p>
        </w:tc>
        <w:tc>
          <w:tcPr>
            <w:tcW w:w="901"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13,1</w:t>
            </w:r>
          </w:p>
        </w:tc>
        <w:tc>
          <w:tcPr>
            <w:tcW w:w="827"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9,9</w:t>
            </w:r>
          </w:p>
        </w:tc>
        <w:tc>
          <w:tcPr>
            <w:tcW w:w="837"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8,5</w:t>
            </w:r>
          </w:p>
        </w:tc>
        <w:tc>
          <w:tcPr>
            <w:tcW w:w="954"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16,5</w:t>
            </w:r>
          </w:p>
        </w:tc>
        <w:tc>
          <w:tcPr>
            <w:tcW w:w="964" w:type="dxa"/>
            <w:tcBorders>
              <w:top w:val="single" w:sz="24" w:space="0" w:color="FFFFFF" w:themeColor="background1"/>
            </w:tcBorders>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10,5</w:t>
            </w:r>
          </w:p>
        </w:tc>
      </w:tr>
      <w:tr w:rsidR="00B85F68" w:rsidRPr="00264504" w:rsidTr="00062678">
        <w:trPr>
          <w:cnfStyle w:val="000000100000" w:firstRow="0" w:lastRow="0" w:firstColumn="0" w:lastColumn="0" w:oddVBand="0" w:evenVBand="0" w:oddHBand="1" w:evenHBand="0" w:firstRowFirstColumn="0" w:firstRowLastColumn="0" w:lastRowFirstColumn="0" w:lastRowLastColumn="0"/>
          <w:trHeight w:val="1907"/>
          <w:jc w:val="center"/>
        </w:trPr>
        <w:tc>
          <w:tcPr>
            <w:cnfStyle w:val="001000000000" w:firstRow="0" w:lastRow="0" w:firstColumn="1" w:lastColumn="0" w:oddVBand="0" w:evenVBand="0" w:oddHBand="0" w:evenHBand="0" w:firstRowFirstColumn="0" w:firstRowLastColumn="0" w:lastRowFirstColumn="0" w:lastRowLastColumn="0"/>
            <w:tcW w:w="2699" w:type="dxa"/>
            <w:tcBorders>
              <w:left w:val="none" w:sz="0" w:space="0" w:color="auto"/>
              <w:bottom w:val="none" w:sz="0" w:space="0" w:color="auto"/>
            </w:tcBorders>
            <w:shd w:val="clear" w:color="auto" w:fill="4F81BD"/>
            <w:hideMark/>
          </w:tcPr>
          <w:p w:rsidR="00B85F68" w:rsidRPr="00A93813" w:rsidRDefault="00B85F68" w:rsidP="009E3951">
            <w:pPr>
              <w:spacing w:after="160" w:line="259" w:lineRule="auto"/>
              <w:jc w:val="left"/>
              <w:rPr>
                <w:i w:val="0"/>
                <w:color w:val="FFFFFF" w:themeColor="background1"/>
              </w:rPr>
            </w:pPr>
            <w:r w:rsidRPr="00A93813">
              <w:rPr>
                <w:i w:val="0"/>
                <w:color w:val="FFFFFF" w:themeColor="background1"/>
              </w:rPr>
              <w:t xml:space="preserve">Zlepšení vzdělávacího systému s ohledem </w:t>
            </w:r>
            <w:r w:rsidR="00A93813" w:rsidRPr="00A93813">
              <w:rPr>
                <w:i w:val="0"/>
                <w:color w:val="FFFFFF" w:themeColor="background1"/>
              </w:rPr>
              <w:br/>
            </w:r>
            <w:r w:rsidRPr="00A93813">
              <w:rPr>
                <w:i w:val="0"/>
                <w:color w:val="FFFFFF" w:themeColor="background1"/>
              </w:rPr>
              <w:t xml:space="preserve">na moderní kompetence </w:t>
            </w:r>
            <w:r w:rsidR="00A93813" w:rsidRPr="00A93813">
              <w:rPr>
                <w:i w:val="0"/>
                <w:color w:val="FFFFFF" w:themeColor="background1"/>
              </w:rPr>
              <w:br/>
            </w:r>
            <w:r w:rsidRPr="00A93813">
              <w:rPr>
                <w:i w:val="0"/>
                <w:color w:val="FFFFFF" w:themeColor="background1"/>
              </w:rPr>
              <w:t xml:space="preserve">a potřeby trhu práce, </w:t>
            </w:r>
            <w:r w:rsidR="00EF5CE2">
              <w:rPr>
                <w:i w:val="0"/>
                <w:color w:val="FFFFFF" w:themeColor="background1"/>
              </w:rPr>
              <w:br/>
            </w:r>
            <w:r w:rsidRPr="00A93813">
              <w:rPr>
                <w:i w:val="0"/>
                <w:color w:val="FFFFFF" w:themeColor="background1"/>
              </w:rPr>
              <w:t xml:space="preserve">mimo jiné s ohledem </w:t>
            </w:r>
            <w:r w:rsidR="00A93813" w:rsidRPr="00A93813">
              <w:rPr>
                <w:i w:val="0"/>
                <w:color w:val="FFFFFF" w:themeColor="background1"/>
              </w:rPr>
              <w:br/>
            </w:r>
            <w:r w:rsidRPr="00A93813">
              <w:rPr>
                <w:i w:val="0"/>
                <w:color w:val="FFFFFF" w:themeColor="background1"/>
              </w:rPr>
              <w:t xml:space="preserve">na digitalizaci průmyslu </w:t>
            </w:r>
            <w:r w:rsidR="00A93813" w:rsidRPr="00A93813">
              <w:rPr>
                <w:i w:val="0"/>
                <w:color w:val="FFFFFF" w:themeColor="background1"/>
              </w:rPr>
              <w:br/>
            </w:r>
            <w:r w:rsidRPr="00A93813">
              <w:rPr>
                <w:i w:val="0"/>
                <w:color w:val="FFFFFF" w:themeColor="background1"/>
              </w:rPr>
              <w:t>a společnosti</w:t>
            </w:r>
          </w:p>
        </w:tc>
        <w:tc>
          <w:tcPr>
            <w:tcW w:w="979"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rPr>
                <w:b/>
              </w:rPr>
              <w:t>80,6</w:t>
            </w:r>
          </w:p>
        </w:tc>
        <w:tc>
          <w:tcPr>
            <w:tcW w:w="981"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23,8</w:t>
            </w:r>
          </w:p>
        </w:tc>
        <w:tc>
          <w:tcPr>
            <w:tcW w:w="901"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12,6</w:t>
            </w:r>
          </w:p>
        </w:tc>
        <w:tc>
          <w:tcPr>
            <w:tcW w:w="827"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9,5</w:t>
            </w:r>
          </w:p>
        </w:tc>
        <w:tc>
          <w:tcPr>
            <w:tcW w:w="837"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8,3</w:t>
            </w:r>
          </w:p>
        </w:tc>
        <w:tc>
          <w:tcPr>
            <w:tcW w:w="954"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16,9</w:t>
            </w:r>
          </w:p>
        </w:tc>
        <w:tc>
          <w:tcPr>
            <w:tcW w:w="964" w:type="dxa"/>
            <w:shd w:val="clear" w:color="auto" w:fill="D0D8E8"/>
            <w:vAlign w:val="center"/>
            <w:hideMark/>
          </w:tcPr>
          <w:p w:rsidR="00B85F68" w:rsidRPr="008C6299" w:rsidRDefault="00B85F68" w:rsidP="00B85F68">
            <w:pPr>
              <w:spacing w:after="160" w:line="259" w:lineRule="auto"/>
              <w:jc w:val="center"/>
              <w:cnfStyle w:val="000000100000" w:firstRow="0" w:lastRow="0" w:firstColumn="0" w:lastColumn="0" w:oddVBand="0" w:evenVBand="0" w:oddHBand="1" w:evenHBand="0" w:firstRowFirstColumn="0" w:firstRowLastColumn="0" w:lastRowFirstColumn="0" w:lastRowLastColumn="0"/>
            </w:pPr>
            <w:r w:rsidRPr="008C6299">
              <w:t>9,6</w:t>
            </w:r>
          </w:p>
        </w:tc>
      </w:tr>
      <w:tr w:rsidR="00B85F68" w:rsidRPr="00264504" w:rsidTr="00062678">
        <w:trPr>
          <w:trHeight w:val="731"/>
          <w:jc w:val="center"/>
        </w:trPr>
        <w:tc>
          <w:tcPr>
            <w:cnfStyle w:val="001000000000" w:firstRow="0" w:lastRow="0" w:firstColumn="1" w:lastColumn="0" w:oddVBand="0" w:evenVBand="0" w:oddHBand="0" w:evenHBand="0" w:firstRowFirstColumn="0" w:firstRowLastColumn="0" w:lastRowFirstColumn="0" w:lastRowLastColumn="0"/>
            <w:tcW w:w="2699" w:type="dxa"/>
            <w:tcBorders>
              <w:left w:val="none" w:sz="0" w:space="0" w:color="auto"/>
              <w:bottom w:val="none" w:sz="0" w:space="0" w:color="auto"/>
            </w:tcBorders>
            <w:shd w:val="clear" w:color="auto" w:fill="4F81BD"/>
            <w:hideMark/>
          </w:tcPr>
          <w:p w:rsidR="00B85F68" w:rsidRPr="00A93813" w:rsidRDefault="00B85F68" w:rsidP="00A9356E">
            <w:pPr>
              <w:spacing w:after="160" w:line="259" w:lineRule="auto"/>
              <w:jc w:val="left"/>
              <w:rPr>
                <w:i w:val="0"/>
                <w:color w:val="FFFFFF" w:themeColor="background1"/>
              </w:rPr>
            </w:pPr>
            <w:r w:rsidRPr="00A93813">
              <w:rPr>
                <w:i w:val="0"/>
                <w:color w:val="FFFFFF" w:themeColor="background1"/>
              </w:rPr>
              <w:t xml:space="preserve">Zvýšení kompetencí </w:t>
            </w:r>
            <w:r w:rsidR="00A93813" w:rsidRPr="00A93813">
              <w:rPr>
                <w:i w:val="0"/>
                <w:color w:val="FFFFFF" w:themeColor="background1"/>
              </w:rPr>
              <w:br/>
            </w:r>
            <w:r w:rsidRPr="00A93813">
              <w:rPr>
                <w:i w:val="0"/>
                <w:color w:val="FFFFFF" w:themeColor="background1"/>
              </w:rPr>
              <w:t xml:space="preserve">a kvality pracovníků </w:t>
            </w:r>
            <w:r w:rsidR="00A93813" w:rsidRPr="00A93813">
              <w:rPr>
                <w:i w:val="0"/>
                <w:color w:val="FFFFFF" w:themeColor="background1"/>
              </w:rPr>
              <w:br/>
            </w:r>
            <w:r w:rsidRPr="00A93813">
              <w:rPr>
                <w:i w:val="0"/>
                <w:color w:val="FFFFFF" w:themeColor="background1"/>
              </w:rPr>
              <w:t>ve vzdělávání</w:t>
            </w:r>
          </w:p>
        </w:tc>
        <w:tc>
          <w:tcPr>
            <w:tcW w:w="979"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rPr>
                <w:b/>
              </w:rPr>
              <w:t>80,4</w:t>
            </w:r>
          </w:p>
        </w:tc>
        <w:tc>
          <w:tcPr>
            <w:tcW w:w="981"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22,7</w:t>
            </w:r>
          </w:p>
        </w:tc>
        <w:tc>
          <w:tcPr>
            <w:tcW w:w="901"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13,1</w:t>
            </w:r>
          </w:p>
        </w:tc>
        <w:tc>
          <w:tcPr>
            <w:tcW w:w="827"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10,2</w:t>
            </w:r>
          </w:p>
        </w:tc>
        <w:tc>
          <w:tcPr>
            <w:tcW w:w="837"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8,8</w:t>
            </w:r>
          </w:p>
        </w:tc>
        <w:tc>
          <w:tcPr>
            <w:tcW w:w="954"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15,7</w:t>
            </w:r>
          </w:p>
        </w:tc>
        <w:tc>
          <w:tcPr>
            <w:tcW w:w="964" w:type="dxa"/>
            <w:shd w:val="clear" w:color="auto" w:fill="D0D8E8"/>
            <w:vAlign w:val="center"/>
            <w:hideMark/>
          </w:tcPr>
          <w:p w:rsidR="00B85F68" w:rsidRPr="008C6299" w:rsidRDefault="00B85F68" w:rsidP="00B85F68">
            <w:pPr>
              <w:spacing w:after="160" w:line="259" w:lineRule="auto"/>
              <w:jc w:val="center"/>
              <w:cnfStyle w:val="000000000000" w:firstRow="0" w:lastRow="0" w:firstColumn="0" w:lastColumn="0" w:oddVBand="0" w:evenVBand="0" w:oddHBand="0" w:evenHBand="0" w:firstRowFirstColumn="0" w:firstRowLastColumn="0" w:lastRowFirstColumn="0" w:lastRowLastColumn="0"/>
            </w:pPr>
            <w:r w:rsidRPr="008C6299">
              <w:t>9,9</w:t>
            </w:r>
          </w:p>
        </w:tc>
      </w:tr>
    </w:tbl>
    <w:p w:rsidR="00B85F68" w:rsidRPr="00A9356E" w:rsidRDefault="00B85F68" w:rsidP="00B85F68">
      <w:pPr>
        <w:rPr>
          <w:sz w:val="22"/>
        </w:rPr>
      </w:pPr>
      <w:r w:rsidRPr="00A9356E">
        <w:rPr>
          <w:sz w:val="22"/>
        </w:rPr>
        <w:t xml:space="preserve">Z hodnocení vyplývá, </w:t>
      </w:r>
      <w:r w:rsidR="00CF5689">
        <w:rPr>
          <w:sz w:val="22"/>
        </w:rPr>
        <w:t>ž</w:t>
      </w:r>
      <w:r w:rsidRPr="00A9356E">
        <w:rPr>
          <w:sz w:val="22"/>
        </w:rPr>
        <w:t>e jde o velmi kompaktní oblast. Všechny tři specifické cíle jsou vzájemně provázané a v jednotlivých kritériích také obdržely velmi podobné hodnocení, což svědčí o systematickém přístupu věcného gestora, Ministerstva školství, mládeže a tělovýchovy. Specifické cíle v oblasti vzdělávání vykazují vysokou důležitost, siln</w:t>
      </w:r>
      <w:r w:rsidR="000D53C2">
        <w:rPr>
          <w:sz w:val="22"/>
        </w:rPr>
        <w:t>ou</w:t>
      </w:r>
      <w:r w:rsidRPr="00A9356E">
        <w:rPr>
          <w:sz w:val="22"/>
        </w:rPr>
        <w:t xml:space="preserve"> </w:t>
      </w:r>
      <w:r w:rsidR="000D53C2">
        <w:rPr>
          <w:sz w:val="22"/>
        </w:rPr>
        <w:t>provázanost</w:t>
      </w:r>
      <w:r w:rsidR="000D53C2" w:rsidRPr="00A9356E">
        <w:rPr>
          <w:sz w:val="22"/>
        </w:rPr>
        <w:t xml:space="preserve"> </w:t>
      </w:r>
      <w:r w:rsidR="000D53C2">
        <w:rPr>
          <w:sz w:val="22"/>
        </w:rPr>
        <w:t>s</w:t>
      </w:r>
      <w:r w:rsidR="000D53C2" w:rsidRPr="00A9356E">
        <w:rPr>
          <w:sz w:val="22"/>
        </w:rPr>
        <w:t xml:space="preserve"> </w:t>
      </w:r>
      <w:r w:rsidRPr="00A9356E">
        <w:rPr>
          <w:sz w:val="22"/>
        </w:rPr>
        <w:t>průřezový</w:t>
      </w:r>
      <w:r w:rsidR="000D53C2">
        <w:rPr>
          <w:sz w:val="22"/>
        </w:rPr>
        <w:t>mi</w:t>
      </w:r>
      <w:r w:rsidRPr="00A9356E">
        <w:rPr>
          <w:sz w:val="22"/>
        </w:rPr>
        <w:t xml:space="preserve"> témat</w:t>
      </w:r>
      <w:r w:rsidR="000D53C2">
        <w:rPr>
          <w:sz w:val="22"/>
        </w:rPr>
        <w:t>y</w:t>
      </w:r>
      <w:r w:rsidRPr="00A9356E">
        <w:rPr>
          <w:sz w:val="22"/>
        </w:rPr>
        <w:t xml:space="preserve">, vysoký předpokládaný přínos a synergie i vysokou absorpční kapacitu. Nebyly identifikovány žádné významné bariéry čerpání. </w:t>
      </w:r>
    </w:p>
    <w:p w:rsidR="00B85F68" w:rsidRPr="00A9356E" w:rsidRDefault="00B85F68" w:rsidP="00B85F68">
      <w:pPr>
        <w:rPr>
          <w:sz w:val="22"/>
        </w:rPr>
      </w:pPr>
      <w:r w:rsidRPr="00A9356E">
        <w:rPr>
          <w:sz w:val="22"/>
        </w:rPr>
        <w:t>Vzhledem k celkovým aktuálním nárokům vzdělávání na státní rozpočet (mj. nárůst mezd pedagogických pracovníků) nemá financování uvedených cílů a navázaných opatření vhodnou alternativu mimo evropské fondy.</w:t>
      </w:r>
    </w:p>
    <w:p w:rsidR="00B85F68" w:rsidRPr="00A9356E" w:rsidRDefault="00B85F68" w:rsidP="00B85F68">
      <w:pPr>
        <w:rPr>
          <w:sz w:val="22"/>
        </w:rPr>
      </w:pPr>
      <w:r w:rsidRPr="00A9356E">
        <w:rPr>
          <w:sz w:val="22"/>
        </w:rPr>
        <w:t>MŠMT v současné době připravuje příslušný strategický dokument pro oblast vzdělávání Strategie vzdělávací politiky</w:t>
      </w:r>
      <w:r w:rsidR="00CF5689">
        <w:rPr>
          <w:sz w:val="22"/>
        </w:rPr>
        <w:t xml:space="preserve"> ČR do roku</w:t>
      </w:r>
      <w:r w:rsidRPr="00A9356E">
        <w:rPr>
          <w:sz w:val="22"/>
        </w:rPr>
        <w:t xml:space="preserve"> 2030. Ze skutečnosti, že dokument je teprve v přípravě, vyplývá mírně podprůměrné hodnocení v příslušném kritériu, nicméně cíle, které jsou již v této strategii obsaženy, jsou definovány adekvátně a jsou vysoce hodnoceny.</w:t>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 xml:space="preserve"> Posun k nízkouhlíkovému hospodářství</w:t>
      </w:r>
    </w:p>
    <w:tbl>
      <w:tblPr>
        <w:tblStyle w:val="Tabulkasmkou3zvraznn11"/>
        <w:tblW w:w="9082"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694"/>
        <w:gridCol w:w="1076"/>
        <w:gridCol w:w="1007"/>
        <w:gridCol w:w="937"/>
        <w:gridCol w:w="832"/>
        <w:gridCol w:w="832"/>
        <w:gridCol w:w="977"/>
        <w:gridCol w:w="727"/>
      </w:tblGrid>
      <w:tr w:rsidR="00EF5CE2" w:rsidRPr="005C08A9" w:rsidTr="00062678">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694"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9E3951">
            <w:pPr>
              <w:rPr>
                <w:rFonts w:eastAsia="Times New Roman"/>
                <w:b w:val="0"/>
                <w:color w:val="000000"/>
                <w:sz w:val="18"/>
                <w:szCs w:val="18"/>
                <w:lang w:eastAsia="cs-CZ"/>
              </w:rPr>
            </w:pPr>
          </w:p>
        </w:tc>
        <w:tc>
          <w:tcPr>
            <w:tcW w:w="1076"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Celkem (m</w:t>
            </w:r>
            <w:r w:rsidRPr="00B86EAD">
              <w:rPr>
                <w:b w:val="0"/>
                <w:color w:val="FFFFFF" w:themeColor="background1"/>
                <w:sz w:val="18"/>
                <w:szCs w:val="18"/>
                <w:lang w:val="en-US"/>
              </w:rPr>
              <w:t>ax</w:t>
            </w:r>
            <w:r w:rsidRPr="00B86EAD">
              <w:rPr>
                <w:b w:val="0"/>
                <w:color w:val="FFFFFF" w:themeColor="background1"/>
                <w:sz w:val="18"/>
                <w:szCs w:val="18"/>
              </w:rPr>
              <w:t xml:space="preserve"> 100, </w:t>
            </w:r>
            <w:r w:rsidRPr="00B86EAD">
              <w:rPr>
                <w:b w:val="0"/>
                <w:color w:val="FFFFFF" w:themeColor="background1"/>
                <w:sz w:val="18"/>
                <w:szCs w:val="18"/>
                <w:lang w:val="en-US"/>
              </w:rPr>
              <w:br/>
            </w:r>
            <w:r w:rsidRPr="00B86EAD">
              <w:rPr>
                <w:b w:val="0"/>
                <w:color w:val="FFFFFF" w:themeColor="background1"/>
                <w:sz w:val="18"/>
                <w:szCs w:val="18"/>
              </w:rPr>
              <w:t>ø</w:t>
            </w:r>
            <w:r w:rsidRPr="00B86EAD">
              <w:rPr>
                <w:b w:val="0"/>
                <w:color w:val="FFFFFF" w:themeColor="background1"/>
                <w:sz w:val="18"/>
                <w:szCs w:val="18"/>
                <w:lang w:val="en-US"/>
              </w:rPr>
              <w:t xml:space="preserve"> 76,9</w:t>
            </w:r>
            <w:r w:rsidRPr="00B86EAD">
              <w:rPr>
                <w:b w:val="0"/>
                <w:color w:val="FFFFFF" w:themeColor="background1"/>
                <w:sz w:val="18"/>
                <w:szCs w:val="18"/>
              </w:rPr>
              <w:t>)</w:t>
            </w:r>
          </w:p>
        </w:tc>
        <w:tc>
          <w:tcPr>
            <w:tcW w:w="100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Důležitost (m</w:t>
            </w:r>
            <w:r w:rsidRPr="00B86EAD">
              <w:rPr>
                <w:b w:val="0"/>
                <w:color w:val="FFFFFF" w:themeColor="background1"/>
                <w:sz w:val="18"/>
                <w:szCs w:val="18"/>
                <w:lang w:val="en-US"/>
              </w:rPr>
              <w:t>ax</w:t>
            </w:r>
            <w:r w:rsidRPr="00B86EAD">
              <w:rPr>
                <w:b w:val="0"/>
                <w:color w:val="FFFFFF" w:themeColor="background1"/>
                <w:sz w:val="18"/>
                <w:szCs w:val="18"/>
              </w:rPr>
              <w:t xml:space="preserve"> </w:t>
            </w:r>
            <w:r w:rsidRPr="00B86EAD">
              <w:rPr>
                <w:b w:val="0"/>
                <w:color w:val="FFFFFF" w:themeColor="background1"/>
                <w:sz w:val="18"/>
                <w:szCs w:val="18"/>
                <w:lang w:val="en-US"/>
              </w:rPr>
              <w:t>28</w:t>
            </w:r>
            <w:r w:rsidRPr="00B86EAD">
              <w:rPr>
                <w:b w:val="0"/>
                <w:color w:val="FFFFFF" w:themeColor="background1"/>
                <w:sz w:val="18"/>
                <w:szCs w:val="18"/>
              </w:rPr>
              <w:t>, ø</w:t>
            </w:r>
            <w:r w:rsidRPr="00B86EAD">
              <w:rPr>
                <w:b w:val="0"/>
                <w:color w:val="FFFFFF" w:themeColor="background1"/>
                <w:sz w:val="18"/>
                <w:szCs w:val="18"/>
                <w:lang w:val="en-US"/>
              </w:rPr>
              <w:t xml:space="preserve"> 22,9</w:t>
            </w:r>
            <w:r w:rsidRPr="00B86EAD">
              <w:rPr>
                <w:b w:val="0"/>
                <w:color w:val="FFFFFF" w:themeColor="background1"/>
                <w:sz w:val="18"/>
                <w:szCs w:val="18"/>
              </w:rPr>
              <w:t>)</w:t>
            </w:r>
          </w:p>
        </w:tc>
        <w:tc>
          <w:tcPr>
            <w:tcW w:w="93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Strategie</w:t>
            </w:r>
            <w:r w:rsidRPr="00B86EAD">
              <w:rPr>
                <w:b w:val="0"/>
                <w:color w:val="FFFFFF" w:themeColor="background1"/>
                <w:sz w:val="18"/>
                <w:szCs w:val="18"/>
                <w:lang w:val="en-US"/>
              </w:rPr>
              <w:br/>
            </w:r>
            <w:r w:rsidRPr="00B86EAD">
              <w:rPr>
                <w:b w:val="0"/>
                <w:color w:val="FFFFFF" w:themeColor="background1"/>
                <w:sz w:val="18"/>
                <w:szCs w:val="18"/>
              </w:rPr>
              <w:t>(m</w:t>
            </w:r>
            <w:r w:rsidRPr="00B86EAD">
              <w:rPr>
                <w:b w:val="0"/>
                <w:color w:val="FFFFFF" w:themeColor="background1"/>
                <w:sz w:val="18"/>
                <w:szCs w:val="18"/>
                <w:lang w:val="en-US"/>
              </w:rPr>
              <w:t>ax</w:t>
            </w:r>
            <w:r w:rsidRPr="00B86EAD">
              <w:rPr>
                <w:b w:val="0"/>
                <w:color w:val="FFFFFF" w:themeColor="background1"/>
                <w:sz w:val="18"/>
                <w:szCs w:val="18"/>
              </w:rPr>
              <w:t xml:space="preserve"> </w:t>
            </w:r>
            <w:r w:rsidRPr="00B86EAD">
              <w:rPr>
                <w:b w:val="0"/>
                <w:color w:val="FFFFFF" w:themeColor="background1"/>
                <w:sz w:val="18"/>
                <w:szCs w:val="18"/>
                <w:lang w:val="en-US"/>
              </w:rPr>
              <w:t>18</w:t>
            </w:r>
            <w:r w:rsidRPr="00B86EAD">
              <w:rPr>
                <w:b w:val="0"/>
                <w:color w:val="FFFFFF" w:themeColor="background1"/>
                <w:sz w:val="18"/>
                <w:szCs w:val="18"/>
              </w:rPr>
              <w:t xml:space="preserve">, </w:t>
            </w:r>
            <w:r w:rsidRPr="00B86EAD">
              <w:rPr>
                <w:b w:val="0"/>
                <w:color w:val="FFFFFF" w:themeColor="background1"/>
                <w:sz w:val="18"/>
                <w:szCs w:val="18"/>
                <w:lang w:val="en-US"/>
              </w:rPr>
              <w:br/>
            </w:r>
            <w:r w:rsidRPr="00B86EAD">
              <w:rPr>
                <w:b w:val="0"/>
                <w:color w:val="FFFFFF" w:themeColor="background1"/>
                <w:sz w:val="18"/>
                <w:szCs w:val="18"/>
              </w:rPr>
              <w:t>ø</w:t>
            </w:r>
            <w:r w:rsidRPr="00B86EAD">
              <w:rPr>
                <w:b w:val="0"/>
                <w:color w:val="FFFFFF" w:themeColor="background1"/>
                <w:sz w:val="18"/>
                <w:szCs w:val="18"/>
                <w:lang w:val="en-US"/>
              </w:rPr>
              <w:t xml:space="preserve"> 14,5</w:t>
            </w:r>
            <w:r w:rsidRPr="00B86EAD">
              <w:rPr>
                <w:b w:val="0"/>
                <w:color w:val="FFFFFF" w:themeColor="background1"/>
                <w:sz w:val="18"/>
                <w:szCs w:val="18"/>
              </w:rPr>
              <w:t>)</w:t>
            </w:r>
          </w:p>
        </w:tc>
        <w:tc>
          <w:tcPr>
            <w:tcW w:w="832"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B86EAD"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 xml:space="preserve">Cíle </w:t>
            </w:r>
            <w:r w:rsidR="008640BE" w:rsidRPr="00B86EAD">
              <w:rPr>
                <w:b w:val="0"/>
                <w:color w:val="FFFFFF" w:themeColor="background1"/>
                <w:sz w:val="18"/>
                <w:szCs w:val="18"/>
              </w:rPr>
              <w:t>(m</w:t>
            </w:r>
            <w:r w:rsidR="008640BE" w:rsidRPr="00B86EAD">
              <w:rPr>
                <w:b w:val="0"/>
                <w:color w:val="FFFFFF" w:themeColor="background1"/>
                <w:sz w:val="18"/>
                <w:szCs w:val="18"/>
                <w:lang w:val="en-US"/>
              </w:rPr>
              <w:t>ax</w:t>
            </w:r>
            <w:r w:rsidR="008640BE" w:rsidRPr="00B86EAD">
              <w:rPr>
                <w:b w:val="0"/>
                <w:color w:val="FFFFFF" w:themeColor="background1"/>
                <w:sz w:val="18"/>
                <w:szCs w:val="18"/>
              </w:rPr>
              <w:t xml:space="preserve"> </w:t>
            </w:r>
            <w:r w:rsidR="008640BE" w:rsidRPr="00B86EAD">
              <w:rPr>
                <w:b w:val="0"/>
                <w:color w:val="FFFFFF" w:themeColor="background1"/>
                <w:sz w:val="18"/>
                <w:szCs w:val="18"/>
                <w:lang w:val="en-US"/>
              </w:rPr>
              <w:t>12</w:t>
            </w:r>
            <w:r w:rsidR="008640BE" w:rsidRPr="00B86EAD">
              <w:rPr>
                <w:b w:val="0"/>
                <w:color w:val="FFFFFF" w:themeColor="background1"/>
                <w:sz w:val="18"/>
                <w:szCs w:val="18"/>
              </w:rPr>
              <w:t xml:space="preserve">, </w:t>
            </w:r>
            <w:r w:rsidR="008640BE" w:rsidRPr="00B86EAD">
              <w:rPr>
                <w:b w:val="0"/>
                <w:color w:val="FFFFFF" w:themeColor="background1"/>
                <w:sz w:val="18"/>
                <w:szCs w:val="18"/>
                <w:lang w:val="en-US"/>
              </w:rPr>
              <w:br/>
            </w:r>
            <w:r w:rsidR="008640BE" w:rsidRPr="00B86EAD">
              <w:rPr>
                <w:b w:val="0"/>
                <w:color w:val="FFFFFF" w:themeColor="background1"/>
                <w:sz w:val="18"/>
                <w:szCs w:val="18"/>
              </w:rPr>
              <w:t>ø</w:t>
            </w:r>
            <w:r w:rsidR="008640BE" w:rsidRPr="00B86EAD">
              <w:rPr>
                <w:b w:val="0"/>
                <w:color w:val="FFFFFF" w:themeColor="background1"/>
                <w:sz w:val="18"/>
                <w:szCs w:val="18"/>
                <w:lang w:val="en-US"/>
              </w:rPr>
              <w:t xml:space="preserve"> 9,1</w:t>
            </w:r>
            <w:r w:rsidR="008640BE" w:rsidRPr="00B86EAD">
              <w:rPr>
                <w:b w:val="0"/>
                <w:color w:val="FFFFFF" w:themeColor="background1"/>
                <w:sz w:val="18"/>
                <w:szCs w:val="18"/>
              </w:rPr>
              <w:t>)</w:t>
            </w:r>
          </w:p>
        </w:tc>
        <w:tc>
          <w:tcPr>
            <w:tcW w:w="832"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Posun (m</w:t>
            </w:r>
            <w:r w:rsidRPr="00B86EAD">
              <w:rPr>
                <w:b w:val="0"/>
                <w:color w:val="FFFFFF" w:themeColor="background1"/>
                <w:sz w:val="18"/>
                <w:szCs w:val="18"/>
                <w:lang w:val="en-US"/>
              </w:rPr>
              <w:t>ax</w:t>
            </w:r>
            <w:r w:rsidRPr="00B86EAD">
              <w:rPr>
                <w:b w:val="0"/>
                <w:color w:val="FFFFFF" w:themeColor="background1"/>
                <w:sz w:val="18"/>
                <w:szCs w:val="18"/>
              </w:rPr>
              <w:t xml:space="preserve"> </w:t>
            </w:r>
            <w:r w:rsidRPr="00B86EAD">
              <w:rPr>
                <w:b w:val="0"/>
                <w:color w:val="FFFFFF" w:themeColor="background1"/>
                <w:sz w:val="18"/>
                <w:szCs w:val="18"/>
                <w:lang w:val="en-US"/>
              </w:rPr>
              <w:t>10</w:t>
            </w:r>
            <w:r w:rsidRPr="00B86EAD">
              <w:rPr>
                <w:b w:val="0"/>
                <w:color w:val="FFFFFF" w:themeColor="background1"/>
                <w:sz w:val="18"/>
                <w:szCs w:val="18"/>
              </w:rPr>
              <w:t xml:space="preserve">, </w:t>
            </w:r>
            <w:r w:rsidRPr="00B86EAD">
              <w:rPr>
                <w:b w:val="0"/>
                <w:color w:val="FFFFFF" w:themeColor="background1"/>
                <w:sz w:val="18"/>
                <w:szCs w:val="18"/>
                <w:lang w:val="en-US"/>
              </w:rPr>
              <w:br/>
            </w:r>
            <w:r w:rsidRPr="00B86EAD">
              <w:rPr>
                <w:b w:val="0"/>
                <w:color w:val="FFFFFF" w:themeColor="background1"/>
                <w:sz w:val="18"/>
                <w:szCs w:val="18"/>
              </w:rPr>
              <w:t>ø</w:t>
            </w:r>
            <w:r w:rsidRPr="00B86EAD">
              <w:rPr>
                <w:b w:val="0"/>
                <w:color w:val="FFFFFF" w:themeColor="background1"/>
                <w:sz w:val="18"/>
                <w:szCs w:val="18"/>
                <w:lang w:val="en-US"/>
              </w:rPr>
              <w:t xml:space="preserve"> 7,4</w:t>
            </w:r>
            <w:r w:rsidRPr="00B86EAD">
              <w:rPr>
                <w:b w:val="0"/>
                <w:color w:val="FFFFFF" w:themeColor="background1"/>
                <w:sz w:val="18"/>
                <w:szCs w:val="18"/>
              </w:rPr>
              <w:t>)</w:t>
            </w:r>
          </w:p>
        </w:tc>
        <w:tc>
          <w:tcPr>
            <w:tcW w:w="97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Absorpce (m</w:t>
            </w:r>
            <w:r w:rsidRPr="00B86EAD">
              <w:rPr>
                <w:b w:val="0"/>
                <w:color w:val="FFFFFF" w:themeColor="background1"/>
                <w:sz w:val="18"/>
                <w:szCs w:val="18"/>
                <w:lang w:val="en-US"/>
              </w:rPr>
              <w:t>ax</w:t>
            </w:r>
            <w:r w:rsidRPr="00B86EAD">
              <w:rPr>
                <w:b w:val="0"/>
                <w:color w:val="FFFFFF" w:themeColor="background1"/>
                <w:sz w:val="18"/>
                <w:szCs w:val="18"/>
              </w:rPr>
              <w:t xml:space="preserve"> </w:t>
            </w:r>
            <w:r w:rsidRPr="00B86EAD">
              <w:rPr>
                <w:b w:val="0"/>
                <w:color w:val="FFFFFF" w:themeColor="background1"/>
                <w:sz w:val="18"/>
                <w:szCs w:val="18"/>
                <w:lang w:val="en-US"/>
              </w:rPr>
              <w:t>20</w:t>
            </w:r>
            <w:r w:rsidRPr="00B86EAD">
              <w:rPr>
                <w:b w:val="0"/>
                <w:color w:val="FFFFFF" w:themeColor="background1"/>
                <w:sz w:val="18"/>
                <w:szCs w:val="18"/>
              </w:rPr>
              <w:t xml:space="preserve">, </w:t>
            </w:r>
            <w:r w:rsidRPr="00B86EAD">
              <w:rPr>
                <w:b w:val="0"/>
                <w:color w:val="FFFFFF" w:themeColor="background1"/>
                <w:sz w:val="18"/>
                <w:szCs w:val="18"/>
                <w:lang w:val="en-US"/>
              </w:rPr>
              <w:br/>
            </w:r>
            <w:r w:rsidRPr="00B86EAD">
              <w:rPr>
                <w:b w:val="0"/>
                <w:color w:val="FFFFFF" w:themeColor="background1"/>
                <w:sz w:val="18"/>
                <w:szCs w:val="18"/>
              </w:rPr>
              <w:t>ø</w:t>
            </w:r>
            <w:r w:rsidRPr="00B86EAD">
              <w:rPr>
                <w:b w:val="0"/>
                <w:color w:val="FFFFFF" w:themeColor="background1"/>
                <w:sz w:val="18"/>
                <w:szCs w:val="18"/>
                <w:lang w:val="en-US"/>
              </w:rPr>
              <w:t xml:space="preserve"> 14,8</w:t>
            </w:r>
            <w:r w:rsidRPr="00B86EAD">
              <w:rPr>
                <w:b w:val="0"/>
                <w:color w:val="FFFFFF" w:themeColor="background1"/>
                <w:sz w:val="18"/>
                <w:szCs w:val="18"/>
              </w:rPr>
              <w:t>)</w:t>
            </w:r>
          </w:p>
        </w:tc>
        <w:tc>
          <w:tcPr>
            <w:tcW w:w="72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hideMark/>
          </w:tcPr>
          <w:p w:rsidR="008640BE" w:rsidRPr="00B86EAD" w:rsidRDefault="008640BE" w:rsidP="008640BE">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B86EAD">
              <w:rPr>
                <w:b w:val="0"/>
                <w:color w:val="FFFFFF" w:themeColor="background1"/>
                <w:sz w:val="18"/>
                <w:szCs w:val="18"/>
              </w:rPr>
              <w:t xml:space="preserve">Alt. </w:t>
            </w:r>
            <w:r w:rsidRPr="00B86EAD">
              <w:rPr>
                <w:b w:val="0"/>
                <w:color w:val="FFFFFF" w:themeColor="background1"/>
                <w:sz w:val="18"/>
                <w:szCs w:val="18"/>
                <w:lang w:val="en-US"/>
              </w:rPr>
              <w:t>Z</w:t>
            </w:r>
            <w:r w:rsidRPr="00B86EAD">
              <w:rPr>
                <w:b w:val="0"/>
                <w:color w:val="FFFFFF" w:themeColor="background1"/>
                <w:sz w:val="18"/>
                <w:szCs w:val="18"/>
              </w:rPr>
              <w:t>droje (m</w:t>
            </w:r>
            <w:r w:rsidRPr="00B86EAD">
              <w:rPr>
                <w:b w:val="0"/>
                <w:color w:val="FFFFFF" w:themeColor="background1"/>
                <w:sz w:val="18"/>
                <w:szCs w:val="18"/>
                <w:lang w:val="en-US"/>
              </w:rPr>
              <w:t>ax</w:t>
            </w:r>
            <w:r w:rsidRPr="00B86EAD">
              <w:rPr>
                <w:b w:val="0"/>
                <w:color w:val="FFFFFF" w:themeColor="background1"/>
                <w:sz w:val="18"/>
                <w:szCs w:val="18"/>
              </w:rPr>
              <w:t xml:space="preserve"> </w:t>
            </w:r>
            <w:r w:rsidRPr="00B86EAD">
              <w:rPr>
                <w:b w:val="0"/>
                <w:color w:val="FFFFFF" w:themeColor="background1"/>
                <w:sz w:val="18"/>
                <w:szCs w:val="18"/>
                <w:lang w:val="en-US"/>
              </w:rPr>
              <w:t>12</w:t>
            </w:r>
            <w:r w:rsidRPr="00B86EAD">
              <w:rPr>
                <w:b w:val="0"/>
                <w:color w:val="FFFFFF" w:themeColor="background1"/>
                <w:sz w:val="18"/>
                <w:szCs w:val="18"/>
              </w:rPr>
              <w:t xml:space="preserve">, </w:t>
            </w:r>
            <w:r w:rsidRPr="00B86EAD">
              <w:rPr>
                <w:b w:val="0"/>
                <w:color w:val="FFFFFF" w:themeColor="background1"/>
                <w:sz w:val="18"/>
                <w:szCs w:val="18"/>
                <w:lang w:val="en-US"/>
              </w:rPr>
              <w:br/>
            </w:r>
            <w:r w:rsidRPr="00B86EAD">
              <w:rPr>
                <w:b w:val="0"/>
                <w:color w:val="FFFFFF" w:themeColor="background1"/>
                <w:sz w:val="18"/>
                <w:szCs w:val="18"/>
              </w:rPr>
              <w:t>ø</w:t>
            </w:r>
            <w:r w:rsidRPr="00B86EAD">
              <w:rPr>
                <w:b w:val="0"/>
                <w:color w:val="FFFFFF" w:themeColor="background1"/>
                <w:sz w:val="18"/>
                <w:szCs w:val="18"/>
                <w:lang w:val="en-US"/>
              </w:rPr>
              <w:t xml:space="preserve"> 8,4</w:t>
            </w:r>
            <w:r w:rsidRPr="00B86EAD">
              <w:rPr>
                <w:b w:val="0"/>
                <w:color w:val="FFFFFF" w:themeColor="background1"/>
                <w:sz w:val="18"/>
                <w:szCs w:val="18"/>
              </w:rPr>
              <w:t>)</w:t>
            </w:r>
          </w:p>
        </w:tc>
      </w:tr>
      <w:tr w:rsidR="00B86EAD" w:rsidRPr="004D28DA" w:rsidTr="00062678">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694" w:type="dxa"/>
            <w:tcBorders>
              <w:top w:val="single" w:sz="24" w:space="0" w:color="FFFFFF" w:themeColor="background1"/>
              <w:left w:val="none" w:sz="0" w:space="0" w:color="auto"/>
              <w:bottom w:val="single" w:sz="24" w:space="0" w:color="FFFFFF" w:themeColor="background1"/>
            </w:tcBorders>
            <w:shd w:val="clear" w:color="auto" w:fill="4F81BD"/>
            <w:noWrap/>
            <w:vAlign w:val="center"/>
          </w:tcPr>
          <w:p w:rsidR="008640BE" w:rsidRPr="00B86EAD" w:rsidRDefault="008640BE" w:rsidP="00B86EAD">
            <w:pPr>
              <w:jc w:val="left"/>
              <w:rPr>
                <w:rFonts w:eastAsia="Times New Roman"/>
                <w:b/>
                <w:i w:val="0"/>
                <w:color w:val="FFFFFF" w:themeColor="background1"/>
                <w:lang w:eastAsia="cs-CZ"/>
              </w:rPr>
            </w:pPr>
            <w:r w:rsidRPr="00B86EAD">
              <w:rPr>
                <w:rFonts w:eastAsia="Times New Roman"/>
                <w:b/>
                <w:i w:val="0"/>
                <w:color w:val="FFFFFF" w:themeColor="background1"/>
                <w:lang w:eastAsia="cs-CZ"/>
              </w:rPr>
              <w:t>Posun k nízkouhlíkovému hospodářství</w:t>
            </w:r>
          </w:p>
        </w:tc>
        <w:tc>
          <w:tcPr>
            <w:tcW w:w="1076"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76,7</w:t>
            </w:r>
          </w:p>
        </w:tc>
        <w:tc>
          <w:tcPr>
            <w:tcW w:w="1007"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24,9</w:t>
            </w:r>
          </w:p>
        </w:tc>
        <w:tc>
          <w:tcPr>
            <w:tcW w:w="937"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15,0</w:t>
            </w:r>
          </w:p>
        </w:tc>
        <w:tc>
          <w:tcPr>
            <w:tcW w:w="832"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8,2</w:t>
            </w:r>
          </w:p>
        </w:tc>
        <w:tc>
          <w:tcPr>
            <w:tcW w:w="832"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7,1</w:t>
            </w:r>
          </w:p>
        </w:tc>
        <w:tc>
          <w:tcPr>
            <w:tcW w:w="977"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14,0</w:t>
            </w:r>
          </w:p>
        </w:tc>
        <w:tc>
          <w:tcPr>
            <w:tcW w:w="727" w:type="dxa"/>
            <w:tcBorders>
              <w:top w:val="single" w:sz="24" w:space="0" w:color="FFFFFF" w:themeColor="background1"/>
              <w:bottom w:val="single" w:sz="24" w:space="0" w:color="FFFFFF" w:themeColor="background1"/>
            </w:tcBorders>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7,6</w:t>
            </w:r>
          </w:p>
        </w:tc>
      </w:tr>
      <w:tr w:rsidR="00EF5CE2" w:rsidRPr="004D28DA" w:rsidTr="00062678">
        <w:trPr>
          <w:trHeight w:val="360"/>
        </w:trPr>
        <w:tc>
          <w:tcPr>
            <w:cnfStyle w:val="001000000000" w:firstRow="0" w:lastRow="0" w:firstColumn="1" w:lastColumn="0" w:oddVBand="0" w:evenVBand="0" w:oddHBand="0" w:evenHBand="0" w:firstRowFirstColumn="0" w:firstRowLastColumn="0" w:lastRowFirstColumn="0" w:lastRowLastColumn="0"/>
            <w:tcW w:w="2694" w:type="dxa"/>
            <w:tcBorders>
              <w:top w:val="single" w:sz="24" w:space="0" w:color="FFFFFF" w:themeColor="background1"/>
              <w:left w:val="none" w:sz="0" w:space="0" w:color="auto"/>
              <w:bottom w:val="none" w:sz="0" w:space="0" w:color="auto"/>
            </w:tcBorders>
            <w:shd w:val="clear" w:color="auto" w:fill="4F81BD"/>
            <w:vAlign w:val="center"/>
            <w:hideMark/>
          </w:tcPr>
          <w:p w:rsidR="008640BE" w:rsidRPr="00B86EAD" w:rsidRDefault="008640BE" w:rsidP="00B86EAD">
            <w:pPr>
              <w:jc w:val="left"/>
              <w:rPr>
                <w:i w:val="0"/>
                <w:color w:val="FFFFFF" w:themeColor="background1"/>
              </w:rPr>
            </w:pPr>
            <w:r w:rsidRPr="00B86EAD">
              <w:rPr>
                <w:i w:val="0"/>
                <w:color w:val="FFFFFF" w:themeColor="background1"/>
              </w:rPr>
              <w:t>Zvýšení energetické účinnosti a úspory energie</w:t>
            </w:r>
          </w:p>
        </w:tc>
        <w:tc>
          <w:tcPr>
            <w:tcW w:w="1076"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rPr>
                <w:b/>
              </w:rPr>
            </w:pPr>
            <w:r w:rsidRPr="005C08A9">
              <w:rPr>
                <w:b/>
              </w:rPr>
              <w:t>81,5</w:t>
            </w:r>
          </w:p>
        </w:tc>
        <w:tc>
          <w:tcPr>
            <w:tcW w:w="1007"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26,6</w:t>
            </w:r>
          </w:p>
        </w:tc>
        <w:tc>
          <w:tcPr>
            <w:tcW w:w="937"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15,7</w:t>
            </w:r>
          </w:p>
        </w:tc>
        <w:tc>
          <w:tcPr>
            <w:tcW w:w="832"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9,4</w:t>
            </w:r>
          </w:p>
        </w:tc>
        <w:tc>
          <w:tcPr>
            <w:tcW w:w="832"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7,9</w:t>
            </w:r>
          </w:p>
        </w:tc>
        <w:tc>
          <w:tcPr>
            <w:tcW w:w="977"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13,4</w:t>
            </w:r>
          </w:p>
        </w:tc>
        <w:tc>
          <w:tcPr>
            <w:tcW w:w="727" w:type="dxa"/>
            <w:tcBorders>
              <w:top w:val="single" w:sz="24" w:space="0" w:color="FFFFFF" w:themeColor="background1"/>
            </w:tcBorders>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8,5</w:t>
            </w:r>
          </w:p>
        </w:tc>
      </w:tr>
      <w:tr w:rsidR="00EF5CE2" w:rsidRPr="004D28DA" w:rsidTr="00062678">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bottom w:val="none" w:sz="0" w:space="0" w:color="auto"/>
            </w:tcBorders>
            <w:shd w:val="clear" w:color="auto" w:fill="4F81BD"/>
            <w:vAlign w:val="center"/>
            <w:hideMark/>
          </w:tcPr>
          <w:p w:rsidR="008640BE" w:rsidRPr="00B86EAD" w:rsidRDefault="008640BE" w:rsidP="00B86EAD">
            <w:pPr>
              <w:jc w:val="left"/>
              <w:rPr>
                <w:i w:val="0"/>
                <w:color w:val="FFFFFF" w:themeColor="background1"/>
              </w:rPr>
            </w:pPr>
            <w:r w:rsidRPr="00B86EAD">
              <w:rPr>
                <w:i w:val="0"/>
                <w:color w:val="FFFFFF" w:themeColor="background1"/>
              </w:rPr>
              <w:t xml:space="preserve">Podpora vzniku </w:t>
            </w:r>
            <w:r w:rsidR="00EF5CE2">
              <w:rPr>
                <w:i w:val="0"/>
                <w:color w:val="FFFFFF" w:themeColor="background1"/>
              </w:rPr>
              <w:br/>
            </w:r>
            <w:r w:rsidRPr="00B86EAD">
              <w:rPr>
                <w:i w:val="0"/>
                <w:color w:val="FFFFFF" w:themeColor="background1"/>
              </w:rPr>
              <w:t xml:space="preserve">a zavádění inovativních nízkouhlíkových technologií a efektivní </w:t>
            </w:r>
            <w:r w:rsidR="00B86EAD" w:rsidRPr="00B86EAD">
              <w:rPr>
                <w:i w:val="0"/>
                <w:color w:val="FFFFFF" w:themeColor="background1"/>
              </w:rPr>
              <w:br/>
            </w:r>
            <w:r w:rsidRPr="00B86EAD">
              <w:rPr>
                <w:i w:val="0"/>
                <w:color w:val="FFFFFF" w:themeColor="background1"/>
              </w:rPr>
              <w:t>a šetrné využívání obnovitelných zdrojů energie</w:t>
            </w:r>
          </w:p>
        </w:tc>
        <w:tc>
          <w:tcPr>
            <w:tcW w:w="1076"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78,8</w:t>
            </w:r>
          </w:p>
        </w:tc>
        <w:tc>
          <w:tcPr>
            <w:tcW w:w="100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26,2</w:t>
            </w:r>
          </w:p>
        </w:tc>
        <w:tc>
          <w:tcPr>
            <w:tcW w:w="93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13,8</w:t>
            </w:r>
          </w:p>
        </w:tc>
        <w:tc>
          <w:tcPr>
            <w:tcW w:w="832"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9,2</w:t>
            </w:r>
          </w:p>
        </w:tc>
        <w:tc>
          <w:tcPr>
            <w:tcW w:w="832"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7,2</w:t>
            </w:r>
          </w:p>
        </w:tc>
        <w:tc>
          <w:tcPr>
            <w:tcW w:w="97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15,1</w:t>
            </w:r>
          </w:p>
        </w:tc>
        <w:tc>
          <w:tcPr>
            <w:tcW w:w="72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7,3</w:t>
            </w:r>
          </w:p>
        </w:tc>
      </w:tr>
      <w:tr w:rsidR="00EF5CE2" w:rsidRPr="004D28DA" w:rsidTr="00062678">
        <w:trPr>
          <w:trHeight w:val="108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bottom w:val="none" w:sz="0" w:space="0" w:color="auto"/>
            </w:tcBorders>
            <w:shd w:val="clear" w:color="auto" w:fill="4F81BD"/>
            <w:vAlign w:val="center"/>
            <w:hideMark/>
          </w:tcPr>
          <w:p w:rsidR="008640BE" w:rsidRPr="00B86EAD" w:rsidRDefault="008640BE" w:rsidP="00B86EAD">
            <w:pPr>
              <w:jc w:val="left"/>
              <w:rPr>
                <w:i w:val="0"/>
                <w:color w:val="FFFFFF" w:themeColor="background1"/>
              </w:rPr>
            </w:pPr>
            <w:r w:rsidRPr="00B86EAD">
              <w:rPr>
                <w:i w:val="0"/>
                <w:color w:val="FFFFFF" w:themeColor="background1"/>
              </w:rPr>
              <w:t xml:space="preserve">Zavedení moderních </w:t>
            </w:r>
            <w:r w:rsidR="00EF5CE2">
              <w:rPr>
                <w:i w:val="0"/>
                <w:color w:val="FFFFFF" w:themeColor="background1"/>
              </w:rPr>
              <w:br/>
            </w:r>
            <w:r w:rsidRPr="00B86EAD">
              <w:rPr>
                <w:i w:val="0"/>
                <w:color w:val="FFFFFF" w:themeColor="background1"/>
              </w:rPr>
              <w:t>a vysoce účinných způsobů výroby, distribuce a akumulace tepelné energie</w:t>
            </w:r>
          </w:p>
        </w:tc>
        <w:tc>
          <w:tcPr>
            <w:tcW w:w="1076"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rPr>
                <w:b/>
              </w:rPr>
            </w:pPr>
            <w:r w:rsidRPr="005C08A9">
              <w:rPr>
                <w:b/>
              </w:rPr>
              <w:t>73,7</w:t>
            </w:r>
          </w:p>
        </w:tc>
        <w:tc>
          <w:tcPr>
            <w:tcW w:w="1007"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23,6</w:t>
            </w:r>
          </w:p>
        </w:tc>
        <w:tc>
          <w:tcPr>
            <w:tcW w:w="937"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14,8</w:t>
            </w:r>
          </w:p>
        </w:tc>
        <w:tc>
          <w:tcPr>
            <w:tcW w:w="832"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7,0</w:t>
            </w:r>
          </w:p>
        </w:tc>
        <w:tc>
          <w:tcPr>
            <w:tcW w:w="832"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6,0</w:t>
            </w:r>
          </w:p>
        </w:tc>
        <w:tc>
          <w:tcPr>
            <w:tcW w:w="977"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14,6</w:t>
            </w:r>
          </w:p>
        </w:tc>
        <w:tc>
          <w:tcPr>
            <w:tcW w:w="727" w:type="dxa"/>
            <w:shd w:val="clear" w:color="auto" w:fill="D0D8E8"/>
            <w:noWrap/>
            <w:vAlign w:val="center"/>
          </w:tcPr>
          <w:p w:rsidR="008640BE" w:rsidRPr="005C08A9" w:rsidRDefault="008640BE" w:rsidP="008640BE">
            <w:pPr>
              <w:jc w:val="center"/>
              <w:cnfStyle w:val="000000000000" w:firstRow="0" w:lastRow="0" w:firstColumn="0" w:lastColumn="0" w:oddVBand="0" w:evenVBand="0" w:oddHBand="0" w:evenHBand="0" w:firstRowFirstColumn="0" w:firstRowLastColumn="0" w:lastRowFirstColumn="0" w:lastRowLastColumn="0"/>
            </w:pPr>
            <w:r w:rsidRPr="005C08A9">
              <w:t>7,7</w:t>
            </w:r>
          </w:p>
        </w:tc>
      </w:tr>
      <w:tr w:rsidR="00EF5CE2" w:rsidRPr="004D28DA" w:rsidTr="00062678">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bottom w:val="none" w:sz="0" w:space="0" w:color="auto"/>
            </w:tcBorders>
            <w:shd w:val="clear" w:color="auto" w:fill="4F81BD"/>
            <w:vAlign w:val="center"/>
            <w:hideMark/>
          </w:tcPr>
          <w:p w:rsidR="008640BE" w:rsidRPr="00B86EAD" w:rsidRDefault="008640BE" w:rsidP="00B86EAD">
            <w:pPr>
              <w:jc w:val="left"/>
              <w:rPr>
                <w:i w:val="0"/>
                <w:color w:val="FFFFFF" w:themeColor="background1"/>
              </w:rPr>
            </w:pPr>
            <w:r w:rsidRPr="00B86EAD">
              <w:rPr>
                <w:i w:val="0"/>
                <w:color w:val="FFFFFF" w:themeColor="background1"/>
              </w:rPr>
              <w:t xml:space="preserve">Modernizace </w:t>
            </w:r>
            <w:r w:rsidR="00EF5CE2">
              <w:rPr>
                <w:i w:val="0"/>
                <w:color w:val="FFFFFF" w:themeColor="background1"/>
              </w:rPr>
              <w:br/>
            </w:r>
            <w:r w:rsidRPr="00B86EAD">
              <w:rPr>
                <w:i w:val="0"/>
                <w:color w:val="FFFFFF" w:themeColor="background1"/>
              </w:rPr>
              <w:t>a zefektivnění výroby, přenosu, přepravy, distribuce a akumulace energie</w:t>
            </w:r>
          </w:p>
        </w:tc>
        <w:tc>
          <w:tcPr>
            <w:tcW w:w="1076"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rPr>
                <w:b/>
              </w:rPr>
            </w:pPr>
            <w:r w:rsidRPr="005C08A9">
              <w:rPr>
                <w:b/>
              </w:rPr>
              <w:t>72,8</w:t>
            </w:r>
          </w:p>
        </w:tc>
        <w:tc>
          <w:tcPr>
            <w:tcW w:w="100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23,3</w:t>
            </w:r>
          </w:p>
        </w:tc>
        <w:tc>
          <w:tcPr>
            <w:tcW w:w="93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15,6</w:t>
            </w:r>
          </w:p>
        </w:tc>
        <w:tc>
          <w:tcPr>
            <w:tcW w:w="832"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7,0</w:t>
            </w:r>
          </w:p>
        </w:tc>
        <w:tc>
          <w:tcPr>
            <w:tcW w:w="832"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7,2</w:t>
            </w:r>
          </w:p>
        </w:tc>
        <w:tc>
          <w:tcPr>
            <w:tcW w:w="97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12,7</w:t>
            </w:r>
          </w:p>
        </w:tc>
        <w:tc>
          <w:tcPr>
            <w:tcW w:w="727" w:type="dxa"/>
            <w:shd w:val="clear" w:color="auto" w:fill="D0D8E8"/>
            <w:noWrap/>
            <w:vAlign w:val="center"/>
          </w:tcPr>
          <w:p w:rsidR="008640BE" w:rsidRPr="005C08A9" w:rsidRDefault="008640BE" w:rsidP="008640BE">
            <w:pPr>
              <w:jc w:val="center"/>
              <w:cnfStyle w:val="000000100000" w:firstRow="0" w:lastRow="0" w:firstColumn="0" w:lastColumn="0" w:oddVBand="0" w:evenVBand="0" w:oddHBand="1" w:evenHBand="0" w:firstRowFirstColumn="0" w:firstRowLastColumn="0" w:lastRowFirstColumn="0" w:lastRowLastColumn="0"/>
            </w:pPr>
            <w:r w:rsidRPr="005C08A9">
              <w:t>7,0</w:t>
            </w:r>
          </w:p>
        </w:tc>
      </w:tr>
    </w:tbl>
    <w:p w:rsidR="008640BE" w:rsidRPr="00A9356E" w:rsidRDefault="008640BE" w:rsidP="008640BE">
      <w:pPr>
        <w:rPr>
          <w:sz w:val="22"/>
        </w:rPr>
      </w:pPr>
      <w:r w:rsidRPr="00A9356E">
        <w:rPr>
          <w:sz w:val="22"/>
        </w:rPr>
        <w:t xml:space="preserve">Nadprůměrně je hodnocen cíl </w:t>
      </w:r>
      <w:r w:rsidRPr="00A9356E">
        <w:rPr>
          <w:i/>
          <w:sz w:val="22"/>
        </w:rPr>
        <w:t>Zvýšení energetické účinnosti a úspory energie</w:t>
      </w:r>
      <w:r w:rsidRPr="00A9356E">
        <w:rPr>
          <w:sz w:val="22"/>
        </w:rPr>
        <w:t>, který vykazuje nadprůměrné hodnoty ve většině kritérií, zejména v kritériu důležitosti a strategiích, v obou zároveň nejvýše v oblasti energetiky, což je dáno významem pro plnění klimaticko energetických cílů EU i cílů v rámci udržitelného rozvoje. Cíl je maximálně v souladu s</w:t>
      </w:r>
      <w:r w:rsidR="00394921">
        <w:rPr>
          <w:sz w:val="22"/>
        </w:rPr>
        <w:t> </w:t>
      </w:r>
      <w:r w:rsidRPr="00A9356E">
        <w:rPr>
          <w:sz w:val="22"/>
        </w:rPr>
        <w:t>megatrendy, má nadprůměrnou územní dimenzi a silnou vazbu na průřezová témata i</w:t>
      </w:r>
      <w:r w:rsidR="00394921">
        <w:rPr>
          <w:sz w:val="22"/>
        </w:rPr>
        <w:t> </w:t>
      </w:r>
      <w:r w:rsidRPr="00A9356E">
        <w:rPr>
          <w:sz w:val="22"/>
        </w:rPr>
        <w:t>Country report. Existují zde dlouhodobější strategie s jasně danými cíli. Cíl má však spíše podprůměrnou absorpční kapacitu, danou patrně menším zájmem v segmentu podnikatelů a</w:t>
      </w:r>
      <w:r w:rsidR="00394921">
        <w:rPr>
          <w:sz w:val="22"/>
        </w:rPr>
        <w:t> </w:t>
      </w:r>
      <w:r w:rsidRPr="00A9356E">
        <w:rPr>
          <w:sz w:val="22"/>
        </w:rPr>
        <w:t>bytových domů, připravenost projektů je pak spíše průměrná. Vzhledem k tomu, že segment residenčních domů bude v budoucím období financován z programu Nová zelená úsporám státního rozpočtu, je do budoucna nutné v rámci EU fondů zvýšit zejména zájem firem a</w:t>
      </w:r>
      <w:r w:rsidR="00394921">
        <w:rPr>
          <w:sz w:val="22"/>
        </w:rPr>
        <w:t> </w:t>
      </w:r>
      <w:r w:rsidRPr="00A9356E">
        <w:rPr>
          <w:sz w:val="22"/>
        </w:rPr>
        <w:t>podnikatelů o projekty zaměřené na úspory energie.</w:t>
      </w:r>
    </w:p>
    <w:p w:rsidR="008640BE" w:rsidRPr="00A9356E" w:rsidRDefault="008640BE" w:rsidP="008640BE">
      <w:pPr>
        <w:rPr>
          <w:sz w:val="22"/>
        </w:rPr>
      </w:pPr>
      <w:r w:rsidRPr="00A9356E">
        <w:rPr>
          <w:sz w:val="22"/>
        </w:rPr>
        <w:t xml:space="preserve">Cíl </w:t>
      </w:r>
      <w:r w:rsidRPr="00A9356E">
        <w:rPr>
          <w:i/>
          <w:sz w:val="22"/>
        </w:rPr>
        <w:t>Podpora vzniku a zavádění inovativních nízkouhlíkových technologií a efektivní a šetrné využívání obnovitelných zdrojů energie</w:t>
      </w:r>
      <w:r w:rsidRPr="00A9356E">
        <w:rPr>
          <w:sz w:val="22"/>
        </w:rPr>
        <w:t xml:space="preserve"> je hodnocen spíše na průměrné úrovni. V důležitosti je hodnocen nadprůměrně, těsně za energetickou účinností, vysoce je hodnocen ve vazbě na udržitelný rozvoj, megatrendy, cíle obecného nařízení a průřezová témata. Nadprůměrný je z hlediska územní dimenze a reflexe Country reportu, mírně nadprůměrná je </w:t>
      </w:r>
      <w:r w:rsidR="00394921">
        <w:rPr>
          <w:sz w:val="22"/>
        </w:rPr>
        <w:t xml:space="preserve">také </w:t>
      </w:r>
      <w:r w:rsidRPr="00A9356E">
        <w:rPr>
          <w:sz w:val="22"/>
        </w:rPr>
        <w:t>absorpce, přičemž čerpání spíše zaostávalo v OZE, zejména v OP PIK, naopak v oblasti nových nízkouhlíkových technologiích se čerpalo dobře. Připravenost projektů a zájem příjemců jsou nadprůměrné, bariérou je omezení podpory pro velké podniky. V oblasti strategií si naopak vede lehce podprůměrně, stejně jako v otázce využití jiných zdrojů (využití unijních programů je spíše průměrné).</w:t>
      </w:r>
    </w:p>
    <w:p w:rsidR="008640BE" w:rsidRPr="00A9356E" w:rsidRDefault="008640BE" w:rsidP="008640BE">
      <w:pPr>
        <w:rPr>
          <w:sz w:val="22"/>
        </w:rPr>
      </w:pPr>
      <w:r w:rsidRPr="00A9356E">
        <w:rPr>
          <w:i/>
          <w:sz w:val="22"/>
        </w:rPr>
        <w:t>Zavedení moderních a vysoce účinných způsobů výroby, distribuce a akumulace tepelné energie</w:t>
      </w:r>
      <w:r w:rsidRPr="00A9356E">
        <w:rPr>
          <w:sz w:val="22"/>
        </w:rPr>
        <w:t xml:space="preserve"> si stojí ve většině kritérií lehce podprůměrně, u absorpce to je zřejmě dáno možností podporovat pouze rozvody v účinných soustavách a nikoliv zdroje, které spadají pod EU ETS, a tedy menším zájmem ze strany teplárenských společností. V důležitosti je teplárenství nadprůměrné, zejména z hlediska udržitelného rozvoje a ve vazbě na průřezová témata i globální megatrendy. Je zde jasná vazba na klimatické i energetické cíle EU. Z hlediska územní dimenze </w:t>
      </w:r>
      <w:r w:rsidR="00394921">
        <w:rPr>
          <w:sz w:val="22"/>
        </w:rPr>
        <w:t>j</w:t>
      </w:r>
      <w:r w:rsidRPr="00A9356E">
        <w:rPr>
          <w:sz w:val="22"/>
        </w:rPr>
        <w:t>e cíl středně významný.</w:t>
      </w:r>
    </w:p>
    <w:p w:rsidR="008640BE" w:rsidRPr="00A9356E" w:rsidRDefault="008640BE" w:rsidP="008640BE">
      <w:pPr>
        <w:rPr>
          <w:sz w:val="22"/>
        </w:rPr>
      </w:pPr>
      <w:r w:rsidRPr="00A9356E">
        <w:rPr>
          <w:sz w:val="22"/>
        </w:rPr>
        <w:t xml:space="preserve">Nejníže a rovněž celkově podprůměrně je hodnocen cíl </w:t>
      </w:r>
      <w:r w:rsidRPr="00A9356E">
        <w:rPr>
          <w:i/>
          <w:sz w:val="22"/>
        </w:rPr>
        <w:t>Modernizace a zefektivnění výroby, přenosu, přepravy, distribuce a akumulace energie.</w:t>
      </w:r>
      <w:r w:rsidRPr="00A9356E">
        <w:rPr>
          <w:sz w:val="22"/>
        </w:rPr>
        <w:t xml:space="preserve"> Nadprůměrně je vnímán jak celkově tak v rámci oblasti z hlediska důležitosti (zejména vazby na udržitelný rozvoj, průřezová témata, megatrendy a politické cíle obecného nařízení) a vazby na dlouhodobé a detailně zpracované strategie. V ostatních kritériích je však cíl podprůměrný a nejnižší v rámci </w:t>
      </w:r>
      <w:r w:rsidR="000D53C2">
        <w:rPr>
          <w:sz w:val="22"/>
        </w:rPr>
        <w:t xml:space="preserve">dané </w:t>
      </w:r>
      <w:r w:rsidRPr="00A9356E">
        <w:rPr>
          <w:sz w:val="22"/>
        </w:rPr>
        <w:t>oblasti, nižší je zejména absorpce a širší možnosti alternativního financování</w:t>
      </w:r>
      <w:r w:rsidR="00BF1141" w:rsidRPr="00A9356E">
        <w:rPr>
          <w:sz w:val="22"/>
        </w:rPr>
        <w:t>, zejmé</w:t>
      </w:r>
      <w:r w:rsidR="00363118" w:rsidRPr="00A9356E">
        <w:rPr>
          <w:sz w:val="22"/>
        </w:rPr>
        <w:t>na z Unijních programů (C</w:t>
      </w:r>
      <w:r w:rsidR="00BF1141" w:rsidRPr="00A9356E">
        <w:rPr>
          <w:sz w:val="22"/>
        </w:rPr>
        <w:t>EF) a vlastních zdrojů</w:t>
      </w:r>
      <w:r w:rsidRPr="00A9356E">
        <w:rPr>
          <w:sz w:val="22"/>
        </w:rPr>
        <w:t xml:space="preserve">. </w:t>
      </w:r>
    </w:p>
    <w:p w:rsidR="008640BE" w:rsidRPr="00A9356E" w:rsidRDefault="008640BE" w:rsidP="008640BE">
      <w:pPr>
        <w:rPr>
          <w:sz w:val="22"/>
        </w:rPr>
      </w:pPr>
      <w:r w:rsidRPr="00A9356E">
        <w:rPr>
          <w:sz w:val="22"/>
        </w:rPr>
        <w:t xml:space="preserve">V oblasti posunu k nízkouhlíkovému hospodářství je řada středně významných bariér, například nízký zájem ze strany příjemců. S EK rovněž probíhají diskuze ohledně možných výjimek ze zákazu financování velkých podniků. Velmi limitující je nařízení EK, které například v teplárenství neumožňuje podpořit výměny nebo přechod z uhelných na ekologičtější plynové zdroje. </w:t>
      </w:r>
    </w:p>
    <w:p w:rsidR="00553C8C" w:rsidRPr="00A9356E"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Doprava</w:t>
      </w:r>
    </w:p>
    <w:tbl>
      <w:tblPr>
        <w:tblW w:w="9214" w:type="dxa"/>
        <w:tblInd w:w="141" w:type="dxa"/>
        <w:tblCellMar>
          <w:left w:w="0" w:type="dxa"/>
          <w:right w:w="0" w:type="dxa"/>
        </w:tblCellMar>
        <w:tblLook w:val="04A0" w:firstRow="1" w:lastRow="0" w:firstColumn="1" w:lastColumn="0" w:noHBand="0" w:noVBand="1"/>
      </w:tblPr>
      <w:tblGrid>
        <w:gridCol w:w="2127"/>
        <w:gridCol w:w="957"/>
        <w:gridCol w:w="1095"/>
        <w:gridCol w:w="1017"/>
        <w:gridCol w:w="937"/>
        <w:gridCol w:w="948"/>
        <w:gridCol w:w="1061"/>
        <w:gridCol w:w="1072"/>
      </w:tblGrid>
      <w:tr w:rsidR="00E94393" w:rsidRPr="00553C8C" w:rsidTr="00B86EAD">
        <w:trPr>
          <w:trHeight w:val="1319"/>
        </w:trPr>
        <w:tc>
          <w:tcPr>
            <w:tcW w:w="212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41" w:type="dxa"/>
              <w:bottom w:w="0" w:type="dxa"/>
              <w:right w:w="141" w:type="dxa"/>
            </w:tcMar>
            <w:hideMark/>
          </w:tcPr>
          <w:p w:rsidR="00553C8C" w:rsidRPr="00A9356E" w:rsidRDefault="00553C8C">
            <w:pPr>
              <w:rPr>
                <w:rFonts w:eastAsia="Times New Roman"/>
                <w:lang w:eastAsia="cs-CZ"/>
              </w:rPr>
            </w:pPr>
          </w:p>
        </w:tc>
        <w:tc>
          <w:tcPr>
            <w:tcW w:w="95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 xml:space="preserve">Celkem (max 100, </w:t>
            </w:r>
            <w:r w:rsidRPr="00AF016B">
              <w:rPr>
                <w:rFonts w:eastAsia="Times New Roman"/>
                <w:color w:val="FFFFFF" w:themeColor="background1"/>
                <w:sz w:val="18"/>
                <w:lang w:eastAsia="cs-CZ"/>
              </w:rPr>
              <w:br/>
              <w:t>ø 76,9)</w:t>
            </w:r>
          </w:p>
        </w:tc>
        <w:tc>
          <w:tcPr>
            <w:tcW w:w="10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Důležitost (max 28, ø 22,9)</w:t>
            </w:r>
          </w:p>
        </w:tc>
        <w:tc>
          <w:tcPr>
            <w:tcW w:w="10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Strategie</w:t>
            </w:r>
            <w:r w:rsidRPr="00AF016B">
              <w:rPr>
                <w:rFonts w:eastAsia="Times New Roman"/>
                <w:color w:val="FFFFFF" w:themeColor="background1"/>
                <w:sz w:val="18"/>
                <w:lang w:eastAsia="cs-CZ"/>
              </w:rPr>
              <w:br/>
              <w:t xml:space="preserve">(max 18, </w:t>
            </w:r>
            <w:r w:rsidRPr="00AF016B">
              <w:rPr>
                <w:rFonts w:eastAsia="Times New Roman"/>
                <w:color w:val="FFFFFF" w:themeColor="background1"/>
                <w:sz w:val="18"/>
                <w:lang w:eastAsia="cs-CZ"/>
              </w:rPr>
              <w:br/>
              <w:t>ø 14,5)</w:t>
            </w:r>
          </w:p>
        </w:tc>
        <w:tc>
          <w:tcPr>
            <w:tcW w:w="93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Cíle</w:t>
            </w:r>
            <w:r w:rsidR="009E3951" w:rsidRPr="00AF016B">
              <w:rPr>
                <w:rFonts w:eastAsia="Times New Roman"/>
                <w:color w:val="FFFFFF" w:themeColor="background1"/>
                <w:sz w:val="18"/>
                <w:lang w:eastAsia="cs-CZ"/>
              </w:rPr>
              <w:t xml:space="preserve"> </w:t>
            </w:r>
            <w:r w:rsidRPr="00AF016B">
              <w:rPr>
                <w:rFonts w:eastAsia="Times New Roman"/>
                <w:color w:val="FFFFFF" w:themeColor="background1"/>
                <w:sz w:val="18"/>
                <w:lang w:eastAsia="cs-CZ"/>
              </w:rPr>
              <w:t xml:space="preserve">(max 12, </w:t>
            </w:r>
            <w:r w:rsidRPr="00AF016B">
              <w:rPr>
                <w:rFonts w:eastAsia="Times New Roman"/>
                <w:color w:val="FFFFFF" w:themeColor="background1"/>
                <w:sz w:val="18"/>
                <w:lang w:eastAsia="cs-CZ"/>
              </w:rPr>
              <w:br/>
              <w:t>ø 9,1)</w:t>
            </w:r>
          </w:p>
        </w:tc>
        <w:tc>
          <w:tcPr>
            <w:tcW w:w="94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Posun</w:t>
            </w:r>
            <w:r w:rsidR="009E3951" w:rsidRPr="00AF016B">
              <w:rPr>
                <w:rFonts w:eastAsia="Times New Roman"/>
                <w:color w:val="FFFFFF" w:themeColor="background1"/>
                <w:sz w:val="18"/>
                <w:lang w:eastAsia="cs-CZ"/>
              </w:rPr>
              <w:t xml:space="preserve"> </w:t>
            </w:r>
            <w:r w:rsidRPr="00AF016B">
              <w:rPr>
                <w:rFonts w:eastAsia="Times New Roman"/>
                <w:color w:val="FFFFFF" w:themeColor="background1"/>
                <w:sz w:val="18"/>
                <w:lang w:eastAsia="cs-CZ"/>
              </w:rPr>
              <w:t xml:space="preserve">(max 10, </w:t>
            </w:r>
            <w:r w:rsidRPr="00AF016B">
              <w:rPr>
                <w:rFonts w:eastAsia="Times New Roman"/>
                <w:color w:val="FFFFFF" w:themeColor="background1"/>
                <w:sz w:val="18"/>
                <w:lang w:eastAsia="cs-CZ"/>
              </w:rPr>
              <w:br/>
              <w:t>ø 7,4)</w:t>
            </w:r>
          </w:p>
        </w:tc>
        <w:tc>
          <w:tcPr>
            <w:tcW w:w="106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Absorpce</w:t>
            </w:r>
            <w:r w:rsidR="009E3951" w:rsidRPr="00AF016B">
              <w:rPr>
                <w:rFonts w:eastAsia="Times New Roman"/>
                <w:color w:val="FFFFFF" w:themeColor="background1"/>
                <w:sz w:val="18"/>
                <w:lang w:eastAsia="cs-CZ"/>
              </w:rPr>
              <w:t xml:space="preserve"> </w:t>
            </w:r>
            <w:r w:rsidRPr="00AF016B">
              <w:rPr>
                <w:rFonts w:eastAsia="Times New Roman"/>
                <w:color w:val="FFFFFF" w:themeColor="background1"/>
                <w:sz w:val="18"/>
                <w:lang w:eastAsia="cs-CZ"/>
              </w:rPr>
              <w:t xml:space="preserve">(max 20, </w:t>
            </w:r>
            <w:r w:rsidRPr="00AF016B">
              <w:rPr>
                <w:rFonts w:eastAsia="Times New Roman"/>
                <w:color w:val="FFFFFF" w:themeColor="background1"/>
                <w:sz w:val="18"/>
                <w:lang w:eastAsia="cs-CZ"/>
              </w:rPr>
              <w:br/>
              <w:t>ø 14,8)</w:t>
            </w:r>
          </w:p>
        </w:tc>
        <w:tc>
          <w:tcPr>
            <w:tcW w:w="107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Alt. zdroje</w:t>
            </w:r>
          </w:p>
          <w:p w:rsidR="00553C8C" w:rsidRPr="00AF016B" w:rsidRDefault="00553C8C" w:rsidP="009E3951">
            <w:pPr>
              <w:jc w:val="center"/>
              <w:rPr>
                <w:rFonts w:eastAsia="Times New Roman"/>
                <w:color w:val="FFFFFF" w:themeColor="background1"/>
                <w:sz w:val="18"/>
                <w:lang w:eastAsia="cs-CZ"/>
              </w:rPr>
            </w:pPr>
            <w:r w:rsidRPr="00AF016B">
              <w:rPr>
                <w:rFonts w:eastAsia="Times New Roman"/>
                <w:color w:val="FFFFFF" w:themeColor="background1"/>
                <w:sz w:val="18"/>
                <w:lang w:eastAsia="cs-CZ"/>
              </w:rPr>
              <w:t xml:space="preserve">(max 12, </w:t>
            </w:r>
            <w:r w:rsidRPr="00AF016B">
              <w:rPr>
                <w:rFonts w:eastAsia="Times New Roman"/>
                <w:color w:val="FFFFFF" w:themeColor="background1"/>
                <w:sz w:val="18"/>
                <w:lang w:eastAsia="cs-CZ"/>
              </w:rPr>
              <w:br/>
              <w:t>ø 8,4)</w:t>
            </w:r>
          </w:p>
        </w:tc>
      </w:tr>
      <w:tr w:rsidR="00E94393" w:rsidRPr="00553C8C" w:rsidTr="00062678">
        <w:trPr>
          <w:trHeight w:val="525"/>
        </w:trPr>
        <w:tc>
          <w:tcPr>
            <w:tcW w:w="2127" w:type="dxa"/>
            <w:tcBorders>
              <w:top w:val="single" w:sz="24" w:space="0" w:color="FFFFFF"/>
              <w:left w:val="single" w:sz="8" w:space="0" w:color="FFFFFF"/>
              <w:bottom w:val="single" w:sz="24" w:space="0" w:color="FFFFFF" w:themeColor="background1"/>
              <w:right w:val="single" w:sz="8" w:space="0" w:color="FFFFFF"/>
            </w:tcBorders>
            <w:shd w:val="clear" w:color="auto" w:fill="4F81BD"/>
            <w:tcMar>
              <w:top w:w="15" w:type="dxa"/>
              <w:left w:w="141" w:type="dxa"/>
              <w:bottom w:w="0" w:type="dxa"/>
              <w:right w:w="141" w:type="dxa"/>
            </w:tcMar>
            <w:hideMark/>
          </w:tcPr>
          <w:p w:rsidR="00B86EAD" w:rsidRPr="00AF016B" w:rsidRDefault="00553C8C" w:rsidP="00A9356E">
            <w:pPr>
              <w:jc w:val="left"/>
              <w:rPr>
                <w:rFonts w:eastAsia="Times New Roman"/>
                <w:b/>
                <w:color w:val="FFFFFF" w:themeColor="background1"/>
                <w:lang w:eastAsia="cs-CZ"/>
              </w:rPr>
            </w:pPr>
            <w:r w:rsidRPr="00AF016B">
              <w:rPr>
                <w:rFonts w:eastAsia="Times New Roman"/>
                <w:b/>
                <w:color w:val="FFFFFF" w:themeColor="background1"/>
                <w:lang w:eastAsia="cs-CZ"/>
              </w:rPr>
              <w:t>Doprava</w:t>
            </w:r>
          </w:p>
        </w:tc>
        <w:tc>
          <w:tcPr>
            <w:tcW w:w="957"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77,8</w:t>
            </w:r>
          </w:p>
        </w:tc>
        <w:tc>
          <w:tcPr>
            <w:tcW w:w="1095"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24,1</w:t>
            </w:r>
          </w:p>
        </w:tc>
        <w:tc>
          <w:tcPr>
            <w:tcW w:w="1017"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14,9</w:t>
            </w:r>
          </w:p>
        </w:tc>
        <w:tc>
          <w:tcPr>
            <w:tcW w:w="937"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8,9</w:t>
            </w:r>
          </w:p>
        </w:tc>
        <w:tc>
          <w:tcPr>
            <w:tcW w:w="948"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7,0</w:t>
            </w:r>
          </w:p>
        </w:tc>
        <w:tc>
          <w:tcPr>
            <w:tcW w:w="1061"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15,2</w:t>
            </w:r>
          </w:p>
        </w:tc>
        <w:tc>
          <w:tcPr>
            <w:tcW w:w="1072"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7,7</w:t>
            </w:r>
          </w:p>
        </w:tc>
      </w:tr>
      <w:tr w:rsidR="00E94393" w:rsidRPr="00553C8C" w:rsidTr="00B86EAD">
        <w:trPr>
          <w:trHeight w:val="700"/>
        </w:trPr>
        <w:tc>
          <w:tcPr>
            <w:tcW w:w="2127" w:type="dxa"/>
            <w:tcBorders>
              <w:top w:val="single" w:sz="24" w:space="0" w:color="FFFFFF" w:themeColor="background1"/>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Rozvoj a zkvalitnění dopravní infrastruktury</w:t>
            </w:r>
          </w:p>
        </w:tc>
        <w:tc>
          <w:tcPr>
            <w:tcW w:w="957"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85,7</w:t>
            </w:r>
          </w:p>
        </w:tc>
        <w:tc>
          <w:tcPr>
            <w:tcW w:w="1095"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24,7</w:t>
            </w:r>
          </w:p>
        </w:tc>
        <w:tc>
          <w:tcPr>
            <w:tcW w:w="1017"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17,3</w:t>
            </w:r>
          </w:p>
        </w:tc>
        <w:tc>
          <w:tcPr>
            <w:tcW w:w="937"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9,9</w:t>
            </w:r>
          </w:p>
        </w:tc>
        <w:tc>
          <w:tcPr>
            <w:tcW w:w="948"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8,6</w:t>
            </w:r>
          </w:p>
        </w:tc>
        <w:tc>
          <w:tcPr>
            <w:tcW w:w="1061"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17,7</w:t>
            </w:r>
          </w:p>
        </w:tc>
        <w:tc>
          <w:tcPr>
            <w:tcW w:w="107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7,6</w:t>
            </w:r>
          </w:p>
        </w:tc>
      </w:tr>
      <w:tr w:rsidR="00E94393" w:rsidRPr="00553C8C" w:rsidTr="009E3951">
        <w:trPr>
          <w:trHeight w:val="513"/>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Rozvoj a zlepšení integrace dopravy</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85,2</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27,2</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15,4</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9,1</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7,5</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17,2</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8,8</w:t>
            </w:r>
          </w:p>
        </w:tc>
      </w:tr>
      <w:tr w:rsidR="00E94393" w:rsidRPr="00553C8C" w:rsidTr="00B86EAD">
        <w:trPr>
          <w:trHeight w:val="698"/>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Zvýšení využití a dostupnosti alternativních paliv v dopravě</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78,2</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23,5</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14,9</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9,8</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7,5</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15,1</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7,3</w:t>
            </w:r>
          </w:p>
        </w:tc>
      </w:tr>
      <w:tr w:rsidR="00E94393" w:rsidRPr="00553C8C" w:rsidTr="009E3951">
        <w:trPr>
          <w:trHeight w:val="698"/>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Využívání vozidel s alternativním pohonem ve veřejné dopravě</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78,9</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23,4</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14,6</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9,1</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7,4</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15,2</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9,2</w:t>
            </w:r>
          </w:p>
        </w:tc>
      </w:tr>
      <w:tr w:rsidR="00E94393" w:rsidRPr="00553C8C" w:rsidTr="00B86EAD">
        <w:trPr>
          <w:trHeight w:val="937"/>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Zavedení moderních technologií pro organizaci dopravy a snížení dopravní zátěže</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b/>
                <w:lang w:eastAsia="cs-CZ"/>
              </w:rPr>
            </w:pPr>
            <w:r w:rsidRPr="00A9356E">
              <w:rPr>
                <w:rFonts w:eastAsia="Times New Roman"/>
                <w:b/>
                <w:lang w:eastAsia="cs-CZ"/>
              </w:rPr>
              <w:t>74,5</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24,4</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14,4</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9,1</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6,8</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13,2</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1" w:type="dxa"/>
              <w:bottom w:w="0" w:type="dxa"/>
              <w:right w:w="141" w:type="dxa"/>
            </w:tcMar>
            <w:hideMark/>
          </w:tcPr>
          <w:p w:rsidR="00553C8C" w:rsidRPr="00A9356E" w:rsidRDefault="00553C8C" w:rsidP="00A9356E">
            <w:pPr>
              <w:jc w:val="center"/>
              <w:rPr>
                <w:rFonts w:eastAsia="Times New Roman"/>
                <w:lang w:eastAsia="cs-CZ"/>
              </w:rPr>
            </w:pPr>
            <w:r w:rsidRPr="00A9356E">
              <w:rPr>
                <w:rFonts w:eastAsia="Times New Roman"/>
                <w:lang w:eastAsia="cs-CZ"/>
              </w:rPr>
              <w:t>6,6</w:t>
            </w:r>
          </w:p>
        </w:tc>
      </w:tr>
      <w:tr w:rsidR="00E94393" w:rsidRPr="00553C8C" w:rsidTr="009E3951">
        <w:trPr>
          <w:trHeight w:val="515"/>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Rozvoj bezmotorové dopravy</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b/>
                <w:lang w:eastAsia="cs-CZ"/>
              </w:rPr>
            </w:pPr>
            <w:r w:rsidRPr="00A9356E">
              <w:rPr>
                <w:rFonts w:eastAsia="Times New Roman"/>
                <w:b/>
                <w:lang w:eastAsia="cs-CZ"/>
              </w:rPr>
              <w:t>71,2</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22,2</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11,3</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7,0</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5,6</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17,5</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7,6</w:t>
            </w:r>
          </w:p>
        </w:tc>
      </w:tr>
      <w:tr w:rsidR="00E94393" w:rsidRPr="00553C8C" w:rsidTr="00B86EAD">
        <w:trPr>
          <w:trHeight w:val="538"/>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1" w:type="dxa"/>
              <w:bottom w:w="0" w:type="dxa"/>
              <w:right w:w="141" w:type="dxa"/>
            </w:tcMar>
            <w:hideMark/>
          </w:tcPr>
          <w:p w:rsidR="00553C8C" w:rsidRPr="00AF016B" w:rsidRDefault="00553C8C" w:rsidP="00A9356E">
            <w:pPr>
              <w:jc w:val="left"/>
              <w:rPr>
                <w:rFonts w:eastAsia="Times New Roman"/>
                <w:color w:val="FFFFFF" w:themeColor="background1"/>
                <w:lang w:eastAsia="cs-CZ"/>
              </w:rPr>
            </w:pPr>
            <w:r w:rsidRPr="00AF016B">
              <w:rPr>
                <w:rFonts w:eastAsia="Times New Roman"/>
                <w:color w:val="FFFFFF" w:themeColor="background1"/>
                <w:lang w:eastAsia="cs-CZ"/>
              </w:rPr>
              <w:t>Efektivní využití multimodální nákladní dopravy</w:t>
            </w:r>
          </w:p>
        </w:tc>
        <w:tc>
          <w:tcPr>
            <w:tcW w:w="95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b/>
                <w:lang w:eastAsia="cs-CZ"/>
              </w:rPr>
            </w:pPr>
            <w:r w:rsidRPr="00A9356E">
              <w:rPr>
                <w:rFonts w:eastAsia="Times New Roman"/>
                <w:b/>
                <w:lang w:eastAsia="cs-CZ"/>
              </w:rPr>
              <w:t>71,1</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23,7</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16,5</w:t>
            </w:r>
          </w:p>
        </w:tc>
        <w:tc>
          <w:tcPr>
            <w:tcW w:w="93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8,2</w:t>
            </w:r>
          </w:p>
        </w:tc>
        <w:tc>
          <w:tcPr>
            <w:tcW w:w="9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5,3</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10,6</w:t>
            </w:r>
          </w:p>
        </w:tc>
        <w:tc>
          <w:tcPr>
            <w:tcW w:w="10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bottom"/>
            <w:hideMark/>
          </w:tcPr>
          <w:p w:rsidR="00553C8C" w:rsidRPr="00A9356E" w:rsidRDefault="00553C8C" w:rsidP="00A9356E">
            <w:pPr>
              <w:jc w:val="center"/>
              <w:rPr>
                <w:rFonts w:eastAsia="Times New Roman"/>
                <w:lang w:eastAsia="cs-CZ"/>
              </w:rPr>
            </w:pPr>
            <w:r w:rsidRPr="00A9356E">
              <w:rPr>
                <w:rFonts w:eastAsia="Times New Roman"/>
                <w:lang w:eastAsia="cs-CZ"/>
              </w:rPr>
              <w:t>6,8</w:t>
            </w:r>
          </w:p>
        </w:tc>
      </w:tr>
    </w:tbl>
    <w:p w:rsidR="00140E48" w:rsidRPr="00A9356E" w:rsidRDefault="00140E48" w:rsidP="00A9356E">
      <w:pPr>
        <w:rPr>
          <w:sz w:val="22"/>
          <w:szCs w:val="22"/>
        </w:rPr>
      </w:pPr>
      <w:r w:rsidRPr="00A9356E">
        <w:rPr>
          <w:sz w:val="22"/>
          <w:szCs w:val="22"/>
        </w:rPr>
        <w:t xml:space="preserve">Oblast dopravy je nákladným a dlouhodobým tématem vzhledem </w:t>
      </w:r>
      <w:r w:rsidR="002F21AA" w:rsidRPr="00A9356E">
        <w:rPr>
          <w:sz w:val="22"/>
          <w:szCs w:val="22"/>
        </w:rPr>
        <w:t>k zanedbání základní infrastruktury v minulém století a také kvůli novým výzvám v tomto století: otevření ČR jako tranzitní země pro ostatní státy, nárůst</w:t>
      </w:r>
      <w:r w:rsidR="00A416C4">
        <w:rPr>
          <w:sz w:val="22"/>
          <w:szCs w:val="22"/>
        </w:rPr>
        <w:t>u</w:t>
      </w:r>
      <w:r w:rsidR="002F21AA" w:rsidRPr="00A9356E">
        <w:rPr>
          <w:sz w:val="22"/>
          <w:szCs w:val="22"/>
        </w:rPr>
        <w:t xml:space="preserve"> </w:t>
      </w:r>
      <w:r w:rsidR="000D53C2">
        <w:rPr>
          <w:sz w:val="22"/>
          <w:szCs w:val="22"/>
        </w:rPr>
        <w:t xml:space="preserve">osobní i nákladní </w:t>
      </w:r>
      <w:r w:rsidR="002F21AA" w:rsidRPr="00A9356E">
        <w:rPr>
          <w:sz w:val="22"/>
          <w:szCs w:val="22"/>
        </w:rPr>
        <w:t xml:space="preserve">dopravy, rostoucí náklady na obnovu, snižování energetické náročnosti a snižování emisí resp. reakce na změny v oblasti klimatu. </w:t>
      </w:r>
      <w:r w:rsidR="00AC62B9" w:rsidRPr="00A9356E">
        <w:rPr>
          <w:sz w:val="22"/>
          <w:szCs w:val="22"/>
        </w:rPr>
        <w:t xml:space="preserve">Oblast dopravy je z důvodu dlouhodobého plánování pokryta </w:t>
      </w:r>
      <w:r w:rsidR="00E74ADC">
        <w:rPr>
          <w:sz w:val="22"/>
          <w:szCs w:val="22"/>
        </w:rPr>
        <w:t>velmi dobře strategickými dokumenty.</w:t>
      </w:r>
    </w:p>
    <w:p w:rsidR="00AC62B9" w:rsidRPr="00B86EAD" w:rsidRDefault="00AC62B9" w:rsidP="00A9356E">
      <w:pPr>
        <w:rPr>
          <w:sz w:val="22"/>
          <w:szCs w:val="22"/>
        </w:rPr>
      </w:pPr>
      <w:r w:rsidRPr="00B86EAD">
        <w:rPr>
          <w:sz w:val="22"/>
          <w:szCs w:val="22"/>
        </w:rPr>
        <w:t xml:space="preserve">Z tohoto důvodu v rámci celé tematické oblasti vychází jako vysoce hodnocené dva související SC a to SC Rozvoj a zkvalitnění dopravní infrastruktury a SC Rozvoj a zlepšení integrace dopravy. V obou případech jsou adresátem financování stát a krajské samosprávy, v některých případech i obecní samosprávy. </w:t>
      </w:r>
      <w:r w:rsidR="0084716C" w:rsidRPr="00B86EAD">
        <w:rPr>
          <w:sz w:val="22"/>
          <w:szCs w:val="22"/>
        </w:rPr>
        <w:t>Oba SC dopadly v rámci této oblasti velmi dobře zejména díky parametrům důležitosti a pokrytí strategickými dokumenty a také vysokou absorpční kapacitou (zejména dopravní infrastruktura – zásobník projektů).</w:t>
      </w:r>
    </w:p>
    <w:p w:rsidR="0084716C" w:rsidRPr="00B86EAD" w:rsidRDefault="00D52A46" w:rsidP="00A9356E">
      <w:pPr>
        <w:rPr>
          <w:sz w:val="22"/>
          <w:szCs w:val="22"/>
        </w:rPr>
      </w:pPr>
      <w:r w:rsidRPr="00B86EAD">
        <w:rPr>
          <w:sz w:val="22"/>
          <w:szCs w:val="22"/>
        </w:rPr>
        <w:t>Na opačné straně hodnocení dopad</w:t>
      </w:r>
      <w:r w:rsidR="00146F39" w:rsidRPr="00B86EAD">
        <w:rPr>
          <w:sz w:val="22"/>
          <w:szCs w:val="22"/>
        </w:rPr>
        <w:t>l</w:t>
      </w:r>
      <w:r w:rsidRPr="00B86EAD">
        <w:rPr>
          <w:sz w:val="22"/>
          <w:szCs w:val="22"/>
        </w:rPr>
        <w:t>y</w:t>
      </w:r>
      <w:r w:rsidR="00146F39" w:rsidRPr="00B86EAD">
        <w:rPr>
          <w:sz w:val="22"/>
          <w:szCs w:val="22"/>
        </w:rPr>
        <w:t xml:space="preserve"> nejhůře</w:t>
      </w:r>
      <w:r w:rsidRPr="00B86EAD">
        <w:rPr>
          <w:sz w:val="22"/>
          <w:szCs w:val="22"/>
        </w:rPr>
        <w:t xml:space="preserve"> SC Rozvoj bezmotorové dopravy a SC Efektivní využití multimodální nákladní doprav</w:t>
      </w:r>
      <w:r w:rsidR="00146F39" w:rsidRPr="00B86EAD">
        <w:rPr>
          <w:sz w:val="22"/>
          <w:szCs w:val="22"/>
        </w:rPr>
        <w:t xml:space="preserve">y. Multimodální nákladní doprava byť hodnocena v parametrech důležitosti a strategie lépe než bezmotorová doprava, tak silně </w:t>
      </w:r>
      <w:r w:rsidR="00B86EAD">
        <w:rPr>
          <w:sz w:val="22"/>
          <w:szCs w:val="22"/>
        </w:rPr>
        <w:br/>
      </w:r>
      <w:r w:rsidR="00146F39" w:rsidRPr="00B86EAD">
        <w:rPr>
          <w:sz w:val="22"/>
          <w:szCs w:val="22"/>
        </w:rPr>
        <w:t xml:space="preserve">za ostatním </w:t>
      </w:r>
      <w:r w:rsidR="00EA561E">
        <w:rPr>
          <w:sz w:val="22"/>
          <w:szCs w:val="22"/>
        </w:rPr>
        <w:t>zaostává</w:t>
      </w:r>
      <w:r w:rsidR="00EA561E" w:rsidRPr="00B86EAD">
        <w:rPr>
          <w:sz w:val="22"/>
          <w:szCs w:val="22"/>
        </w:rPr>
        <w:t xml:space="preserve"> </w:t>
      </w:r>
      <w:r w:rsidR="00146F39" w:rsidRPr="00B86EAD">
        <w:rPr>
          <w:sz w:val="22"/>
          <w:szCs w:val="22"/>
        </w:rPr>
        <w:t>zejména v parametru absorpční kapacity (o podporu přepravních jednotek sice zájem u dopravců je, nicméně u budování terminálů kombinované přepravy je z důvodu zajištění veřejného přístupu</w:t>
      </w:r>
      <w:r w:rsidR="00142937" w:rsidRPr="00B86EAD">
        <w:rPr>
          <w:sz w:val="22"/>
          <w:szCs w:val="22"/>
        </w:rPr>
        <w:t xml:space="preserve"> poptávka minimální) a také u parametru průkaznosti účelnosti/účinnosti podpory.</w:t>
      </w:r>
      <w:r w:rsidR="00146F39" w:rsidRPr="00B86EAD">
        <w:rPr>
          <w:sz w:val="22"/>
          <w:szCs w:val="22"/>
        </w:rPr>
        <w:t xml:space="preserve"> V tomto SC tak bude zapotřebí dostatečně masivní komunikace a osvěta s hlavními hráči na trhu, případně zapojení národního dopravce v nákladní dopravě ČD Cargo.</w:t>
      </w:r>
      <w:r w:rsidR="00084CC5" w:rsidRPr="00B86EAD">
        <w:rPr>
          <w:sz w:val="22"/>
          <w:szCs w:val="22"/>
        </w:rPr>
        <w:t xml:space="preserve"> </w:t>
      </w:r>
      <w:r w:rsidR="00EA561E" w:rsidRPr="00E816C0">
        <w:rPr>
          <w:sz w:val="22"/>
          <w:szCs w:val="22"/>
        </w:rPr>
        <w:t>Výše uvedené problémy společně s možnými riziky v oblasti veřejné podpory jsou důvodem pro skutečnost, aby intervence v oblasti multimodální nákladní dopravy nebyly předmětem podpory v období 2021 – 2027.</w:t>
      </w:r>
      <w:r w:rsidR="00EA561E">
        <w:rPr>
          <w:sz w:val="22"/>
          <w:szCs w:val="22"/>
        </w:rPr>
        <w:t xml:space="preserve"> </w:t>
      </w:r>
      <w:r w:rsidR="00084CC5" w:rsidRPr="00B86EAD">
        <w:rPr>
          <w:sz w:val="22"/>
          <w:szCs w:val="22"/>
        </w:rPr>
        <w:t xml:space="preserve">U bezmotorové dopravy </w:t>
      </w:r>
      <w:r w:rsidR="000D53C2">
        <w:rPr>
          <w:sz w:val="22"/>
          <w:szCs w:val="22"/>
        </w:rPr>
        <w:t xml:space="preserve">vychází </w:t>
      </w:r>
      <w:r w:rsidR="00084CC5" w:rsidRPr="00B86EAD">
        <w:rPr>
          <w:sz w:val="22"/>
          <w:szCs w:val="22"/>
        </w:rPr>
        <w:t xml:space="preserve">problémové hodnocení zejména </w:t>
      </w:r>
      <w:r w:rsidR="000D53C2">
        <w:rPr>
          <w:sz w:val="22"/>
          <w:szCs w:val="22"/>
        </w:rPr>
        <w:t>z</w:t>
      </w:r>
      <w:r w:rsidR="00084CC5" w:rsidRPr="00B86EAD">
        <w:rPr>
          <w:sz w:val="22"/>
          <w:szCs w:val="22"/>
        </w:rPr>
        <w:t xml:space="preserve"> neaktualizované národní koncepce cyklodopravy a také </w:t>
      </w:r>
      <w:r w:rsidR="000D53C2">
        <w:rPr>
          <w:sz w:val="22"/>
          <w:szCs w:val="22"/>
        </w:rPr>
        <w:t> z toho</w:t>
      </w:r>
      <w:r w:rsidR="00084CC5" w:rsidRPr="00B86EAD">
        <w:rPr>
          <w:sz w:val="22"/>
          <w:szCs w:val="22"/>
        </w:rPr>
        <w:t xml:space="preserve">, že </w:t>
      </w:r>
      <w:r w:rsidR="000D53C2">
        <w:rPr>
          <w:sz w:val="22"/>
          <w:szCs w:val="22"/>
        </w:rPr>
        <w:t>dané</w:t>
      </w:r>
      <w:r w:rsidR="000D53C2" w:rsidRPr="00B86EAD">
        <w:rPr>
          <w:sz w:val="22"/>
          <w:szCs w:val="22"/>
        </w:rPr>
        <w:t xml:space="preserve"> </w:t>
      </w:r>
      <w:r w:rsidR="00084CC5" w:rsidRPr="00B86EAD">
        <w:rPr>
          <w:sz w:val="22"/>
          <w:szCs w:val="22"/>
        </w:rPr>
        <w:t>téma je roztříštěno mezi aktivity jednotlivých měst/obcí a případně krajů, tudíž velmi často vznikají nespojité úseky cyklostezek. Celorepublikově není vnímán přínos jako zásadní, i když absorpční kapacita je relativně dosti vysoká. Zejména velká města mohou profitovat z cyklodopravy jako významného příspěvku k rozvoji udržitelnosti dopravy na jejich území a v okolí. Na národní úrovni by měla být zajištěna podpora koordinace mezi jednotlivými kraji a dálkovými cyklotrasami, zejména ve vazbě na udržitelný cestovní ruch.</w:t>
      </w:r>
      <w:r w:rsidR="003666AD">
        <w:rPr>
          <w:sz w:val="22"/>
          <w:szCs w:val="22"/>
        </w:rPr>
        <w:t xml:space="preserve"> Na úrovni měst nelze opomenout i systémy hromadné dopravy osob, které skýtají velký potenciál v oblasti využívání vozidel s alternativním pohonem.</w:t>
      </w:r>
    </w:p>
    <w:p w:rsidR="00AE7366" w:rsidRDefault="00084CC5" w:rsidP="00A9356E">
      <w:pPr>
        <w:rPr>
          <w:sz w:val="22"/>
          <w:szCs w:val="22"/>
        </w:rPr>
      </w:pPr>
      <w:r w:rsidRPr="00B86EAD">
        <w:rPr>
          <w:sz w:val="22"/>
          <w:szCs w:val="22"/>
        </w:rPr>
        <w:t xml:space="preserve">Středně hodnoceny byly v této oblasti SC s vazbou na nové výzvy souvisejících s nárůstem dopravy (spotřebou energií, zátěží z dopravy) a technologickým pokrokem v dopravě </w:t>
      </w:r>
      <w:r w:rsidR="00B86EAD">
        <w:rPr>
          <w:sz w:val="22"/>
          <w:szCs w:val="22"/>
        </w:rPr>
        <w:br/>
      </w:r>
      <w:r w:rsidRPr="00B86EAD">
        <w:rPr>
          <w:sz w:val="22"/>
          <w:szCs w:val="22"/>
        </w:rPr>
        <w:t>a zpřísňujícími se nároky na emisní limity.</w:t>
      </w:r>
      <w:r w:rsidR="00D008D9" w:rsidRPr="00B86EAD">
        <w:rPr>
          <w:sz w:val="22"/>
          <w:szCs w:val="22"/>
        </w:rPr>
        <w:t xml:space="preserve"> V hodnocení se </w:t>
      </w:r>
      <w:r w:rsidR="009010FE" w:rsidRPr="00B86EAD">
        <w:rPr>
          <w:sz w:val="22"/>
          <w:szCs w:val="22"/>
        </w:rPr>
        <w:t xml:space="preserve">tyto SC </w:t>
      </w:r>
      <w:r w:rsidR="00D008D9" w:rsidRPr="00B86EAD">
        <w:rPr>
          <w:sz w:val="22"/>
          <w:szCs w:val="22"/>
        </w:rPr>
        <w:t>umístily v  pořadí: SC Zvýšení dostupnosti a využití alternativních paliv v dopravě, SC Využívání vozidel s alternativním pohonem ve veřejné dopravě a SC Zavedení moderních technologií pro organizaci dopravy a snížení dopravní zátěže.</w:t>
      </w:r>
      <w:r w:rsidR="00904CC1" w:rsidRPr="00B86EAD">
        <w:rPr>
          <w:sz w:val="22"/>
          <w:szCs w:val="22"/>
        </w:rPr>
        <w:t xml:space="preserve"> Všechny tyto SC mají vyrovnané hodnocení, co se týče pokrytí strategiemi, důležitostí a také přínosu. Vysokou absorpční kapacitu mají SC s využitím alternativních paliv a to zejména v případě podpory pořízení vozidel na alternativní paliva pro soukromou (firemní)</w:t>
      </w:r>
      <w:r w:rsidR="009010FE">
        <w:rPr>
          <w:sz w:val="22"/>
          <w:szCs w:val="22"/>
        </w:rPr>
        <w:t xml:space="preserve"> i pro</w:t>
      </w:r>
      <w:r w:rsidR="00904CC1" w:rsidRPr="00B86EAD">
        <w:rPr>
          <w:sz w:val="22"/>
          <w:szCs w:val="22"/>
        </w:rPr>
        <w:t xml:space="preserve"> veřejnou dopravu. Specifickou poptávku v případě veřejné dopravy hrají co do objemu prostředků vozidla železniční a ostatní drážní dopravy</w:t>
      </w:r>
      <w:r w:rsidR="003666AD">
        <w:rPr>
          <w:sz w:val="22"/>
          <w:szCs w:val="22"/>
        </w:rPr>
        <w:t xml:space="preserve"> i silniční vozidla hromadné dopravy osob ve městech</w:t>
      </w:r>
      <w:r w:rsidR="00904CC1" w:rsidRPr="00B86EAD">
        <w:rPr>
          <w:sz w:val="22"/>
          <w:szCs w:val="22"/>
        </w:rPr>
        <w:t>. To se také promítá do možnosti využití alternativních zdrojů financování, resp. využití finančních nástrojů. Alternativní zdroje jsou naopak více omezeny v případě SC Moderních ITS technologií. U tohoto SC je také omezená absorpční kapacita</w:t>
      </w:r>
      <w:r w:rsidR="00BA1736" w:rsidRPr="00B86EAD">
        <w:rPr>
          <w:sz w:val="22"/>
          <w:szCs w:val="22"/>
        </w:rPr>
        <w:t>, pokud se budeme soustředit na oblasti se zvýšenou dopravní zátěží na plochu, což je případ zejména území měst.</w:t>
      </w:r>
      <w:r w:rsidR="00904CC1" w:rsidRPr="00B86EAD">
        <w:rPr>
          <w:sz w:val="22"/>
          <w:szCs w:val="22"/>
        </w:rPr>
        <w:t xml:space="preserve">      </w:t>
      </w:r>
    </w:p>
    <w:p w:rsidR="00AE7366" w:rsidRDefault="00AE7366">
      <w:pPr>
        <w:spacing w:before="0" w:line="240" w:lineRule="auto"/>
        <w:jc w:val="left"/>
        <w:rPr>
          <w:sz w:val="22"/>
          <w:szCs w:val="22"/>
        </w:rPr>
      </w:pPr>
    </w:p>
    <w:p w:rsidR="00062678" w:rsidRDefault="00062678">
      <w:pPr>
        <w:spacing w:before="0" w:line="240" w:lineRule="auto"/>
        <w:jc w:val="left"/>
        <w:rPr>
          <w:b/>
          <w:sz w:val="22"/>
          <w:szCs w:val="22"/>
        </w:rPr>
      </w:pPr>
      <w:r>
        <w:rPr>
          <w:b/>
          <w:sz w:val="22"/>
          <w:szCs w:val="22"/>
        </w:rPr>
        <w:br w:type="page"/>
      </w:r>
    </w:p>
    <w:p w:rsidR="00CC6696" w:rsidRDefault="00054005" w:rsidP="009E3951">
      <w:pPr>
        <w:pStyle w:val="Odstavecseseznamem"/>
        <w:numPr>
          <w:ilvl w:val="2"/>
          <w:numId w:val="9"/>
        </w:numPr>
        <w:spacing w:before="300"/>
        <w:ind w:left="425" w:hanging="425"/>
        <w:contextualSpacing w:val="0"/>
        <w:rPr>
          <w:rFonts w:ascii="Arial" w:hAnsi="Arial"/>
          <w:b/>
          <w:sz w:val="22"/>
          <w:szCs w:val="22"/>
        </w:rPr>
      </w:pPr>
      <w:r>
        <w:rPr>
          <w:rFonts w:ascii="Arial" w:hAnsi="Arial"/>
          <w:b/>
          <w:sz w:val="22"/>
          <w:szCs w:val="22"/>
        </w:rPr>
        <w:t>Podpora p</w:t>
      </w:r>
      <w:r w:rsidR="00CC6696" w:rsidRPr="00A9356E">
        <w:rPr>
          <w:rFonts w:ascii="Arial" w:hAnsi="Arial"/>
          <w:b/>
          <w:sz w:val="22"/>
          <w:szCs w:val="22"/>
        </w:rPr>
        <w:t>odnikání</w:t>
      </w:r>
      <w:r>
        <w:rPr>
          <w:rFonts w:ascii="Arial" w:hAnsi="Arial"/>
          <w:b/>
          <w:sz w:val="22"/>
          <w:szCs w:val="22"/>
        </w:rPr>
        <w:t xml:space="preserve"> a průmyslu </w:t>
      </w:r>
    </w:p>
    <w:tbl>
      <w:tblPr>
        <w:tblW w:w="9072" w:type="dxa"/>
        <w:tblInd w:w="164" w:type="dxa"/>
        <w:tblCellMar>
          <w:left w:w="0" w:type="dxa"/>
          <w:right w:w="0" w:type="dxa"/>
        </w:tblCellMar>
        <w:tblLook w:val="04A0" w:firstRow="1" w:lastRow="0" w:firstColumn="1" w:lastColumn="0" w:noHBand="0" w:noVBand="1"/>
      </w:tblPr>
      <w:tblGrid>
        <w:gridCol w:w="1985"/>
        <w:gridCol w:w="990"/>
        <w:gridCol w:w="1007"/>
        <w:gridCol w:w="1101"/>
        <w:gridCol w:w="902"/>
        <w:gridCol w:w="926"/>
        <w:gridCol w:w="1139"/>
        <w:gridCol w:w="1022"/>
      </w:tblGrid>
      <w:tr w:rsidR="00516F0E" w:rsidRPr="00C0545E" w:rsidTr="00062678">
        <w:trPr>
          <w:trHeight w:val="910"/>
        </w:trPr>
        <w:tc>
          <w:tcPr>
            <w:tcW w:w="198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64" w:type="dxa"/>
              <w:bottom w:w="0" w:type="dxa"/>
              <w:right w:w="164" w:type="dxa"/>
            </w:tcMar>
            <w:hideMark/>
          </w:tcPr>
          <w:p w:rsidR="00C0545E" w:rsidRPr="009E3951" w:rsidRDefault="00C0545E" w:rsidP="009E3951">
            <w:pPr>
              <w:spacing w:before="0" w:line="256" w:lineRule="auto"/>
              <w:jc w:val="center"/>
              <w:rPr>
                <w:rFonts w:eastAsia="Times New Roman"/>
                <w:sz w:val="18"/>
                <w:lang w:eastAsia="cs-CZ"/>
              </w:rPr>
            </w:pPr>
          </w:p>
        </w:tc>
        <w:tc>
          <w:tcPr>
            <w:tcW w:w="9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Celkem</w:t>
            </w:r>
          </w:p>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(m</w:t>
            </w:r>
            <w:r w:rsidRPr="00B86EAD">
              <w:rPr>
                <w:rFonts w:eastAsia="Times New Roman"/>
                <w:color w:val="FFFFFF" w:themeColor="light1"/>
                <w:sz w:val="18"/>
                <w:lang w:val="en-US" w:eastAsia="cs-CZ"/>
              </w:rPr>
              <w:t>ax</w:t>
            </w:r>
            <w:r w:rsidRPr="00B86EAD">
              <w:rPr>
                <w:rFonts w:eastAsia="Times New Roman"/>
                <w:color w:val="FFFFFF" w:themeColor="light1"/>
                <w:sz w:val="18"/>
                <w:lang w:eastAsia="cs-CZ"/>
              </w:rPr>
              <w:t xml:space="preserve"> 100, </w:t>
            </w:r>
            <w:r w:rsidRPr="00B86EAD">
              <w:rPr>
                <w:rFonts w:eastAsia="Times New Roman"/>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76,9</w:t>
            </w:r>
            <w:r w:rsidRPr="00B86EAD">
              <w:rPr>
                <w:rFonts w:eastAsiaTheme="minorEastAsia"/>
                <w:color w:val="FFFFFF" w:themeColor="light1"/>
                <w:sz w:val="18"/>
                <w:lang w:eastAsia="cs-CZ"/>
              </w:rPr>
              <w:t>)</w:t>
            </w:r>
          </w:p>
        </w:tc>
        <w:tc>
          <w:tcPr>
            <w:tcW w:w="100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Důležitost (</w:t>
            </w:r>
            <w:r w:rsidRPr="00B86EAD">
              <w:rPr>
                <w:rFonts w:eastAsiaTheme="minorEastAsia"/>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28</w:t>
            </w:r>
            <w:r w:rsidRPr="00B86EAD">
              <w:rPr>
                <w:rFonts w:eastAsiaTheme="minorEastAsia"/>
                <w:color w:val="FFFFFF" w:themeColor="light1"/>
                <w:sz w:val="18"/>
                <w:lang w:eastAsia="cs-CZ"/>
              </w:rPr>
              <w:t>, ø</w:t>
            </w:r>
            <w:r w:rsidRPr="00B86EAD">
              <w:rPr>
                <w:rFonts w:eastAsiaTheme="minorEastAsia"/>
                <w:color w:val="FFFFFF" w:themeColor="light1"/>
                <w:sz w:val="18"/>
                <w:lang w:val="en-US" w:eastAsia="cs-CZ"/>
              </w:rPr>
              <w:t xml:space="preserve"> 22,9</w:t>
            </w:r>
            <w:r w:rsidRPr="00B86EAD">
              <w:rPr>
                <w:rFonts w:eastAsiaTheme="minorEastAsia"/>
                <w:color w:val="FFFFFF" w:themeColor="light1"/>
                <w:sz w:val="18"/>
                <w:lang w:eastAsia="cs-CZ"/>
              </w:rPr>
              <w:t>)</w:t>
            </w:r>
          </w:p>
        </w:tc>
        <w:tc>
          <w:tcPr>
            <w:tcW w:w="11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Strategie</w:t>
            </w:r>
            <w:r w:rsidRPr="00B86EAD">
              <w:rPr>
                <w:rFonts w:eastAsia="Times New Roman"/>
                <w:color w:val="FFFFFF" w:themeColor="light1"/>
                <w:sz w:val="18"/>
                <w:lang w:val="en-US" w:eastAsia="cs-CZ"/>
              </w:rPr>
              <w:br/>
            </w:r>
            <w:r w:rsidRPr="00B86EAD">
              <w:rPr>
                <w:rFonts w:eastAsia="Times New Roman"/>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18</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14,5</w:t>
            </w:r>
            <w:r w:rsidRPr="00B86EAD">
              <w:rPr>
                <w:rFonts w:eastAsiaTheme="minorEastAsia"/>
                <w:color w:val="FFFFFF" w:themeColor="light1"/>
                <w:sz w:val="18"/>
                <w:lang w:eastAsia="cs-CZ"/>
              </w:rPr>
              <w:t>)</w:t>
            </w:r>
          </w:p>
        </w:tc>
        <w:tc>
          <w:tcPr>
            <w:tcW w:w="90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Cíle</w:t>
            </w:r>
          </w:p>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w:t>
            </w:r>
            <w:r w:rsidRPr="00B86EAD">
              <w:rPr>
                <w:rFonts w:eastAsiaTheme="minorEastAsia"/>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12</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9,1</w:t>
            </w:r>
            <w:r w:rsidRPr="00B86EAD">
              <w:rPr>
                <w:rFonts w:eastAsiaTheme="minorEastAsia"/>
                <w:color w:val="FFFFFF" w:themeColor="light1"/>
                <w:sz w:val="18"/>
                <w:lang w:eastAsia="cs-CZ"/>
              </w:rPr>
              <w:t>)</w:t>
            </w:r>
          </w:p>
        </w:tc>
        <w:tc>
          <w:tcPr>
            <w:tcW w:w="92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Posun</w:t>
            </w:r>
          </w:p>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10</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7,4</w:t>
            </w:r>
            <w:r w:rsidRPr="00B86EAD">
              <w:rPr>
                <w:rFonts w:eastAsiaTheme="minorEastAsia"/>
                <w:color w:val="FFFFFF" w:themeColor="light1"/>
                <w:sz w:val="18"/>
                <w:lang w:eastAsia="cs-CZ"/>
              </w:rPr>
              <w:t>)</w:t>
            </w:r>
          </w:p>
        </w:tc>
        <w:tc>
          <w:tcPr>
            <w:tcW w:w="113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Absorpce</w:t>
            </w:r>
          </w:p>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20</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14,8</w:t>
            </w:r>
            <w:r w:rsidRPr="00B86EAD">
              <w:rPr>
                <w:rFonts w:eastAsiaTheme="minorEastAsia"/>
                <w:color w:val="FFFFFF" w:themeColor="light1"/>
                <w:sz w:val="18"/>
                <w:lang w:eastAsia="cs-CZ"/>
              </w:rPr>
              <w:t>)</w:t>
            </w:r>
          </w:p>
        </w:tc>
        <w:tc>
          <w:tcPr>
            <w:tcW w:w="102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 xml:space="preserve">Alt. </w:t>
            </w:r>
            <w:r w:rsidRPr="00B86EAD">
              <w:rPr>
                <w:rFonts w:eastAsia="Times New Roman"/>
                <w:color w:val="FFFFFF" w:themeColor="light1"/>
                <w:sz w:val="18"/>
                <w:lang w:val="en-US" w:eastAsia="cs-CZ"/>
              </w:rPr>
              <w:t>z</w:t>
            </w:r>
            <w:r w:rsidRPr="00B86EAD">
              <w:rPr>
                <w:rFonts w:eastAsia="Times New Roman"/>
                <w:color w:val="FFFFFF" w:themeColor="light1"/>
                <w:sz w:val="18"/>
                <w:lang w:eastAsia="cs-CZ"/>
              </w:rPr>
              <w:t>droje</w:t>
            </w:r>
          </w:p>
          <w:p w:rsidR="00C0545E" w:rsidRPr="00B86EAD" w:rsidRDefault="00C0545E" w:rsidP="009E3951">
            <w:pPr>
              <w:spacing w:before="0" w:line="256" w:lineRule="auto"/>
              <w:jc w:val="center"/>
              <w:rPr>
                <w:rFonts w:eastAsia="Times New Roman"/>
                <w:sz w:val="18"/>
                <w:lang w:eastAsia="cs-CZ"/>
              </w:rPr>
            </w:pPr>
            <w:r w:rsidRPr="00B86EAD">
              <w:rPr>
                <w:rFonts w:eastAsia="Times New Roman"/>
                <w:color w:val="FFFFFF" w:themeColor="light1"/>
                <w:sz w:val="18"/>
                <w:lang w:eastAsia="cs-CZ"/>
              </w:rPr>
              <w:t>(m</w:t>
            </w:r>
            <w:r w:rsidRPr="00B86EAD">
              <w:rPr>
                <w:rFonts w:eastAsiaTheme="minorEastAsia"/>
                <w:color w:val="FFFFFF" w:themeColor="light1"/>
                <w:sz w:val="18"/>
                <w:lang w:val="en-US" w:eastAsia="cs-CZ"/>
              </w:rPr>
              <w:t>ax</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t>12</w:t>
            </w:r>
            <w:r w:rsidRPr="00B86EAD">
              <w:rPr>
                <w:rFonts w:eastAsiaTheme="minorEastAsia"/>
                <w:color w:val="FFFFFF" w:themeColor="light1"/>
                <w:sz w:val="18"/>
                <w:lang w:eastAsia="cs-CZ"/>
              </w:rPr>
              <w:t xml:space="preserve">, </w:t>
            </w:r>
            <w:r w:rsidRPr="00B86EAD">
              <w:rPr>
                <w:rFonts w:eastAsiaTheme="minorEastAsia"/>
                <w:color w:val="FFFFFF" w:themeColor="light1"/>
                <w:sz w:val="18"/>
                <w:lang w:val="en-US" w:eastAsia="cs-CZ"/>
              </w:rPr>
              <w:br/>
            </w:r>
            <w:r w:rsidRPr="00B86EAD">
              <w:rPr>
                <w:rFonts w:eastAsiaTheme="minorEastAsia"/>
                <w:color w:val="FFFFFF" w:themeColor="light1"/>
                <w:sz w:val="18"/>
                <w:lang w:eastAsia="cs-CZ"/>
              </w:rPr>
              <w:t>ø</w:t>
            </w:r>
            <w:r w:rsidRPr="00B86EAD">
              <w:rPr>
                <w:rFonts w:eastAsiaTheme="minorEastAsia"/>
                <w:color w:val="FFFFFF" w:themeColor="light1"/>
                <w:sz w:val="18"/>
                <w:lang w:val="en-US" w:eastAsia="cs-CZ"/>
              </w:rPr>
              <w:t xml:space="preserve"> 8,4</w:t>
            </w:r>
            <w:r w:rsidRPr="00B86EAD">
              <w:rPr>
                <w:rFonts w:eastAsiaTheme="minorEastAsia"/>
                <w:color w:val="FFFFFF" w:themeColor="light1"/>
                <w:sz w:val="18"/>
                <w:lang w:eastAsia="cs-CZ"/>
              </w:rPr>
              <w:t>)</w:t>
            </w:r>
          </w:p>
        </w:tc>
      </w:tr>
      <w:tr w:rsidR="00516F0E" w:rsidRPr="00C0545E" w:rsidTr="00062678">
        <w:trPr>
          <w:trHeight w:val="695"/>
        </w:trPr>
        <w:tc>
          <w:tcPr>
            <w:tcW w:w="1985" w:type="dxa"/>
            <w:tcBorders>
              <w:top w:val="single" w:sz="24" w:space="0" w:color="FFFFFF"/>
              <w:left w:val="single" w:sz="8" w:space="0" w:color="FFFFFF"/>
              <w:bottom w:val="single" w:sz="24" w:space="0" w:color="FFFFFF" w:themeColor="background1"/>
              <w:right w:val="single" w:sz="8" w:space="0" w:color="FFFFFF"/>
            </w:tcBorders>
            <w:shd w:val="clear" w:color="auto" w:fill="4F81BD"/>
            <w:tcMar>
              <w:top w:w="15" w:type="dxa"/>
              <w:left w:w="164" w:type="dxa"/>
              <w:bottom w:w="0" w:type="dxa"/>
              <w:right w:w="164" w:type="dxa"/>
            </w:tcMar>
            <w:hideMark/>
          </w:tcPr>
          <w:p w:rsidR="00C0545E" w:rsidRPr="00A9356E" w:rsidRDefault="00C0545E" w:rsidP="00A9356E">
            <w:pPr>
              <w:spacing w:before="0" w:line="256" w:lineRule="auto"/>
              <w:jc w:val="left"/>
              <w:rPr>
                <w:rFonts w:eastAsia="Times New Roman"/>
                <w:lang w:eastAsia="cs-CZ"/>
              </w:rPr>
            </w:pPr>
            <w:r w:rsidRPr="00A9356E">
              <w:rPr>
                <w:rFonts w:eastAsia="Times New Roman"/>
                <w:b/>
                <w:color w:val="FFFFFF" w:themeColor="light1"/>
                <w:lang w:eastAsia="cs-CZ"/>
              </w:rPr>
              <w:t xml:space="preserve">Podpora podnikání </w:t>
            </w:r>
            <w:r w:rsidR="00E94393" w:rsidRPr="00A9356E">
              <w:rPr>
                <w:rFonts w:eastAsia="Times New Roman"/>
                <w:b/>
                <w:color w:val="FFFFFF" w:themeColor="light1"/>
                <w:lang w:eastAsia="cs-CZ"/>
              </w:rPr>
              <w:br/>
            </w:r>
            <w:r w:rsidRPr="00A9356E">
              <w:rPr>
                <w:rFonts w:eastAsia="Times New Roman"/>
                <w:b/>
                <w:color w:val="FFFFFF" w:themeColor="light1"/>
                <w:lang w:eastAsia="cs-CZ"/>
              </w:rPr>
              <w:t>a průmyslu</w:t>
            </w:r>
          </w:p>
        </w:tc>
        <w:tc>
          <w:tcPr>
            <w:tcW w:w="990"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77,4</w:t>
            </w:r>
          </w:p>
        </w:tc>
        <w:tc>
          <w:tcPr>
            <w:tcW w:w="1007"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24,6</w:t>
            </w:r>
          </w:p>
        </w:tc>
        <w:tc>
          <w:tcPr>
            <w:tcW w:w="1101"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14,2</w:t>
            </w:r>
          </w:p>
        </w:tc>
        <w:tc>
          <w:tcPr>
            <w:tcW w:w="902"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8,9</w:t>
            </w:r>
          </w:p>
        </w:tc>
        <w:tc>
          <w:tcPr>
            <w:tcW w:w="926"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7,1</w:t>
            </w:r>
          </w:p>
        </w:tc>
        <w:tc>
          <w:tcPr>
            <w:tcW w:w="1139"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14,9</w:t>
            </w:r>
          </w:p>
        </w:tc>
        <w:tc>
          <w:tcPr>
            <w:tcW w:w="1022"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7,7</w:t>
            </w:r>
          </w:p>
        </w:tc>
      </w:tr>
      <w:tr w:rsidR="00516F0E" w:rsidRPr="00C0545E" w:rsidTr="00062678">
        <w:trPr>
          <w:trHeight w:val="1141"/>
        </w:trPr>
        <w:tc>
          <w:tcPr>
            <w:tcW w:w="1985" w:type="dxa"/>
            <w:tcBorders>
              <w:top w:val="single" w:sz="24" w:space="0" w:color="FFFFFF" w:themeColor="background1"/>
              <w:left w:val="single" w:sz="8" w:space="0" w:color="FFFFFF"/>
              <w:bottom w:val="single" w:sz="8" w:space="0" w:color="FFFFFF"/>
              <w:right w:val="single" w:sz="8" w:space="0" w:color="FFFFFF"/>
            </w:tcBorders>
            <w:shd w:val="clear" w:color="auto" w:fill="4F81BD" w:themeFill="accent1"/>
            <w:tcMar>
              <w:top w:w="15" w:type="dxa"/>
              <w:left w:w="164" w:type="dxa"/>
              <w:bottom w:w="0" w:type="dxa"/>
              <w:right w:w="164" w:type="dxa"/>
            </w:tcMar>
            <w:vAlign w:val="bottom"/>
            <w:hideMark/>
          </w:tcPr>
          <w:p w:rsidR="00C0545E" w:rsidRPr="00AF016B" w:rsidRDefault="00C0545E">
            <w:pPr>
              <w:spacing w:before="0" w:line="256" w:lineRule="auto"/>
              <w:jc w:val="left"/>
              <w:rPr>
                <w:rFonts w:eastAsia="Times New Roman"/>
                <w:color w:val="FFFFFF" w:themeColor="background1"/>
                <w:lang w:eastAsia="cs-CZ"/>
              </w:rPr>
            </w:pPr>
            <w:r w:rsidRPr="00AF016B">
              <w:rPr>
                <w:rFonts w:eastAsia="Times New Roman"/>
                <w:color w:val="FFFFFF" w:themeColor="background1"/>
                <w:lang w:eastAsia="cs-CZ"/>
              </w:rPr>
              <w:t xml:space="preserve">Zavedení principů digitální ekonomiky </w:t>
            </w:r>
            <w:r w:rsidR="00E94393" w:rsidRPr="00AF016B">
              <w:rPr>
                <w:rFonts w:eastAsia="Times New Roman"/>
                <w:color w:val="FFFFFF" w:themeColor="background1"/>
                <w:lang w:eastAsia="cs-CZ"/>
              </w:rPr>
              <w:br/>
            </w:r>
            <w:r w:rsidRPr="00AF016B">
              <w:rPr>
                <w:rFonts w:eastAsia="Times New Roman"/>
                <w:color w:val="FFFFFF" w:themeColor="background1"/>
                <w:lang w:eastAsia="cs-CZ"/>
              </w:rPr>
              <w:t>a průmyslu 4.0 ve firmách</w:t>
            </w:r>
          </w:p>
        </w:tc>
        <w:tc>
          <w:tcPr>
            <w:tcW w:w="990"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82,0</w:t>
            </w:r>
          </w:p>
        </w:tc>
        <w:tc>
          <w:tcPr>
            <w:tcW w:w="1007"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25,3</w:t>
            </w:r>
          </w:p>
        </w:tc>
        <w:tc>
          <w:tcPr>
            <w:tcW w:w="1101"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16,7</w:t>
            </w:r>
          </w:p>
        </w:tc>
        <w:tc>
          <w:tcPr>
            <w:tcW w:w="90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10,3</w:t>
            </w:r>
          </w:p>
        </w:tc>
        <w:tc>
          <w:tcPr>
            <w:tcW w:w="926"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6,8</w:t>
            </w:r>
          </w:p>
        </w:tc>
        <w:tc>
          <w:tcPr>
            <w:tcW w:w="1139"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15,5</w:t>
            </w:r>
          </w:p>
        </w:tc>
        <w:tc>
          <w:tcPr>
            <w:tcW w:w="102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7,4</w:t>
            </w:r>
          </w:p>
        </w:tc>
      </w:tr>
      <w:tr w:rsidR="00516F0E" w:rsidRPr="00C0545E" w:rsidTr="00062678">
        <w:trPr>
          <w:trHeight w:val="603"/>
        </w:trPr>
        <w:tc>
          <w:tcPr>
            <w:tcW w:w="1985"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64" w:type="dxa"/>
              <w:bottom w:w="0" w:type="dxa"/>
              <w:right w:w="164" w:type="dxa"/>
            </w:tcMar>
            <w:vAlign w:val="bottom"/>
            <w:hideMark/>
          </w:tcPr>
          <w:p w:rsidR="00C0545E" w:rsidRPr="00AF016B" w:rsidRDefault="00C0545E">
            <w:pPr>
              <w:spacing w:before="0" w:line="256" w:lineRule="auto"/>
              <w:jc w:val="left"/>
              <w:rPr>
                <w:rFonts w:eastAsia="Times New Roman"/>
                <w:color w:val="FFFFFF" w:themeColor="background1"/>
                <w:lang w:eastAsia="cs-CZ"/>
              </w:rPr>
            </w:pPr>
            <w:r w:rsidRPr="00AF016B">
              <w:rPr>
                <w:rFonts w:eastAsia="Times New Roman"/>
                <w:color w:val="FFFFFF" w:themeColor="background1"/>
                <w:lang w:eastAsia="cs-CZ"/>
              </w:rPr>
              <w:t>Zlepšení inovační schopnosti MSP</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78,6</w:t>
            </w:r>
          </w:p>
        </w:tc>
        <w:tc>
          <w:tcPr>
            <w:tcW w:w="100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25,9</w:t>
            </w:r>
          </w:p>
        </w:tc>
        <w:tc>
          <w:tcPr>
            <w:tcW w:w="11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13,3</w:t>
            </w:r>
          </w:p>
        </w:tc>
        <w:tc>
          <w:tcPr>
            <w:tcW w:w="9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9,3</w:t>
            </w:r>
          </w:p>
        </w:tc>
        <w:tc>
          <w:tcPr>
            <w:tcW w:w="9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7,5</w:t>
            </w:r>
          </w:p>
        </w:tc>
        <w:tc>
          <w:tcPr>
            <w:tcW w:w="11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14,8</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7,9</w:t>
            </w:r>
          </w:p>
        </w:tc>
      </w:tr>
      <w:tr w:rsidR="00516F0E" w:rsidRPr="00C0545E" w:rsidTr="00062678">
        <w:trPr>
          <w:trHeight w:val="1347"/>
        </w:trPr>
        <w:tc>
          <w:tcPr>
            <w:tcW w:w="1985" w:type="dxa"/>
            <w:tcBorders>
              <w:top w:val="single" w:sz="8" w:space="0" w:color="FFFFFF"/>
              <w:left w:val="single" w:sz="8" w:space="0" w:color="FFFFFF"/>
              <w:bottom w:val="single" w:sz="8" w:space="0" w:color="FFFFFF"/>
              <w:right w:val="single" w:sz="8" w:space="0" w:color="FFFFFF"/>
            </w:tcBorders>
            <w:shd w:val="clear" w:color="auto" w:fill="4F81BD" w:themeFill="accent1"/>
            <w:tcMar>
              <w:top w:w="15" w:type="dxa"/>
              <w:left w:w="164" w:type="dxa"/>
              <w:bottom w:w="0" w:type="dxa"/>
              <w:right w:w="164" w:type="dxa"/>
            </w:tcMar>
            <w:vAlign w:val="bottom"/>
            <w:hideMark/>
          </w:tcPr>
          <w:p w:rsidR="00C0545E" w:rsidRPr="00AF016B" w:rsidRDefault="00C0545E">
            <w:pPr>
              <w:spacing w:before="0" w:line="256" w:lineRule="auto"/>
              <w:jc w:val="left"/>
              <w:rPr>
                <w:rFonts w:eastAsia="Times New Roman"/>
                <w:color w:val="FFFFFF" w:themeColor="background1"/>
                <w:lang w:eastAsia="cs-CZ"/>
              </w:rPr>
            </w:pPr>
            <w:r w:rsidRPr="00AF016B">
              <w:rPr>
                <w:rFonts w:eastAsia="Times New Roman"/>
                <w:color w:val="FFFFFF" w:themeColor="background1"/>
                <w:lang w:eastAsia="cs-CZ"/>
              </w:rPr>
              <w:t xml:space="preserve">Zvýšení přidané hodnoty výrobků </w:t>
            </w:r>
            <w:r w:rsidR="00E94393" w:rsidRPr="00AF016B">
              <w:rPr>
                <w:rFonts w:eastAsia="Times New Roman"/>
                <w:color w:val="FFFFFF" w:themeColor="background1"/>
                <w:lang w:eastAsia="cs-CZ"/>
              </w:rPr>
              <w:br/>
            </w:r>
            <w:r w:rsidRPr="00AF016B">
              <w:rPr>
                <w:rFonts w:eastAsia="Times New Roman"/>
                <w:color w:val="FFFFFF" w:themeColor="background1"/>
                <w:lang w:eastAsia="cs-CZ"/>
              </w:rPr>
              <w:t>a služeb podniků v produkčním řetězci</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b/>
                <w:color w:val="000000" w:themeColor="dark1"/>
                <w:lang w:eastAsia="cs-CZ"/>
              </w:rPr>
              <w:t>71,6</w:t>
            </w:r>
          </w:p>
        </w:tc>
        <w:tc>
          <w:tcPr>
            <w:tcW w:w="100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22,6</w:t>
            </w:r>
          </w:p>
        </w:tc>
        <w:tc>
          <w:tcPr>
            <w:tcW w:w="110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12,7</w:t>
            </w:r>
          </w:p>
        </w:tc>
        <w:tc>
          <w:tcPr>
            <w:tcW w:w="9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7,1</w:t>
            </w:r>
          </w:p>
        </w:tc>
        <w:tc>
          <w:tcPr>
            <w:tcW w:w="9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7,1</w:t>
            </w:r>
          </w:p>
        </w:tc>
        <w:tc>
          <w:tcPr>
            <w:tcW w:w="11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14,3</w:t>
            </w:r>
          </w:p>
        </w:tc>
        <w:tc>
          <w:tcPr>
            <w:tcW w:w="102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64" w:type="dxa"/>
              <w:bottom w:w="0" w:type="dxa"/>
              <w:right w:w="164" w:type="dxa"/>
            </w:tcMar>
            <w:vAlign w:val="bottom"/>
            <w:hideMark/>
          </w:tcPr>
          <w:p w:rsidR="00C0545E" w:rsidRPr="00A9356E" w:rsidRDefault="00C0545E" w:rsidP="00A9356E">
            <w:pPr>
              <w:spacing w:before="0" w:line="256" w:lineRule="auto"/>
              <w:jc w:val="center"/>
              <w:rPr>
                <w:rFonts w:eastAsia="Times New Roman"/>
                <w:lang w:eastAsia="cs-CZ"/>
              </w:rPr>
            </w:pPr>
            <w:r w:rsidRPr="00A9356E">
              <w:rPr>
                <w:rFonts w:eastAsia="Times New Roman"/>
                <w:color w:val="000000" w:themeColor="dark1"/>
                <w:lang w:eastAsia="cs-CZ"/>
              </w:rPr>
              <w:t>7,9</w:t>
            </w:r>
          </w:p>
        </w:tc>
      </w:tr>
    </w:tbl>
    <w:p w:rsidR="000552D9" w:rsidRPr="00BE32BD" w:rsidRDefault="00054005" w:rsidP="00A9356E">
      <w:pPr>
        <w:rPr>
          <w:sz w:val="22"/>
        </w:rPr>
      </w:pPr>
      <w:r w:rsidRPr="00A9356E">
        <w:rPr>
          <w:sz w:val="22"/>
        </w:rPr>
        <w:t xml:space="preserve">Oblast podpory podnikání </w:t>
      </w:r>
      <w:r w:rsidR="00521262" w:rsidRPr="00A416C4">
        <w:rPr>
          <w:sz w:val="22"/>
        </w:rPr>
        <w:t>je velmi závislá na</w:t>
      </w:r>
      <w:r w:rsidR="00142937" w:rsidRPr="00A416C4">
        <w:rPr>
          <w:sz w:val="22"/>
        </w:rPr>
        <w:t xml:space="preserve"> dynamice</w:t>
      </w:r>
      <w:r w:rsidR="00521262" w:rsidRPr="00A416C4">
        <w:rPr>
          <w:sz w:val="22"/>
        </w:rPr>
        <w:t xml:space="preserve"> ekonom</w:t>
      </w:r>
      <w:r w:rsidR="00142937" w:rsidRPr="00A416C4">
        <w:rPr>
          <w:sz w:val="22"/>
        </w:rPr>
        <w:t>ického</w:t>
      </w:r>
      <w:r w:rsidR="00521262" w:rsidRPr="00A416C4">
        <w:rPr>
          <w:sz w:val="22"/>
        </w:rPr>
        <w:t xml:space="preserve"> cyklu a finanční kondici firem. Tahounem pro proměnu ekonomické struktury a posilování domácích MSP </w:t>
      </w:r>
      <w:r w:rsidR="00B86EAD">
        <w:rPr>
          <w:sz w:val="22"/>
        </w:rPr>
        <w:br/>
      </w:r>
      <w:r w:rsidR="00521262" w:rsidRPr="00A416C4">
        <w:rPr>
          <w:sz w:val="22"/>
        </w:rPr>
        <w:t>je pak nízký kapitál a vysoký tlak na snižování nákladů. V tomto kontextu nezbývá mnoho prostorou pro inovace a aplikaci výsledků VaV.</w:t>
      </w:r>
    </w:p>
    <w:p w:rsidR="00521262" w:rsidRPr="00B86EAD" w:rsidRDefault="00521262" w:rsidP="00A9356E">
      <w:pPr>
        <w:rPr>
          <w:sz w:val="22"/>
        </w:rPr>
      </w:pPr>
      <w:r w:rsidRPr="00B86EAD">
        <w:rPr>
          <w:sz w:val="22"/>
        </w:rPr>
        <w:t>Všechny tři SC</w:t>
      </w:r>
      <w:r w:rsidR="00037FCC" w:rsidRPr="00B86EAD">
        <w:rPr>
          <w:sz w:val="22"/>
        </w:rPr>
        <w:t xml:space="preserve"> (Zlepšení inovační schopnosti MSP, Zavedení principů digitální ekonomiky </w:t>
      </w:r>
      <w:r w:rsidR="00B86EAD">
        <w:rPr>
          <w:sz w:val="22"/>
        </w:rPr>
        <w:br/>
      </w:r>
      <w:r w:rsidR="00037FCC" w:rsidRPr="00B86EAD">
        <w:rPr>
          <w:sz w:val="22"/>
        </w:rPr>
        <w:t>a průmyslu 4.0 ve firmách, Zvýšení přidané hodnoty výrobků a služeb podniků v produkčním řetězci)</w:t>
      </w:r>
      <w:r w:rsidRPr="00B86EAD">
        <w:rPr>
          <w:sz w:val="22"/>
        </w:rPr>
        <w:t xml:space="preserve"> zařa</w:t>
      </w:r>
      <w:r w:rsidR="00037FCC" w:rsidRPr="00B86EAD">
        <w:rPr>
          <w:sz w:val="22"/>
        </w:rPr>
        <w:t xml:space="preserve">zené pod touto oblastí dopadly </w:t>
      </w:r>
      <w:r w:rsidRPr="00B86EAD">
        <w:rPr>
          <w:sz w:val="22"/>
        </w:rPr>
        <w:t xml:space="preserve">vyrovnaně v hodnocení </w:t>
      </w:r>
      <w:r w:rsidR="00037FCC" w:rsidRPr="00B86EAD">
        <w:rPr>
          <w:sz w:val="22"/>
        </w:rPr>
        <w:t>důležitosti, zatímco výrazně lépe dopadl SC Zavedení principů digitální ekonomiky a průmyslu 4.0 ve firmách oproti dvěma zbývajícím SC v pokrytí strategiemi (kde příprava strategií teprve začíná). SC Zvýšení přidané hodnoty výrobků a služeb podniků v produkčním řetězci</w:t>
      </w:r>
      <w:r w:rsidR="00142937" w:rsidRPr="00B86EAD">
        <w:rPr>
          <w:sz w:val="22"/>
        </w:rPr>
        <w:t xml:space="preserve"> výrazně zaostává, </w:t>
      </w:r>
      <w:r w:rsidR="00037FCC" w:rsidRPr="00B86EAD">
        <w:rPr>
          <w:sz w:val="22"/>
        </w:rPr>
        <w:t xml:space="preserve">co se týče </w:t>
      </w:r>
      <w:r w:rsidR="00142937" w:rsidRPr="00B86EAD">
        <w:rPr>
          <w:sz w:val="22"/>
        </w:rPr>
        <w:t xml:space="preserve">hodnocení přínosu tohoto tématu oproti ostatním SC. To je také dáno tím, </w:t>
      </w:r>
      <w:r w:rsidR="00B86EAD">
        <w:rPr>
          <w:sz w:val="22"/>
        </w:rPr>
        <w:br/>
      </w:r>
      <w:r w:rsidR="00142937" w:rsidRPr="00B86EAD">
        <w:rPr>
          <w:sz w:val="22"/>
        </w:rPr>
        <w:t xml:space="preserve">že tento SC je velmi obecný a není zcela jasná konkrétní podoba podpory, což opět souvisí s nedostatečným pokrytím tématu adekvátními strategiemi. </w:t>
      </w:r>
      <w:r w:rsidR="00880F85" w:rsidRPr="00B86EAD">
        <w:rPr>
          <w:sz w:val="22"/>
        </w:rPr>
        <w:t>Stejně tak byl hodnocen jako diskutabilní její celkový přínos oproti dvěma ostatním SC. V této souvislosti lze doporučit</w:t>
      </w:r>
      <w:r w:rsidR="009010FE">
        <w:rPr>
          <w:sz w:val="22"/>
        </w:rPr>
        <w:t>, aby se zpracovatelé strategií zaměřili</w:t>
      </w:r>
      <w:r w:rsidR="00880F85" w:rsidRPr="00B86EAD">
        <w:rPr>
          <w:sz w:val="22"/>
        </w:rPr>
        <w:t xml:space="preserve"> na konkrétnější zacílení tohoto SC.</w:t>
      </w:r>
    </w:p>
    <w:p w:rsidR="00AE7366" w:rsidRDefault="00415416" w:rsidP="00A9356E">
      <w:pPr>
        <w:rPr>
          <w:sz w:val="22"/>
        </w:rPr>
      </w:pPr>
      <w:r>
        <w:rPr>
          <w:sz w:val="22"/>
        </w:rPr>
        <w:t xml:space="preserve">Rozvoj a podpora všech SC pod oblastí Podpora podnikání a průmyslu nebude možný </w:t>
      </w:r>
      <w:r w:rsidR="00B86EAD">
        <w:rPr>
          <w:sz w:val="22"/>
        </w:rPr>
        <w:br/>
      </w:r>
      <w:r>
        <w:rPr>
          <w:sz w:val="22"/>
        </w:rPr>
        <w:t>bez adekvátního rozvoje podpůrné infrastruktury, konkrétně dostatečně husté celostátní sítě vysokorychlostního internetu dostupného i ve venkovských oblastech.</w:t>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Sociální začleňování</w:t>
      </w:r>
      <w:r w:rsidR="000B7D2A">
        <w:rPr>
          <w:rFonts w:ascii="Arial" w:hAnsi="Arial"/>
          <w:b/>
          <w:sz w:val="22"/>
          <w:szCs w:val="22"/>
        </w:rPr>
        <w:t>, boj s chudobou a péče o zdraví</w:t>
      </w:r>
    </w:p>
    <w:tbl>
      <w:tblPr>
        <w:tblStyle w:val="Tabulkasmkou3zvraznn11"/>
        <w:tblW w:w="918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276"/>
        <w:gridCol w:w="960"/>
        <w:gridCol w:w="1007"/>
        <w:gridCol w:w="960"/>
        <w:gridCol w:w="960"/>
        <w:gridCol w:w="960"/>
        <w:gridCol w:w="1065"/>
        <w:gridCol w:w="992"/>
      </w:tblGrid>
      <w:tr w:rsidR="00F875B5" w:rsidRPr="00211C2B" w:rsidTr="00913B71">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2276" w:type="dxa"/>
            <w:tcBorders>
              <w:top w:val="none" w:sz="0" w:space="0" w:color="auto"/>
              <w:left w:val="none" w:sz="0" w:space="0" w:color="auto"/>
              <w:bottom w:val="single" w:sz="24" w:space="0" w:color="FFFFFF" w:themeColor="background1"/>
              <w:right w:val="none" w:sz="0" w:space="0" w:color="auto"/>
            </w:tcBorders>
            <w:shd w:val="clear" w:color="auto" w:fill="4F81BD"/>
          </w:tcPr>
          <w:p w:rsidR="009E3951" w:rsidRPr="00F875B5" w:rsidRDefault="009E3951" w:rsidP="009E3951">
            <w:pPr>
              <w:rPr>
                <w:rFonts w:eastAsia="Times New Roman"/>
                <w:b w:val="0"/>
                <w:color w:val="000000"/>
                <w:sz w:val="18"/>
                <w:szCs w:val="18"/>
                <w:lang w:eastAsia="cs-CZ"/>
              </w:rPr>
            </w:pPr>
          </w:p>
        </w:tc>
        <w:tc>
          <w:tcPr>
            <w:tcW w:w="96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Celkem (m</w:t>
            </w:r>
            <w:r w:rsidRPr="00F875B5">
              <w:rPr>
                <w:b w:val="0"/>
                <w:color w:val="FFFFFF" w:themeColor="background1"/>
                <w:sz w:val="18"/>
                <w:szCs w:val="18"/>
                <w:lang w:val="en-US"/>
              </w:rPr>
              <w:t>ax</w:t>
            </w:r>
            <w:r w:rsidRPr="00F875B5">
              <w:rPr>
                <w:b w:val="0"/>
                <w:color w:val="FFFFFF" w:themeColor="background1"/>
                <w:sz w:val="18"/>
                <w:szCs w:val="18"/>
              </w:rPr>
              <w:t xml:space="preserve"> 100,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76,9</w:t>
            </w:r>
            <w:r w:rsidRPr="00F875B5">
              <w:rPr>
                <w:b w:val="0"/>
                <w:color w:val="FFFFFF" w:themeColor="background1"/>
                <w:sz w:val="18"/>
                <w:szCs w:val="18"/>
              </w:rPr>
              <w:t>)</w:t>
            </w:r>
          </w:p>
        </w:tc>
        <w:tc>
          <w:tcPr>
            <w:tcW w:w="100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Důležitost (m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28</w:t>
            </w:r>
            <w:r w:rsidRPr="00F875B5">
              <w:rPr>
                <w:b w:val="0"/>
                <w:color w:val="FFFFFF" w:themeColor="background1"/>
                <w:sz w:val="18"/>
                <w:szCs w:val="18"/>
              </w:rPr>
              <w:t>, ø</w:t>
            </w:r>
            <w:r w:rsidRPr="00F875B5">
              <w:rPr>
                <w:b w:val="0"/>
                <w:color w:val="FFFFFF" w:themeColor="background1"/>
                <w:sz w:val="18"/>
                <w:szCs w:val="18"/>
                <w:lang w:val="en-US"/>
              </w:rPr>
              <w:t xml:space="preserve"> 22,9</w:t>
            </w:r>
            <w:r w:rsidRPr="00F875B5">
              <w:rPr>
                <w:b w:val="0"/>
                <w:color w:val="FFFFFF" w:themeColor="background1"/>
                <w:sz w:val="18"/>
                <w:szCs w:val="18"/>
              </w:rPr>
              <w:t>)</w:t>
            </w:r>
          </w:p>
        </w:tc>
        <w:tc>
          <w:tcPr>
            <w:tcW w:w="96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Strategie</w:t>
            </w:r>
            <w:r w:rsidRPr="00F875B5">
              <w:rPr>
                <w:b w:val="0"/>
                <w:color w:val="FFFFFF" w:themeColor="background1"/>
                <w:sz w:val="18"/>
                <w:szCs w:val="18"/>
                <w:lang w:val="en-US"/>
              </w:rPr>
              <w:br/>
            </w:r>
            <w:r w:rsidRPr="00F875B5">
              <w:rPr>
                <w:b w:val="0"/>
                <w:color w:val="FFFFFF" w:themeColor="background1"/>
                <w:sz w:val="18"/>
                <w:szCs w:val="18"/>
              </w:rPr>
              <w:t>(m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18</w:t>
            </w:r>
            <w:r w:rsidRPr="00F875B5">
              <w:rPr>
                <w:b w:val="0"/>
                <w:color w:val="FFFFFF" w:themeColor="background1"/>
                <w:sz w:val="18"/>
                <w:szCs w:val="18"/>
              </w:rPr>
              <w:t xml:space="preserve">,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14,5</w:t>
            </w:r>
            <w:r w:rsidRPr="00F875B5">
              <w:rPr>
                <w:b w:val="0"/>
                <w:color w:val="FFFFFF" w:themeColor="background1"/>
                <w:sz w:val="18"/>
                <w:szCs w:val="18"/>
              </w:rPr>
              <w:t>)</w:t>
            </w:r>
          </w:p>
        </w:tc>
        <w:tc>
          <w:tcPr>
            <w:tcW w:w="96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Cíle (m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12</w:t>
            </w:r>
            <w:r w:rsidRPr="00F875B5">
              <w:rPr>
                <w:b w:val="0"/>
                <w:color w:val="FFFFFF" w:themeColor="background1"/>
                <w:sz w:val="18"/>
                <w:szCs w:val="18"/>
              </w:rPr>
              <w:t xml:space="preserve">,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9,1</w:t>
            </w:r>
            <w:r w:rsidRPr="00F875B5">
              <w:rPr>
                <w:b w:val="0"/>
                <w:color w:val="FFFFFF" w:themeColor="background1"/>
                <w:sz w:val="18"/>
                <w:szCs w:val="18"/>
              </w:rPr>
              <w:t>)</w:t>
            </w:r>
          </w:p>
        </w:tc>
        <w:tc>
          <w:tcPr>
            <w:tcW w:w="96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Posun (m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10</w:t>
            </w:r>
            <w:r w:rsidRPr="00F875B5">
              <w:rPr>
                <w:b w:val="0"/>
                <w:color w:val="FFFFFF" w:themeColor="background1"/>
                <w:sz w:val="18"/>
                <w:szCs w:val="18"/>
              </w:rPr>
              <w:t xml:space="preserve">,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7,4</w:t>
            </w:r>
            <w:r w:rsidRPr="00F875B5">
              <w:rPr>
                <w:b w:val="0"/>
                <w:color w:val="FFFFFF" w:themeColor="background1"/>
                <w:sz w:val="18"/>
                <w:szCs w:val="18"/>
              </w:rPr>
              <w:t>)</w:t>
            </w:r>
          </w:p>
        </w:tc>
        <w:tc>
          <w:tcPr>
            <w:tcW w:w="1065"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Absorpce (m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20</w:t>
            </w:r>
            <w:r w:rsidRPr="00F875B5">
              <w:rPr>
                <w:b w:val="0"/>
                <w:color w:val="FFFFFF" w:themeColor="background1"/>
                <w:sz w:val="18"/>
                <w:szCs w:val="18"/>
              </w:rPr>
              <w:t xml:space="preserve">,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14,8</w:t>
            </w:r>
            <w:r w:rsidRPr="00F875B5">
              <w:rPr>
                <w:b w:val="0"/>
                <w:color w:val="FFFFFF" w:themeColor="background1"/>
                <w:sz w:val="18"/>
                <w:szCs w:val="18"/>
              </w:rPr>
              <w:t>)</w:t>
            </w:r>
          </w:p>
        </w:tc>
        <w:tc>
          <w:tcPr>
            <w:tcW w:w="992"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F875B5" w:rsidRDefault="009E3951" w:rsidP="00F875B5">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F875B5">
              <w:rPr>
                <w:b w:val="0"/>
                <w:color w:val="FFFFFF" w:themeColor="background1"/>
                <w:sz w:val="18"/>
                <w:szCs w:val="18"/>
              </w:rPr>
              <w:t>Alt. zdroje (m</w:t>
            </w:r>
            <w:r w:rsidRPr="00F875B5">
              <w:rPr>
                <w:b w:val="0"/>
                <w:color w:val="FFFFFF" w:themeColor="background1"/>
                <w:sz w:val="18"/>
                <w:szCs w:val="18"/>
                <w:lang w:val="en-US"/>
              </w:rPr>
              <w:t>ax</w:t>
            </w:r>
            <w:r w:rsidRPr="00F875B5">
              <w:rPr>
                <w:b w:val="0"/>
                <w:color w:val="FFFFFF" w:themeColor="background1"/>
                <w:sz w:val="18"/>
                <w:szCs w:val="18"/>
              </w:rPr>
              <w:t xml:space="preserve"> </w:t>
            </w:r>
            <w:r w:rsidRPr="00F875B5">
              <w:rPr>
                <w:b w:val="0"/>
                <w:color w:val="FFFFFF" w:themeColor="background1"/>
                <w:sz w:val="18"/>
                <w:szCs w:val="18"/>
                <w:lang w:val="en-US"/>
              </w:rPr>
              <w:t>12</w:t>
            </w:r>
            <w:r w:rsidRPr="00F875B5">
              <w:rPr>
                <w:b w:val="0"/>
                <w:color w:val="FFFFFF" w:themeColor="background1"/>
                <w:sz w:val="18"/>
                <w:szCs w:val="18"/>
              </w:rPr>
              <w:t xml:space="preserve">, </w:t>
            </w:r>
            <w:r w:rsidRPr="00F875B5">
              <w:rPr>
                <w:b w:val="0"/>
                <w:color w:val="FFFFFF" w:themeColor="background1"/>
                <w:sz w:val="18"/>
                <w:szCs w:val="18"/>
                <w:lang w:val="en-US"/>
              </w:rPr>
              <w:br/>
            </w:r>
            <w:r w:rsidRPr="00F875B5">
              <w:rPr>
                <w:b w:val="0"/>
                <w:color w:val="FFFFFF" w:themeColor="background1"/>
                <w:sz w:val="18"/>
                <w:szCs w:val="18"/>
              </w:rPr>
              <w:t>ø</w:t>
            </w:r>
            <w:r w:rsidRPr="00F875B5">
              <w:rPr>
                <w:b w:val="0"/>
                <w:color w:val="FFFFFF" w:themeColor="background1"/>
                <w:sz w:val="18"/>
                <w:szCs w:val="18"/>
                <w:lang w:val="en-US"/>
              </w:rPr>
              <w:t xml:space="preserve"> 8,4</w:t>
            </w:r>
            <w:r w:rsidRPr="00F875B5">
              <w:rPr>
                <w:b w:val="0"/>
                <w:color w:val="FFFFFF" w:themeColor="background1"/>
                <w:sz w:val="18"/>
                <w:szCs w:val="18"/>
              </w:rPr>
              <w:t>)</w:t>
            </w:r>
          </w:p>
        </w:tc>
      </w:tr>
      <w:tr w:rsidR="00F875B5" w:rsidRPr="00211C2B" w:rsidTr="00062678">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276" w:type="dxa"/>
            <w:tcBorders>
              <w:top w:val="single" w:sz="24" w:space="0" w:color="FFFFFF" w:themeColor="background1"/>
              <w:bottom w:val="single" w:sz="24" w:space="0" w:color="FFFFFF" w:themeColor="background1"/>
              <w:right w:val="nil"/>
            </w:tcBorders>
            <w:shd w:val="clear" w:color="auto" w:fill="4F81BD"/>
            <w:hideMark/>
          </w:tcPr>
          <w:p w:rsidR="009E3951" w:rsidRPr="00F875B5" w:rsidRDefault="009E3951" w:rsidP="00F875B5">
            <w:pPr>
              <w:rPr>
                <w:rFonts w:eastAsia="Times New Roman"/>
                <w:b/>
                <w:i w:val="0"/>
                <w:color w:val="FFFFFF" w:themeColor="background1"/>
                <w:lang w:eastAsia="cs-CZ"/>
              </w:rPr>
            </w:pPr>
            <w:r w:rsidRPr="00F875B5">
              <w:rPr>
                <w:rFonts w:eastAsia="Times New Roman"/>
                <w:b/>
                <w:i w:val="0"/>
                <w:color w:val="FFFFFF" w:themeColor="background1"/>
                <w:lang w:eastAsia="cs-CZ"/>
              </w:rPr>
              <w:t xml:space="preserve">Sociální začleňování </w:t>
            </w:r>
          </w:p>
        </w:tc>
        <w:tc>
          <w:tcPr>
            <w:tcW w:w="960" w:type="dxa"/>
            <w:tcBorders>
              <w:top w:val="single" w:sz="24" w:space="0" w:color="FFFFFF" w:themeColor="background1"/>
              <w:left w:val="nil"/>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75,8</w:t>
            </w:r>
          </w:p>
        </w:tc>
        <w:tc>
          <w:tcPr>
            <w:tcW w:w="1007"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21,5</w:t>
            </w:r>
          </w:p>
        </w:tc>
        <w:tc>
          <w:tcPr>
            <w:tcW w:w="960"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15,1</w:t>
            </w:r>
          </w:p>
        </w:tc>
        <w:tc>
          <w:tcPr>
            <w:tcW w:w="960"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9,8</w:t>
            </w:r>
          </w:p>
        </w:tc>
        <w:tc>
          <w:tcPr>
            <w:tcW w:w="960"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6,7</w:t>
            </w:r>
          </w:p>
        </w:tc>
        <w:tc>
          <w:tcPr>
            <w:tcW w:w="1065"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14,0</w:t>
            </w:r>
          </w:p>
        </w:tc>
        <w:tc>
          <w:tcPr>
            <w:tcW w:w="992" w:type="dxa"/>
            <w:tcBorders>
              <w:top w:val="single" w:sz="24" w:space="0" w:color="FFFFFF" w:themeColor="background1"/>
              <w:left w:val="single" w:sz="8" w:space="0" w:color="FFFFFF" w:themeColor="background1"/>
              <w:bottom w:val="single" w:sz="24" w:space="0" w:color="FFFFFF" w:themeColor="background1"/>
              <w:right w:val="nil"/>
            </w:tcBorders>
            <w:shd w:val="clear" w:color="auto" w:fill="D0D8E8"/>
            <w:noWrap/>
            <w:hideMark/>
          </w:tcPr>
          <w:p w:rsidR="009E3951" w:rsidRPr="00F875B5"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F875B5">
              <w:rPr>
                <w:rFonts w:eastAsia="Times New Roman"/>
                <w:b/>
                <w:lang w:eastAsia="cs-CZ"/>
              </w:rPr>
              <w:t>8,8</w:t>
            </w:r>
          </w:p>
        </w:tc>
      </w:tr>
      <w:tr w:rsidR="00913B71" w:rsidRPr="00211C2B" w:rsidTr="00913B71">
        <w:trPr>
          <w:trHeight w:val="510"/>
        </w:trPr>
        <w:tc>
          <w:tcPr>
            <w:cnfStyle w:val="001000000000" w:firstRow="0" w:lastRow="0" w:firstColumn="1" w:lastColumn="0" w:oddVBand="0" w:evenVBand="0" w:oddHBand="0" w:evenHBand="0" w:firstRowFirstColumn="0" w:firstRowLastColumn="0" w:lastRowFirstColumn="0" w:lastRowLastColumn="0"/>
            <w:tcW w:w="2276" w:type="dxa"/>
            <w:tcBorders>
              <w:top w:val="single" w:sz="24" w:space="0" w:color="FFFFFF" w:themeColor="background1"/>
            </w:tcBorders>
            <w:shd w:val="clear" w:color="auto" w:fill="4F81BD"/>
            <w:hideMark/>
          </w:tcPr>
          <w:p w:rsidR="009E3951" w:rsidRPr="00F875B5" w:rsidRDefault="009E3951" w:rsidP="009E3951">
            <w:pPr>
              <w:spacing w:before="0" w:line="240" w:lineRule="auto"/>
              <w:jc w:val="left"/>
              <w:rPr>
                <w:rFonts w:eastAsia="Times New Roman"/>
                <w:i w:val="0"/>
                <w:color w:val="FFFFFF" w:themeColor="background1"/>
                <w:lang w:eastAsia="cs-CZ"/>
              </w:rPr>
            </w:pPr>
            <w:r w:rsidRPr="00F875B5">
              <w:rPr>
                <w:rFonts w:eastAsia="Times New Roman"/>
                <w:i w:val="0"/>
                <w:color w:val="FFFFFF" w:themeColor="background1"/>
                <w:lang w:eastAsia="cs-CZ"/>
              </w:rPr>
              <w:t>Klientsky orientované sociální služby</w:t>
            </w:r>
          </w:p>
        </w:tc>
        <w:tc>
          <w:tcPr>
            <w:tcW w:w="960" w:type="dxa"/>
            <w:tcBorders>
              <w:top w:val="single" w:sz="24" w:space="0" w:color="FFFFFF" w:themeColor="background1"/>
            </w:tcBorders>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b/>
                <w:lang w:eastAsia="cs-CZ"/>
              </w:rPr>
            </w:pPr>
            <w:r w:rsidRPr="001B1C21">
              <w:rPr>
                <w:rFonts w:eastAsia="Times New Roman"/>
                <w:b/>
                <w:lang w:eastAsia="cs-CZ"/>
              </w:rPr>
              <w:t>81,0</w:t>
            </w:r>
          </w:p>
        </w:tc>
        <w:tc>
          <w:tcPr>
            <w:tcW w:w="1007" w:type="dxa"/>
            <w:tcBorders>
              <w:top w:val="single" w:sz="24" w:space="0" w:color="FFFFFF" w:themeColor="background1"/>
            </w:tcBorders>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1B1C21">
              <w:rPr>
                <w:rFonts w:eastAsia="Times New Roman"/>
                <w:color w:val="000000"/>
                <w:lang w:eastAsia="cs-CZ"/>
              </w:rPr>
              <w:t>23,2</w:t>
            </w:r>
          </w:p>
        </w:tc>
        <w:tc>
          <w:tcPr>
            <w:tcW w:w="960" w:type="dxa"/>
            <w:tcBorders>
              <w:top w:val="single" w:sz="24" w:space="0" w:color="FFFFFF" w:themeColor="background1"/>
            </w:tcBorders>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16,6</w:t>
            </w:r>
          </w:p>
        </w:tc>
        <w:tc>
          <w:tcPr>
            <w:tcW w:w="960" w:type="dxa"/>
            <w:tcBorders>
              <w:top w:val="single" w:sz="24" w:space="0" w:color="FFFFFF" w:themeColor="background1"/>
            </w:tcBorders>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10,0</w:t>
            </w:r>
          </w:p>
        </w:tc>
        <w:tc>
          <w:tcPr>
            <w:tcW w:w="960" w:type="dxa"/>
            <w:tcBorders>
              <w:top w:val="single" w:sz="24" w:space="0" w:color="FFFFFF" w:themeColor="background1"/>
            </w:tcBorders>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7,2</w:t>
            </w:r>
          </w:p>
        </w:tc>
        <w:tc>
          <w:tcPr>
            <w:tcW w:w="1065" w:type="dxa"/>
            <w:tcBorders>
              <w:top w:val="single" w:sz="24" w:space="0" w:color="FFFFFF" w:themeColor="background1"/>
            </w:tcBorders>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14,6</w:t>
            </w:r>
          </w:p>
        </w:tc>
        <w:tc>
          <w:tcPr>
            <w:tcW w:w="992" w:type="dxa"/>
            <w:tcBorders>
              <w:top w:val="single" w:sz="24" w:space="0" w:color="FFFFFF" w:themeColor="background1"/>
            </w:tcBorders>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9,5</w:t>
            </w:r>
          </w:p>
        </w:tc>
      </w:tr>
      <w:tr w:rsidR="009E3951" w:rsidRPr="00211C2B" w:rsidTr="00F87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76" w:type="dxa"/>
            <w:tcBorders>
              <w:left w:val="none" w:sz="0" w:space="0" w:color="auto"/>
              <w:bottom w:val="none" w:sz="0" w:space="0" w:color="auto"/>
            </w:tcBorders>
            <w:shd w:val="clear" w:color="auto" w:fill="4F81BD"/>
            <w:hideMark/>
          </w:tcPr>
          <w:p w:rsidR="009E3951" w:rsidRPr="00F875B5" w:rsidRDefault="009E3951" w:rsidP="009E3951">
            <w:pPr>
              <w:spacing w:before="0" w:line="240" w:lineRule="auto"/>
              <w:jc w:val="left"/>
              <w:rPr>
                <w:rFonts w:eastAsia="Times New Roman"/>
                <w:i w:val="0"/>
                <w:color w:val="FFFFFF" w:themeColor="background1"/>
                <w:lang w:eastAsia="cs-CZ"/>
              </w:rPr>
            </w:pPr>
            <w:r w:rsidRPr="00F875B5">
              <w:rPr>
                <w:rFonts w:eastAsia="Times New Roman"/>
                <w:i w:val="0"/>
                <w:color w:val="FFFFFF" w:themeColor="background1"/>
                <w:lang w:eastAsia="cs-CZ"/>
              </w:rPr>
              <w:t>Sociální začleňování</w:t>
            </w:r>
          </w:p>
        </w:tc>
        <w:tc>
          <w:tcPr>
            <w:tcW w:w="960" w:type="dxa"/>
            <w:shd w:val="clear" w:color="auto" w:fill="D0D8E8"/>
            <w:noWrap/>
            <w:hideMark/>
          </w:tcPr>
          <w:p w:rsidR="009E3951" w:rsidRPr="001B1C21"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1B1C21">
              <w:rPr>
                <w:rFonts w:eastAsia="Times New Roman"/>
                <w:b/>
                <w:lang w:eastAsia="cs-CZ"/>
              </w:rPr>
              <w:t>76,8</w:t>
            </w:r>
          </w:p>
        </w:tc>
        <w:tc>
          <w:tcPr>
            <w:tcW w:w="1007" w:type="dxa"/>
            <w:shd w:val="clear" w:color="auto" w:fill="D0D8E8"/>
            <w:noWrap/>
            <w:hideMark/>
          </w:tcPr>
          <w:p w:rsidR="009E3951" w:rsidRPr="001B1C21"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1B1C21">
              <w:rPr>
                <w:rFonts w:eastAsia="Times New Roman"/>
                <w:color w:val="000000"/>
                <w:lang w:eastAsia="cs-CZ"/>
              </w:rPr>
              <w:t>21,7</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14,3</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9,7</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6,8</w:t>
            </w:r>
          </w:p>
        </w:tc>
        <w:tc>
          <w:tcPr>
            <w:tcW w:w="1065"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15,0</w:t>
            </w:r>
          </w:p>
        </w:tc>
        <w:tc>
          <w:tcPr>
            <w:tcW w:w="992"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9,4</w:t>
            </w:r>
          </w:p>
        </w:tc>
      </w:tr>
      <w:tr w:rsidR="009E3951" w:rsidRPr="00211C2B" w:rsidTr="00F875B5">
        <w:trPr>
          <w:trHeight w:val="510"/>
        </w:trPr>
        <w:tc>
          <w:tcPr>
            <w:cnfStyle w:val="001000000000" w:firstRow="0" w:lastRow="0" w:firstColumn="1" w:lastColumn="0" w:oddVBand="0" w:evenVBand="0" w:oddHBand="0" w:evenHBand="0" w:firstRowFirstColumn="0" w:firstRowLastColumn="0" w:lastRowFirstColumn="0" w:lastRowLastColumn="0"/>
            <w:tcW w:w="2276" w:type="dxa"/>
            <w:tcBorders>
              <w:left w:val="none" w:sz="0" w:space="0" w:color="auto"/>
              <w:bottom w:val="none" w:sz="0" w:space="0" w:color="auto"/>
            </w:tcBorders>
            <w:shd w:val="clear" w:color="auto" w:fill="4F81BD"/>
            <w:hideMark/>
          </w:tcPr>
          <w:p w:rsidR="009E3951" w:rsidRPr="00F875B5" w:rsidRDefault="009E3951" w:rsidP="009E3951">
            <w:pPr>
              <w:spacing w:before="0" w:line="240" w:lineRule="auto"/>
              <w:jc w:val="left"/>
              <w:rPr>
                <w:rFonts w:eastAsia="Times New Roman"/>
                <w:i w:val="0"/>
                <w:color w:val="FFFFFF" w:themeColor="background1"/>
                <w:lang w:eastAsia="cs-CZ"/>
              </w:rPr>
            </w:pPr>
            <w:r w:rsidRPr="00F875B5">
              <w:rPr>
                <w:rFonts w:eastAsia="Times New Roman"/>
                <w:i w:val="0"/>
                <w:color w:val="FFFFFF" w:themeColor="background1"/>
                <w:lang w:eastAsia="cs-CZ"/>
              </w:rPr>
              <w:t>Kvalitní a dostupná zdravotní péče</w:t>
            </w:r>
          </w:p>
        </w:tc>
        <w:tc>
          <w:tcPr>
            <w:tcW w:w="960" w:type="dxa"/>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b/>
                <w:lang w:eastAsia="cs-CZ"/>
              </w:rPr>
            </w:pPr>
            <w:r w:rsidRPr="001B1C21">
              <w:rPr>
                <w:rFonts w:eastAsia="Times New Roman"/>
                <w:b/>
                <w:lang w:eastAsia="cs-CZ"/>
              </w:rPr>
              <w:t>74,4</w:t>
            </w:r>
          </w:p>
        </w:tc>
        <w:tc>
          <w:tcPr>
            <w:tcW w:w="1007" w:type="dxa"/>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1B1C21">
              <w:rPr>
                <w:rFonts w:eastAsia="Times New Roman"/>
                <w:color w:val="000000"/>
                <w:lang w:eastAsia="cs-CZ"/>
              </w:rPr>
              <w:t>21,9</w:t>
            </w:r>
          </w:p>
        </w:tc>
        <w:tc>
          <w:tcPr>
            <w:tcW w:w="960"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13,9</w:t>
            </w:r>
          </w:p>
        </w:tc>
        <w:tc>
          <w:tcPr>
            <w:tcW w:w="960"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9,7</w:t>
            </w:r>
          </w:p>
        </w:tc>
        <w:tc>
          <w:tcPr>
            <w:tcW w:w="960"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6,8</w:t>
            </w:r>
          </w:p>
        </w:tc>
        <w:tc>
          <w:tcPr>
            <w:tcW w:w="1065"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14,1</w:t>
            </w:r>
          </w:p>
        </w:tc>
        <w:tc>
          <w:tcPr>
            <w:tcW w:w="992"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8,0</w:t>
            </w:r>
          </w:p>
        </w:tc>
      </w:tr>
      <w:tr w:rsidR="009E3951" w:rsidRPr="00211C2B" w:rsidTr="00F875B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76" w:type="dxa"/>
            <w:tcBorders>
              <w:left w:val="none" w:sz="0" w:space="0" w:color="auto"/>
              <w:bottom w:val="none" w:sz="0" w:space="0" w:color="auto"/>
            </w:tcBorders>
            <w:shd w:val="clear" w:color="auto" w:fill="4F81BD"/>
            <w:hideMark/>
          </w:tcPr>
          <w:p w:rsidR="009E3951" w:rsidRPr="00F875B5" w:rsidRDefault="009E3951" w:rsidP="009E3951">
            <w:pPr>
              <w:spacing w:before="0" w:line="240" w:lineRule="auto"/>
              <w:jc w:val="left"/>
              <w:rPr>
                <w:rFonts w:eastAsia="Times New Roman"/>
                <w:i w:val="0"/>
                <w:color w:val="FFFFFF" w:themeColor="background1"/>
                <w:lang w:eastAsia="cs-CZ"/>
              </w:rPr>
            </w:pPr>
            <w:r w:rsidRPr="00F875B5">
              <w:rPr>
                <w:rFonts w:eastAsia="Times New Roman"/>
                <w:i w:val="0"/>
                <w:color w:val="FFFFFF" w:themeColor="background1"/>
                <w:lang w:eastAsia="cs-CZ"/>
              </w:rPr>
              <w:t>Sociální bydlení</w:t>
            </w:r>
          </w:p>
        </w:tc>
        <w:tc>
          <w:tcPr>
            <w:tcW w:w="960" w:type="dxa"/>
            <w:shd w:val="clear" w:color="auto" w:fill="D0D8E8"/>
            <w:noWrap/>
            <w:hideMark/>
          </w:tcPr>
          <w:p w:rsidR="009E3951" w:rsidRPr="001B1C21"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1B1C21">
              <w:rPr>
                <w:rFonts w:eastAsia="Times New Roman"/>
                <w:b/>
                <w:lang w:eastAsia="cs-CZ"/>
              </w:rPr>
              <w:t>71,2</w:t>
            </w:r>
          </w:p>
        </w:tc>
        <w:tc>
          <w:tcPr>
            <w:tcW w:w="1007"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19,2</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15,5</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9,7</w:t>
            </w:r>
          </w:p>
        </w:tc>
        <w:tc>
          <w:tcPr>
            <w:tcW w:w="96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6,1</w:t>
            </w:r>
          </w:p>
        </w:tc>
        <w:tc>
          <w:tcPr>
            <w:tcW w:w="1065"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12,3</w:t>
            </w:r>
          </w:p>
        </w:tc>
        <w:tc>
          <w:tcPr>
            <w:tcW w:w="992"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8,5</w:t>
            </w:r>
          </w:p>
        </w:tc>
      </w:tr>
    </w:tbl>
    <w:p w:rsidR="000B7D2A" w:rsidRPr="00A9356E" w:rsidRDefault="000B7D2A" w:rsidP="000B7D2A">
      <w:pPr>
        <w:rPr>
          <w:sz w:val="22"/>
        </w:rPr>
      </w:pPr>
      <w:r w:rsidRPr="00A9356E">
        <w:rPr>
          <w:sz w:val="22"/>
        </w:rPr>
        <w:t>Jako problematický se pro všechny specifické cíle jeví nedostatečný posun, zde však lze přihlédnout k tomu, že skutečný dopad financovaných opatření v sociální oblasti lze sledovat až s odstupem mnoha let. Zároveň je v celé oblasti nízká míra inovace, tj. cíle pro budoucí období jsou z velké části přebírány z období stávajícího. Cíle jsou nicméně právě z důvodu nedostatečného věcného posunu stále aktuální. Z hlediska absorpční kapacity, hraje patrně větší roli než u jiných oblastí dosavadní nejistota ohledně budoucí míry spolufinancování - ta může být kritická pro příjemce z neziskového sektoru</w:t>
      </w:r>
      <w:r w:rsidR="00CF7F0C">
        <w:rPr>
          <w:sz w:val="22"/>
        </w:rPr>
        <w:t xml:space="preserve">, jehož prostřednictvím jsou do značné </w:t>
      </w:r>
      <w:r w:rsidR="00C003E6">
        <w:rPr>
          <w:sz w:val="22"/>
        </w:rPr>
        <w:t>míry</w:t>
      </w:r>
      <w:r w:rsidR="00CF7F0C">
        <w:rPr>
          <w:sz w:val="22"/>
        </w:rPr>
        <w:t xml:space="preserve"> zajišťovány sociální</w:t>
      </w:r>
      <w:r w:rsidR="00531D5C" w:rsidRPr="005F6BD9">
        <w:rPr>
          <w:sz w:val="22"/>
        </w:rPr>
        <w:t xml:space="preserve"> služby</w:t>
      </w:r>
      <w:r w:rsidR="00CF7F0C" w:rsidRPr="00590FD1">
        <w:rPr>
          <w:sz w:val="22"/>
        </w:rPr>
        <w:t>. Míra spolufinancování tak může mít zásadní dopad na zajištění a kontinuitu poskytovaní těchto služeb.</w:t>
      </w:r>
    </w:p>
    <w:p w:rsidR="000B7D2A" w:rsidRPr="00A9356E" w:rsidRDefault="000B7D2A" w:rsidP="000B7D2A">
      <w:pPr>
        <w:rPr>
          <w:sz w:val="22"/>
        </w:rPr>
      </w:pPr>
      <w:r w:rsidRPr="00A9356E">
        <w:rPr>
          <w:sz w:val="22"/>
        </w:rPr>
        <w:t xml:space="preserve">V rámci specifických cílů </w:t>
      </w:r>
      <w:r w:rsidRPr="00A9356E">
        <w:rPr>
          <w:i/>
          <w:sz w:val="22"/>
        </w:rPr>
        <w:t>Sociální začleňování</w:t>
      </w:r>
      <w:r w:rsidRPr="00A9356E">
        <w:rPr>
          <w:sz w:val="22"/>
        </w:rPr>
        <w:t xml:space="preserve"> a </w:t>
      </w:r>
      <w:r w:rsidRPr="00A9356E">
        <w:rPr>
          <w:i/>
          <w:sz w:val="22"/>
        </w:rPr>
        <w:t>Kvalitní a dostupná zdravotní péče</w:t>
      </w:r>
      <w:r w:rsidRPr="00A9356E">
        <w:rPr>
          <w:sz w:val="22"/>
        </w:rPr>
        <w:t xml:space="preserve"> jsou resortní strategie pro příští období teprve připravovány, a proto jsou hůře hodnoceny. Kvalitní strategií disponuje specifický cíl </w:t>
      </w:r>
      <w:r w:rsidRPr="00A9356E">
        <w:rPr>
          <w:i/>
          <w:sz w:val="22"/>
        </w:rPr>
        <w:t>Klientsky orientované sociální služby</w:t>
      </w:r>
      <w:r w:rsidRPr="00A9356E">
        <w:rPr>
          <w:sz w:val="22"/>
        </w:rPr>
        <w:t>; strategie k sociálnímu bydlení v současné době prochází zásadní revizí, což způsobuje nejistotu ohledně stanovených cílů a horší hodnocení. V národní politice bydlení dochází k </w:t>
      </w:r>
      <w:r w:rsidR="00E57537">
        <w:rPr>
          <w:sz w:val="22"/>
        </w:rPr>
        <w:t>rozšíření podpory</w:t>
      </w:r>
      <w:r w:rsidR="00E57537" w:rsidRPr="00A9356E">
        <w:rPr>
          <w:sz w:val="22"/>
        </w:rPr>
        <w:t xml:space="preserve"> </w:t>
      </w:r>
      <w:r w:rsidRPr="00A9356E">
        <w:rPr>
          <w:sz w:val="22"/>
        </w:rPr>
        <w:t xml:space="preserve">od </w:t>
      </w:r>
      <w:r w:rsidR="00E57537">
        <w:rPr>
          <w:sz w:val="22"/>
        </w:rPr>
        <w:t xml:space="preserve">úzce zaměřeného </w:t>
      </w:r>
      <w:r w:rsidRPr="00A9356E">
        <w:rPr>
          <w:sz w:val="22"/>
        </w:rPr>
        <w:t xml:space="preserve">sociálního bydlení </w:t>
      </w:r>
      <w:r w:rsidR="00E57537">
        <w:rPr>
          <w:sz w:val="22"/>
        </w:rPr>
        <w:t>na sociální a</w:t>
      </w:r>
      <w:r w:rsidRPr="00A9356E">
        <w:rPr>
          <w:sz w:val="22"/>
        </w:rPr>
        <w:t> dostupné bydlení, k čemuž je připraven i poměrně masivní národní dotační titul (který může mít dopad na absorpční kapacitu).</w:t>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 xml:space="preserve"> Kultura</w:t>
      </w:r>
    </w:p>
    <w:tbl>
      <w:tblPr>
        <w:tblW w:w="9151" w:type="dxa"/>
        <w:tblInd w:w="171" w:type="dxa"/>
        <w:tblCellMar>
          <w:left w:w="0" w:type="dxa"/>
          <w:right w:w="0" w:type="dxa"/>
        </w:tblCellMar>
        <w:tblLook w:val="04A0" w:firstRow="1" w:lastRow="0" w:firstColumn="1" w:lastColumn="0" w:noHBand="0" w:noVBand="1"/>
      </w:tblPr>
      <w:tblGrid>
        <w:gridCol w:w="1903"/>
        <w:gridCol w:w="1058"/>
        <w:gridCol w:w="1095"/>
        <w:gridCol w:w="1017"/>
        <w:gridCol w:w="941"/>
        <w:gridCol w:w="975"/>
        <w:gridCol w:w="1061"/>
        <w:gridCol w:w="1101"/>
      </w:tblGrid>
      <w:tr w:rsidR="00E94393" w:rsidRPr="00E94393" w:rsidTr="009E3951">
        <w:trPr>
          <w:trHeight w:val="598"/>
        </w:trPr>
        <w:tc>
          <w:tcPr>
            <w:tcW w:w="190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1" w:type="dxa"/>
              <w:bottom w:w="0" w:type="dxa"/>
              <w:right w:w="171" w:type="dxa"/>
            </w:tcMar>
            <w:hideMark/>
          </w:tcPr>
          <w:p w:rsidR="00E94393" w:rsidRPr="00B86EAD" w:rsidRDefault="00E94393">
            <w:pPr>
              <w:rPr>
                <w:rFonts w:eastAsia="Times New Roman"/>
                <w:sz w:val="18"/>
                <w:szCs w:val="18"/>
                <w:lang w:eastAsia="cs-CZ"/>
              </w:rPr>
            </w:pPr>
          </w:p>
        </w:tc>
        <w:tc>
          <w:tcPr>
            <w:tcW w:w="105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 xml:space="preserve">Celkem </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imes New Roman"/>
                <w:color w:val="FFFFFF" w:themeColor="light1"/>
                <w:sz w:val="18"/>
                <w:szCs w:val="18"/>
                <w:lang w:val="en-US" w:eastAsia="cs-CZ"/>
              </w:rPr>
              <w:t>ax</w:t>
            </w:r>
            <w:r w:rsidRPr="00B86EAD">
              <w:rPr>
                <w:rFonts w:eastAsia="Times New Roman"/>
                <w:color w:val="FFFFFF" w:themeColor="light1"/>
                <w:sz w:val="18"/>
                <w:szCs w:val="18"/>
                <w:lang w:eastAsia="cs-CZ"/>
              </w:rPr>
              <w:t xml:space="preserve"> 100, </w:t>
            </w:r>
            <w:r w:rsidRPr="00B86EAD">
              <w:rPr>
                <w:rFonts w:eastAsia="Times New Roman"/>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76,9</w:t>
            </w:r>
            <w:r w:rsidRPr="00B86EAD">
              <w:rPr>
                <w:rFonts w:eastAsiaTheme="minorEastAsia"/>
                <w:color w:val="FFFFFF" w:themeColor="light1"/>
                <w:sz w:val="18"/>
                <w:szCs w:val="18"/>
                <w:lang w:eastAsia="cs-CZ"/>
              </w:rPr>
              <w:t>)</w:t>
            </w:r>
          </w:p>
        </w:tc>
        <w:tc>
          <w:tcPr>
            <w:tcW w:w="10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Důležitost (</w:t>
            </w:r>
            <w:r w:rsidRPr="00B86EAD">
              <w:rPr>
                <w:rFonts w:eastAsiaTheme="minorEastAsia"/>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28</w:t>
            </w:r>
            <w:r w:rsidRPr="00B86EAD">
              <w:rPr>
                <w:rFonts w:eastAsiaTheme="minorEastAsia"/>
                <w:color w:val="FFFFFF" w:themeColor="light1"/>
                <w:sz w:val="18"/>
                <w:szCs w:val="18"/>
                <w:lang w:eastAsia="cs-CZ"/>
              </w:rPr>
              <w:t>, ø</w:t>
            </w:r>
            <w:r w:rsidRPr="00B86EAD">
              <w:rPr>
                <w:rFonts w:eastAsiaTheme="minorEastAsia"/>
                <w:color w:val="FFFFFF" w:themeColor="light1"/>
                <w:sz w:val="18"/>
                <w:szCs w:val="18"/>
                <w:lang w:val="en-US" w:eastAsia="cs-CZ"/>
              </w:rPr>
              <w:t xml:space="preserve"> 22,9</w:t>
            </w:r>
            <w:r w:rsidRPr="00B86EAD">
              <w:rPr>
                <w:rFonts w:eastAsiaTheme="minorEastAsia"/>
                <w:color w:val="FFFFFF" w:themeColor="light1"/>
                <w:sz w:val="18"/>
                <w:szCs w:val="18"/>
                <w:lang w:eastAsia="cs-CZ"/>
              </w:rPr>
              <w:t>)</w:t>
            </w:r>
          </w:p>
        </w:tc>
        <w:tc>
          <w:tcPr>
            <w:tcW w:w="10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Strategie</w:t>
            </w:r>
            <w:r w:rsidRPr="00B86EAD">
              <w:rPr>
                <w:rFonts w:eastAsia="Times New Roman"/>
                <w:color w:val="FFFFFF" w:themeColor="light1"/>
                <w:sz w:val="18"/>
                <w:szCs w:val="18"/>
                <w:lang w:val="en-US" w:eastAsia="cs-CZ"/>
              </w:rPr>
              <w:br/>
            </w: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18</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14,5</w:t>
            </w:r>
            <w:r w:rsidRPr="00B86EAD">
              <w:rPr>
                <w:rFonts w:eastAsiaTheme="minorEastAsia"/>
                <w:color w:val="FFFFFF" w:themeColor="light1"/>
                <w:sz w:val="18"/>
                <w:szCs w:val="18"/>
                <w:lang w:eastAsia="cs-CZ"/>
              </w:rPr>
              <w:t>)</w:t>
            </w:r>
          </w:p>
        </w:tc>
        <w:tc>
          <w:tcPr>
            <w:tcW w:w="94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Cíle</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w:t>
            </w:r>
            <w:r w:rsidRPr="00B86EAD">
              <w:rPr>
                <w:rFonts w:eastAsiaTheme="minorEastAsia"/>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12</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9,1</w:t>
            </w:r>
            <w:r w:rsidRPr="00B86EAD">
              <w:rPr>
                <w:rFonts w:eastAsiaTheme="minorEastAsia"/>
                <w:color w:val="FFFFFF" w:themeColor="light1"/>
                <w:sz w:val="18"/>
                <w:szCs w:val="18"/>
                <w:lang w:eastAsia="cs-CZ"/>
              </w:rPr>
              <w:t>)</w:t>
            </w:r>
          </w:p>
        </w:tc>
        <w:tc>
          <w:tcPr>
            <w:tcW w:w="9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Posun</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10</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7,4</w:t>
            </w:r>
            <w:r w:rsidRPr="00B86EAD">
              <w:rPr>
                <w:rFonts w:eastAsiaTheme="minorEastAsia"/>
                <w:color w:val="FFFFFF" w:themeColor="light1"/>
                <w:sz w:val="18"/>
                <w:szCs w:val="18"/>
                <w:lang w:eastAsia="cs-CZ"/>
              </w:rPr>
              <w:t>)</w:t>
            </w:r>
          </w:p>
        </w:tc>
        <w:tc>
          <w:tcPr>
            <w:tcW w:w="106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Absorpce</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20</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14,8</w:t>
            </w:r>
            <w:r w:rsidRPr="00B86EAD">
              <w:rPr>
                <w:rFonts w:eastAsiaTheme="minorEastAsia"/>
                <w:color w:val="FFFFFF" w:themeColor="light1"/>
                <w:sz w:val="18"/>
                <w:szCs w:val="18"/>
                <w:lang w:eastAsia="cs-CZ"/>
              </w:rPr>
              <w:t>)</w:t>
            </w:r>
          </w:p>
        </w:tc>
        <w:tc>
          <w:tcPr>
            <w:tcW w:w="110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 xml:space="preserve">Alt. </w:t>
            </w:r>
            <w:r w:rsidRPr="00B86EAD">
              <w:rPr>
                <w:rFonts w:eastAsia="Times New Roman"/>
                <w:color w:val="FFFFFF" w:themeColor="light1"/>
                <w:sz w:val="18"/>
                <w:szCs w:val="18"/>
                <w:lang w:val="en-US" w:eastAsia="cs-CZ"/>
              </w:rPr>
              <w:t>z</w:t>
            </w:r>
            <w:r w:rsidRPr="00B86EAD">
              <w:rPr>
                <w:rFonts w:eastAsia="Times New Roman"/>
                <w:color w:val="FFFFFF" w:themeColor="light1"/>
                <w:sz w:val="18"/>
                <w:szCs w:val="18"/>
                <w:lang w:eastAsia="cs-CZ"/>
              </w:rPr>
              <w:t>droje</w:t>
            </w:r>
          </w:p>
          <w:p w:rsidR="00E94393" w:rsidRDefault="00E94393" w:rsidP="00E94393">
            <w:pPr>
              <w:spacing w:before="0" w:line="256" w:lineRule="auto"/>
              <w:jc w:val="left"/>
              <w:rPr>
                <w:rFonts w:eastAsiaTheme="minorEastAsia"/>
                <w:color w:val="FFFFFF" w:themeColor="light1"/>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12</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8,4</w:t>
            </w:r>
            <w:r w:rsidRPr="00B86EAD">
              <w:rPr>
                <w:rFonts w:eastAsiaTheme="minorEastAsia"/>
                <w:color w:val="FFFFFF" w:themeColor="light1"/>
                <w:sz w:val="18"/>
                <w:szCs w:val="18"/>
                <w:lang w:eastAsia="cs-CZ"/>
              </w:rPr>
              <w:t>)</w:t>
            </w:r>
          </w:p>
          <w:p w:rsidR="00B86EAD" w:rsidRPr="00B86EAD" w:rsidRDefault="00B86EAD" w:rsidP="00E94393">
            <w:pPr>
              <w:spacing w:before="0" w:line="256" w:lineRule="auto"/>
              <w:jc w:val="left"/>
              <w:rPr>
                <w:rFonts w:eastAsia="Times New Roman"/>
                <w:sz w:val="18"/>
                <w:szCs w:val="18"/>
                <w:lang w:eastAsia="cs-CZ"/>
              </w:rPr>
            </w:pPr>
          </w:p>
        </w:tc>
      </w:tr>
      <w:tr w:rsidR="00E94393" w:rsidRPr="00E94393" w:rsidTr="009E3951">
        <w:trPr>
          <w:trHeight w:val="732"/>
        </w:trPr>
        <w:tc>
          <w:tcPr>
            <w:tcW w:w="1903"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71" w:type="dxa"/>
              <w:bottom w:w="0" w:type="dxa"/>
              <w:right w:w="171" w:type="dxa"/>
            </w:tcMar>
            <w:hideMark/>
          </w:tcPr>
          <w:p w:rsidR="00E94393" w:rsidRPr="00A9356E" w:rsidRDefault="00E94393" w:rsidP="00A9356E">
            <w:pPr>
              <w:spacing w:before="0" w:line="256" w:lineRule="auto"/>
              <w:jc w:val="left"/>
              <w:rPr>
                <w:rFonts w:eastAsia="Times New Roman"/>
                <w:b/>
                <w:lang w:eastAsia="cs-CZ"/>
              </w:rPr>
            </w:pPr>
            <w:r w:rsidRPr="00A9356E">
              <w:rPr>
                <w:rFonts w:eastAsia="Times New Roman"/>
                <w:b/>
                <w:color w:val="FFFFFF" w:themeColor="light1"/>
                <w:lang w:eastAsia="cs-CZ"/>
              </w:rPr>
              <w:t>Ochrana, rozvoj a podpora kulturního dědictví</w:t>
            </w:r>
          </w:p>
        </w:tc>
        <w:tc>
          <w:tcPr>
            <w:tcW w:w="105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76,5</w:t>
            </w:r>
          </w:p>
        </w:tc>
        <w:tc>
          <w:tcPr>
            <w:tcW w:w="109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20,7</w:t>
            </w:r>
          </w:p>
        </w:tc>
        <w:tc>
          <w:tcPr>
            <w:tcW w:w="10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13,0</w:t>
            </w:r>
          </w:p>
        </w:tc>
        <w:tc>
          <w:tcPr>
            <w:tcW w:w="94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8,6</w:t>
            </w:r>
          </w:p>
        </w:tc>
        <w:tc>
          <w:tcPr>
            <w:tcW w:w="97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8,3</w:t>
            </w:r>
          </w:p>
        </w:tc>
        <w:tc>
          <w:tcPr>
            <w:tcW w:w="106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17,5</w:t>
            </w:r>
          </w:p>
        </w:tc>
        <w:tc>
          <w:tcPr>
            <w:tcW w:w="110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1" w:type="dxa"/>
              <w:bottom w:w="0" w:type="dxa"/>
              <w:right w:w="171" w:type="dxa"/>
            </w:tcMar>
            <w:hideMark/>
          </w:tcPr>
          <w:p w:rsidR="00B86EAD" w:rsidRDefault="00B86EAD" w:rsidP="00A9356E">
            <w:pPr>
              <w:spacing w:before="0" w:line="256" w:lineRule="auto"/>
              <w:jc w:val="center"/>
              <w:rPr>
                <w:rFonts w:eastAsia="Times New Roman"/>
                <w:b/>
                <w:color w:val="000000" w:themeColor="dark1"/>
                <w:lang w:eastAsia="cs-CZ"/>
              </w:rPr>
            </w:pPr>
          </w:p>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8,4</w:t>
            </w:r>
          </w:p>
        </w:tc>
      </w:tr>
    </w:tbl>
    <w:p w:rsidR="00880F85" w:rsidRPr="00222AA7" w:rsidRDefault="00880F85" w:rsidP="00A9356E">
      <w:pPr>
        <w:rPr>
          <w:sz w:val="22"/>
        </w:rPr>
      </w:pPr>
      <w:r w:rsidRPr="00A9356E">
        <w:rPr>
          <w:sz w:val="22"/>
        </w:rPr>
        <w:t xml:space="preserve">Kultura </w:t>
      </w:r>
      <w:r w:rsidRPr="00A416C4">
        <w:rPr>
          <w:sz w:val="22"/>
        </w:rPr>
        <w:t xml:space="preserve">je širokým tématem sama o sobě, nicméně v rámci NKR je </w:t>
      </w:r>
      <w:r w:rsidR="00BC6F8D" w:rsidRPr="00A416C4">
        <w:rPr>
          <w:sz w:val="22"/>
        </w:rPr>
        <w:t xml:space="preserve">zkoncentrována do </w:t>
      </w:r>
      <w:r w:rsidR="00BC6F8D" w:rsidRPr="00F875B5">
        <w:rPr>
          <w:sz w:val="22"/>
        </w:rPr>
        <w:t>jednoho SC Ochrana, rozvoj a podpora kulturního dědictví a to z důvodu</w:t>
      </w:r>
      <w:r w:rsidR="00BC6F8D" w:rsidRPr="00A416C4">
        <w:rPr>
          <w:sz w:val="22"/>
        </w:rPr>
        <w:t xml:space="preserve"> koncentrace většího množství podtémat, které s kulturním dědictvím souvisejí (hmotné i nehmotné kulturní dědictví, paměťové instituce, živé umění a kulturní/kreativní průmysly apod.). Vzhledem k vysokému historickému dluhu zejména na nemovitém kulturním dědictví </w:t>
      </w:r>
      <w:r w:rsidR="00F875B5">
        <w:rPr>
          <w:sz w:val="22"/>
        </w:rPr>
        <w:br/>
      </w:r>
      <w:r w:rsidR="00BC6F8D" w:rsidRPr="00A416C4">
        <w:rPr>
          <w:sz w:val="22"/>
        </w:rPr>
        <w:t xml:space="preserve">a velkému množství rozličných kulturních památek je tato oblast, stejně jako oblast Dopravy, typická vysokou absorpční kapacitou. </w:t>
      </w:r>
      <w:r w:rsidR="00A65522" w:rsidRPr="00A416C4">
        <w:rPr>
          <w:sz w:val="22"/>
        </w:rPr>
        <w:t xml:space="preserve">A také relativním nedostatkem (vzhledem ke svému rozsahu) alternativních zdrojů financování. Oblast Kultury je dobře pokryta strategickými dokumenty a má svojí relativní vysokou důležitost. Bude proto nutné vnitřně prioritizovat jednotlivá podtémata tohoto SC tak, aby se akcentoval jednak typický </w:t>
      </w:r>
      <w:r w:rsidR="00A65522" w:rsidRPr="00BE32BD">
        <w:rPr>
          <w:sz w:val="22"/>
        </w:rPr>
        <w:t xml:space="preserve">„hlad“ po obnově památek, ale zároveň se podpořily inovativní formy komercionalizace kulturního dědictví, jak mimo (kulturní a kreativní průmysly), tak uvnitř kulturně-historického prostředí (památkové objekty, památkové zóny/rezervace), aby si oblast Kultury hledala díky synergiím </w:t>
      </w:r>
      <w:r w:rsidR="00A65522" w:rsidRPr="002523DF">
        <w:rPr>
          <w:sz w:val="22"/>
        </w:rPr>
        <w:t xml:space="preserve">citlivě vyvážených </w:t>
      </w:r>
      <w:r w:rsidR="00A65522" w:rsidRPr="00222AA7">
        <w:rPr>
          <w:sz w:val="22"/>
        </w:rPr>
        <w:t>nekomerčních a komerčních aktivit</w:t>
      </w:r>
      <w:r w:rsidR="00A65522" w:rsidRPr="005C58A1">
        <w:rPr>
          <w:sz w:val="22"/>
        </w:rPr>
        <w:t xml:space="preserve"> vlastní dlouhodobou udržitelnost</w:t>
      </w:r>
      <w:r w:rsidR="00A65522" w:rsidRPr="00222AA7">
        <w:rPr>
          <w:sz w:val="22"/>
        </w:rPr>
        <w:t>.</w:t>
      </w:r>
    </w:p>
    <w:p w:rsidR="00062678" w:rsidRDefault="00062678">
      <w:pPr>
        <w:spacing w:before="0" w:line="240" w:lineRule="auto"/>
        <w:jc w:val="left"/>
        <w:rPr>
          <w:b/>
          <w:sz w:val="22"/>
          <w:szCs w:val="22"/>
        </w:rPr>
      </w:pPr>
      <w:r>
        <w:rPr>
          <w:b/>
          <w:sz w:val="22"/>
          <w:szCs w:val="22"/>
        </w:rPr>
        <w:br w:type="page"/>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Výzkumný a inovační systém</w:t>
      </w:r>
    </w:p>
    <w:tbl>
      <w:tblPr>
        <w:tblW w:w="9070" w:type="dxa"/>
        <w:tblInd w:w="148" w:type="dxa"/>
        <w:tblCellMar>
          <w:left w:w="0" w:type="dxa"/>
          <w:right w:w="0" w:type="dxa"/>
        </w:tblCellMar>
        <w:tblLook w:val="04A0" w:firstRow="1" w:lastRow="0" w:firstColumn="1" w:lastColumn="0" w:noHBand="0" w:noVBand="1"/>
      </w:tblPr>
      <w:tblGrid>
        <w:gridCol w:w="2127"/>
        <w:gridCol w:w="862"/>
        <w:gridCol w:w="1095"/>
        <w:gridCol w:w="1017"/>
        <w:gridCol w:w="692"/>
        <w:gridCol w:w="226"/>
        <w:gridCol w:w="941"/>
        <w:gridCol w:w="1061"/>
        <w:gridCol w:w="1049"/>
      </w:tblGrid>
      <w:tr w:rsidR="00516F0E" w:rsidRPr="00516F0E" w:rsidTr="00F875B5">
        <w:trPr>
          <w:trHeight w:val="1086"/>
        </w:trPr>
        <w:tc>
          <w:tcPr>
            <w:tcW w:w="212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48" w:type="dxa"/>
              <w:bottom w:w="0" w:type="dxa"/>
              <w:right w:w="148" w:type="dxa"/>
            </w:tcMar>
            <w:hideMark/>
          </w:tcPr>
          <w:p w:rsidR="00E94393" w:rsidRPr="00A9356E" w:rsidRDefault="00E94393" w:rsidP="00A9356E">
            <w:pPr>
              <w:pStyle w:val="Normlnweb"/>
              <w:spacing w:before="0" w:beforeAutospacing="0" w:after="0" w:afterAutospacing="0" w:line="256" w:lineRule="auto"/>
              <w:rPr>
                <w:sz w:val="20"/>
                <w:szCs w:val="20"/>
                <w:lang w:eastAsia="cs-CZ"/>
              </w:rPr>
            </w:pPr>
          </w:p>
        </w:tc>
        <w:tc>
          <w:tcPr>
            <w:tcW w:w="86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 xml:space="preserve">Celkem </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imes New Roman"/>
                <w:color w:val="FFFFFF" w:themeColor="light1"/>
                <w:sz w:val="18"/>
                <w:szCs w:val="18"/>
                <w:lang w:val="en-US" w:eastAsia="cs-CZ"/>
              </w:rPr>
              <w:t>ax</w:t>
            </w:r>
            <w:r w:rsidRPr="00B86EAD">
              <w:rPr>
                <w:rFonts w:eastAsia="Times New Roman"/>
                <w:color w:val="FFFFFF" w:themeColor="light1"/>
                <w:sz w:val="18"/>
                <w:szCs w:val="18"/>
                <w:lang w:eastAsia="cs-CZ"/>
              </w:rPr>
              <w:t xml:space="preserve"> 100, </w:t>
            </w:r>
            <w:r w:rsidRPr="00B86EAD">
              <w:rPr>
                <w:rFonts w:eastAsia="Times New Roman"/>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76,9</w:t>
            </w:r>
            <w:r w:rsidRPr="00B86EAD">
              <w:rPr>
                <w:rFonts w:eastAsiaTheme="minorEastAsia"/>
                <w:color w:val="FFFFFF" w:themeColor="light1"/>
                <w:sz w:val="18"/>
                <w:szCs w:val="18"/>
                <w:lang w:eastAsia="cs-CZ"/>
              </w:rPr>
              <w:t>)</w:t>
            </w:r>
          </w:p>
        </w:tc>
        <w:tc>
          <w:tcPr>
            <w:tcW w:w="10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Důležitost (</w:t>
            </w:r>
            <w:r w:rsidRPr="00B86EAD">
              <w:rPr>
                <w:rFonts w:eastAsiaTheme="minorEastAsia"/>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28</w:t>
            </w:r>
            <w:r w:rsidRPr="00B86EAD">
              <w:rPr>
                <w:rFonts w:eastAsiaTheme="minorEastAsia"/>
                <w:color w:val="FFFFFF" w:themeColor="light1"/>
                <w:sz w:val="18"/>
                <w:szCs w:val="18"/>
                <w:lang w:eastAsia="cs-CZ"/>
              </w:rPr>
              <w:t>, ø</w:t>
            </w:r>
            <w:r w:rsidRPr="00B86EAD">
              <w:rPr>
                <w:rFonts w:eastAsiaTheme="minorEastAsia"/>
                <w:color w:val="FFFFFF" w:themeColor="light1"/>
                <w:sz w:val="18"/>
                <w:szCs w:val="18"/>
                <w:lang w:val="en-US" w:eastAsia="cs-CZ"/>
              </w:rPr>
              <w:t xml:space="preserve"> 22,9</w:t>
            </w:r>
            <w:r w:rsidRPr="00B86EAD">
              <w:rPr>
                <w:rFonts w:eastAsiaTheme="minorEastAsia"/>
                <w:color w:val="FFFFFF" w:themeColor="light1"/>
                <w:sz w:val="18"/>
                <w:szCs w:val="18"/>
                <w:lang w:eastAsia="cs-CZ"/>
              </w:rPr>
              <w:t>)</w:t>
            </w:r>
          </w:p>
        </w:tc>
        <w:tc>
          <w:tcPr>
            <w:tcW w:w="10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Strategie</w:t>
            </w:r>
            <w:r w:rsidRPr="00B86EAD">
              <w:rPr>
                <w:rFonts w:eastAsia="Times New Roman"/>
                <w:color w:val="FFFFFF" w:themeColor="light1"/>
                <w:sz w:val="18"/>
                <w:szCs w:val="18"/>
                <w:lang w:val="en-US" w:eastAsia="cs-CZ"/>
              </w:rPr>
              <w:br/>
            </w: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18</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14,5</w:t>
            </w:r>
            <w:r w:rsidRPr="00B86EAD">
              <w:rPr>
                <w:rFonts w:eastAsiaTheme="minorEastAsia"/>
                <w:color w:val="FFFFFF" w:themeColor="light1"/>
                <w:sz w:val="18"/>
                <w:szCs w:val="18"/>
                <w:lang w:eastAsia="cs-CZ"/>
              </w:rPr>
              <w:t>)</w:t>
            </w:r>
          </w:p>
        </w:tc>
        <w:tc>
          <w:tcPr>
            <w:tcW w:w="91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Cíle</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w:t>
            </w:r>
            <w:r w:rsidRPr="00B86EAD">
              <w:rPr>
                <w:rFonts w:eastAsiaTheme="minorEastAsia"/>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12</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9,1</w:t>
            </w:r>
            <w:r w:rsidRPr="00B86EAD">
              <w:rPr>
                <w:rFonts w:eastAsiaTheme="minorEastAsia"/>
                <w:color w:val="FFFFFF" w:themeColor="light1"/>
                <w:sz w:val="18"/>
                <w:szCs w:val="18"/>
                <w:lang w:eastAsia="cs-CZ"/>
              </w:rPr>
              <w:t>)</w:t>
            </w:r>
          </w:p>
        </w:tc>
        <w:tc>
          <w:tcPr>
            <w:tcW w:w="94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Posun</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10</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7,4</w:t>
            </w:r>
            <w:r w:rsidRPr="00B86EAD">
              <w:rPr>
                <w:rFonts w:eastAsiaTheme="minorEastAsia"/>
                <w:color w:val="FFFFFF" w:themeColor="light1"/>
                <w:sz w:val="18"/>
                <w:szCs w:val="18"/>
                <w:lang w:eastAsia="cs-CZ"/>
              </w:rPr>
              <w:t>)</w:t>
            </w:r>
          </w:p>
        </w:tc>
        <w:tc>
          <w:tcPr>
            <w:tcW w:w="106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Absorpce</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20</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14,8</w:t>
            </w:r>
            <w:r w:rsidRPr="00B86EAD">
              <w:rPr>
                <w:rFonts w:eastAsiaTheme="minorEastAsia"/>
                <w:color w:val="FFFFFF" w:themeColor="light1"/>
                <w:sz w:val="18"/>
                <w:szCs w:val="18"/>
                <w:lang w:eastAsia="cs-CZ"/>
              </w:rPr>
              <w:t>)</w:t>
            </w:r>
          </w:p>
        </w:tc>
        <w:tc>
          <w:tcPr>
            <w:tcW w:w="10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 xml:space="preserve">Alt. </w:t>
            </w:r>
            <w:r w:rsidRPr="00B86EAD">
              <w:rPr>
                <w:rFonts w:eastAsia="Times New Roman"/>
                <w:color w:val="FFFFFF" w:themeColor="light1"/>
                <w:sz w:val="18"/>
                <w:szCs w:val="18"/>
                <w:lang w:val="en-US" w:eastAsia="cs-CZ"/>
              </w:rPr>
              <w:t>z</w:t>
            </w:r>
            <w:r w:rsidRPr="00B86EAD">
              <w:rPr>
                <w:rFonts w:eastAsia="Times New Roman"/>
                <w:color w:val="FFFFFF" w:themeColor="light1"/>
                <w:sz w:val="18"/>
                <w:szCs w:val="18"/>
                <w:lang w:eastAsia="cs-CZ"/>
              </w:rPr>
              <w:t>droje</w:t>
            </w:r>
          </w:p>
          <w:p w:rsidR="00E94393" w:rsidRPr="00B86EAD" w:rsidRDefault="00E94393" w:rsidP="00E94393">
            <w:pPr>
              <w:spacing w:before="0" w:line="256" w:lineRule="auto"/>
              <w:jc w:val="left"/>
              <w:rPr>
                <w:rFonts w:eastAsia="Times New Roman"/>
                <w:sz w:val="18"/>
                <w:szCs w:val="18"/>
                <w:lang w:eastAsia="cs-CZ"/>
              </w:rPr>
            </w:pPr>
            <w:r w:rsidRPr="00B86EAD">
              <w:rPr>
                <w:rFonts w:eastAsia="Times New Roman"/>
                <w:color w:val="FFFFFF" w:themeColor="light1"/>
                <w:sz w:val="18"/>
                <w:szCs w:val="18"/>
                <w:lang w:eastAsia="cs-CZ"/>
              </w:rPr>
              <w:t>(m</w:t>
            </w:r>
            <w:r w:rsidRPr="00B86EAD">
              <w:rPr>
                <w:rFonts w:eastAsiaTheme="minorEastAsia"/>
                <w:color w:val="FFFFFF" w:themeColor="light1"/>
                <w:sz w:val="18"/>
                <w:szCs w:val="18"/>
                <w:lang w:val="en-US" w:eastAsia="cs-CZ"/>
              </w:rPr>
              <w:t>ax</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t>12</w:t>
            </w:r>
            <w:r w:rsidRPr="00B86EAD">
              <w:rPr>
                <w:rFonts w:eastAsiaTheme="minorEastAsia"/>
                <w:color w:val="FFFFFF" w:themeColor="light1"/>
                <w:sz w:val="18"/>
                <w:szCs w:val="18"/>
                <w:lang w:eastAsia="cs-CZ"/>
              </w:rPr>
              <w:t xml:space="preserve">, </w:t>
            </w:r>
            <w:r w:rsidRPr="00B86EAD">
              <w:rPr>
                <w:rFonts w:eastAsiaTheme="minorEastAsia"/>
                <w:color w:val="FFFFFF" w:themeColor="light1"/>
                <w:sz w:val="18"/>
                <w:szCs w:val="18"/>
                <w:lang w:val="en-US" w:eastAsia="cs-CZ"/>
              </w:rPr>
              <w:br/>
            </w:r>
            <w:r w:rsidRPr="00B86EAD">
              <w:rPr>
                <w:rFonts w:eastAsiaTheme="minorEastAsia"/>
                <w:color w:val="FFFFFF" w:themeColor="light1"/>
                <w:sz w:val="18"/>
                <w:szCs w:val="18"/>
                <w:lang w:eastAsia="cs-CZ"/>
              </w:rPr>
              <w:t>ø</w:t>
            </w:r>
            <w:r w:rsidRPr="00B86EAD">
              <w:rPr>
                <w:rFonts w:eastAsiaTheme="minorEastAsia"/>
                <w:color w:val="FFFFFF" w:themeColor="light1"/>
                <w:sz w:val="18"/>
                <w:szCs w:val="18"/>
                <w:lang w:val="en-US" w:eastAsia="cs-CZ"/>
              </w:rPr>
              <w:t xml:space="preserve"> 8,4</w:t>
            </w:r>
            <w:r w:rsidRPr="00B86EAD">
              <w:rPr>
                <w:rFonts w:eastAsiaTheme="minorEastAsia"/>
                <w:color w:val="FFFFFF" w:themeColor="light1"/>
                <w:sz w:val="18"/>
                <w:szCs w:val="18"/>
                <w:lang w:eastAsia="cs-CZ"/>
              </w:rPr>
              <w:t>)</w:t>
            </w:r>
          </w:p>
        </w:tc>
      </w:tr>
      <w:tr w:rsidR="00516F0E" w:rsidRPr="00516F0E" w:rsidTr="00F875B5">
        <w:trPr>
          <w:trHeight w:val="642"/>
        </w:trPr>
        <w:tc>
          <w:tcPr>
            <w:tcW w:w="2127" w:type="dxa"/>
            <w:tcBorders>
              <w:top w:val="single" w:sz="24" w:space="0" w:color="FFFFFF"/>
              <w:left w:val="single" w:sz="8" w:space="0" w:color="FFFFFF"/>
              <w:bottom w:val="single" w:sz="24" w:space="0" w:color="FFFFFF" w:themeColor="background1"/>
              <w:right w:val="single" w:sz="8" w:space="0" w:color="FFFFFF"/>
            </w:tcBorders>
            <w:shd w:val="clear" w:color="auto" w:fill="4F81BD"/>
            <w:tcMar>
              <w:top w:w="15" w:type="dxa"/>
              <w:left w:w="148" w:type="dxa"/>
              <w:bottom w:w="0" w:type="dxa"/>
              <w:right w:w="148" w:type="dxa"/>
            </w:tcMar>
            <w:hideMark/>
          </w:tcPr>
          <w:p w:rsidR="00E94393" w:rsidRPr="00A9356E" w:rsidRDefault="00E94393" w:rsidP="00A9356E">
            <w:pPr>
              <w:spacing w:before="0" w:line="256" w:lineRule="auto"/>
              <w:jc w:val="left"/>
              <w:rPr>
                <w:rFonts w:eastAsia="Times New Roman"/>
                <w:b/>
                <w:lang w:eastAsia="cs-CZ"/>
              </w:rPr>
            </w:pPr>
            <w:r w:rsidRPr="00A9356E">
              <w:rPr>
                <w:rFonts w:eastAsia="Times New Roman"/>
                <w:b/>
                <w:color w:val="FFFFFF" w:themeColor="light1"/>
                <w:lang w:eastAsia="cs-CZ"/>
              </w:rPr>
              <w:t xml:space="preserve">Výzkumný </w:t>
            </w:r>
            <w:r w:rsidR="00B86EAD">
              <w:rPr>
                <w:rFonts w:eastAsia="Times New Roman"/>
                <w:b/>
                <w:color w:val="FFFFFF" w:themeColor="light1"/>
                <w:lang w:eastAsia="cs-CZ"/>
              </w:rPr>
              <w:br/>
            </w:r>
            <w:r w:rsidRPr="00A9356E">
              <w:rPr>
                <w:rFonts w:eastAsia="Times New Roman"/>
                <w:b/>
                <w:color w:val="FFFFFF" w:themeColor="light1"/>
                <w:lang w:eastAsia="cs-CZ"/>
              </w:rPr>
              <w:t>a inovační systém</w:t>
            </w:r>
          </w:p>
        </w:tc>
        <w:tc>
          <w:tcPr>
            <w:tcW w:w="862"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78,4</w:t>
            </w:r>
          </w:p>
        </w:tc>
        <w:tc>
          <w:tcPr>
            <w:tcW w:w="1095"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25,4</w:t>
            </w:r>
          </w:p>
        </w:tc>
        <w:tc>
          <w:tcPr>
            <w:tcW w:w="1017"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16,0</w:t>
            </w:r>
          </w:p>
        </w:tc>
        <w:tc>
          <w:tcPr>
            <w:tcW w:w="692"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9,0</w:t>
            </w:r>
          </w:p>
        </w:tc>
        <w:tc>
          <w:tcPr>
            <w:tcW w:w="1167" w:type="dxa"/>
            <w:gridSpan w:val="2"/>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7,4</w:t>
            </w:r>
          </w:p>
        </w:tc>
        <w:tc>
          <w:tcPr>
            <w:tcW w:w="1061"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13,5</w:t>
            </w:r>
          </w:p>
        </w:tc>
        <w:tc>
          <w:tcPr>
            <w:tcW w:w="1049" w:type="dxa"/>
            <w:tcBorders>
              <w:top w:val="single" w:sz="24" w:space="0" w:color="FFFFFF"/>
              <w:left w:val="single" w:sz="8" w:space="0" w:color="FFFFFF"/>
              <w:bottom w:val="single" w:sz="24" w:space="0" w:color="FFFFFF" w:themeColor="background1"/>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7,2</w:t>
            </w:r>
          </w:p>
        </w:tc>
      </w:tr>
      <w:tr w:rsidR="00516F0E" w:rsidRPr="00516F0E" w:rsidTr="00F875B5">
        <w:trPr>
          <w:trHeight w:val="824"/>
        </w:trPr>
        <w:tc>
          <w:tcPr>
            <w:tcW w:w="2127" w:type="dxa"/>
            <w:tcBorders>
              <w:top w:val="single" w:sz="24" w:space="0" w:color="FFFFFF" w:themeColor="background1"/>
              <w:left w:val="single" w:sz="8" w:space="0" w:color="FFFFFF"/>
              <w:bottom w:val="single" w:sz="8" w:space="0" w:color="FFFFFF"/>
              <w:right w:val="single" w:sz="8" w:space="0" w:color="FFFFFF"/>
            </w:tcBorders>
            <w:shd w:val="clear" w:color="auto" w:fill="4F81BD"/>
            <w:tcMar>
              <w:top w:w="15" w:type="dxa"/>
              <w:left w:w="148" w:type="dxa"/>
              <w:bottom w:w="0" w:type="dxa"/>
              <w:right w:w="148" w:type="dxa"/>
            </w:tcMar>
            <w:hideMark/>
          </w:tcPr>
          <w:p w:rsidR="00E94393" w:rsidRPr="00A9356E" w:rsidRDefault="00E94393" w:rsidP="00A9356E">
            <w:pPr>
              <w:spacing w:before="0" w:line="256" w:lineRule="auto"/>
              <w:jc w:val="left"/>
              <w:rPr>
                <w:rFonts w:eastAsia="Times New Roman"/>
                <w:lang w:eastAsia="cs-CZ"/>
              </w:rPr>
            </w:pPr>
            <w:r w:rsidRPr="00A9356E">
              <w:rPr>
                <w:rFonts w:eastAsia="Times New Roman"/>
                <w:color w:val="FFFFFF" w:themeColor="light1"/>
                <w:lang w:eastAsia="cs-CZ"/>
              </w:rPr>
              <w:t xml:space="preserve">Rozvoj zázemí pro kvalitní </w:t>
            </w:r>
            <w:r w:rsidR="00B86EAD">
              <w:rPr>
                <w:rFonts w:eastAsia="Times New Roman"/>
                <w:color w:val="FFFFFF" w:themeColor="light1"/>
                <w:lang w:eastAsia="cs-CZ"/>
              </w:rPr>
              <w:br/>
            </w:r>
            <w:r w:rsidRPr="00A9356E">
              <w:rPr>
                <w:rFonts w:eastAsia="Times New Roman"/>
                <w:color w:val="FFFFFF" w:themeColor="light1"/>
                <w:lang w:eastAsia="cs-CZ"/>
              </w:rPr>
              <w:t>a relevantní výzkum</w:t>
            </w:r>
          </w:p>
        </w:tc>
        <w:tc>
          <w:tcPr>
            <w:tcW w:w="86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82,1</w:t>
            </w:r>
          </w:p>
        </w:tc>
        <w:tc>
          <w:tcPr>
            <w:tcW w:w="1095"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24,9</w:t>
            </w:r>
          </w:p>
        </w:tc>
        <w:tc>
          <w:tcPr>
            <w:tcW w:w="1017"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16,3</w:t>
            </w:r>
          </w:p>
        </w:tc>
        <w:tc>
          <w:tcPr>
            <w:tcW w:w="692"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9,0</w:t>
            </w:r>
          </w:p>
        </w:tc>
        <w:tc>
          <w:tcPr>
            <w:tcW w:w="1167" w:type="dxa"/>
            <w:gridSpan w:val="2"/>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8,8</w:t>
            </w:r>
          </w:p>
        </w:tc>
        <w:tc>
          <w:tcPr>
            <w:tcW w:w="1061"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16,1</w:t>
            </w:r>
          </w:p>
        </w:tc>
        <w:tc>
          <w:tcPr>
            <w:tcW w:w="1049" w:type="dxa"/>
            <w:tcBorders>
              <w:top w:val="single" w:sz="24" w:space="0" w:color="FFFFFF" w:themeColor="background1"/>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7,1</w:t>
            </w:r>
          </w:p>
        </w:tc>
      </w:tr>
      <w:tr w:rsidR="00516F0E" w:rsidRPr="00516F0E" w:rsidTr="00F875B5">
        <w:trPr>
          <w:trHeight w:val="1674"/>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8" w:type="dxa"/>
              <w:bottom w:w="0" w:type="dxa"/>
              <w:right w:w="148" w:type="dxa"/>
            </w:tcMar>
            <w:hideMark/>
          </w:tcPr>
          <w:p w:rsidR="00E94393" w:rsidRPr="00A9356E" w:rsidRDefault="00E94393" w:rsidP="00A9356E">
            <w:pPr>
              <w:spacing w:before="0" w:line="256" w:lineRule="auto"/>
              <w:jc w:val="left"/>
              <w:rPr>
                <w:rFonts w:eastAsia="Times New Roman"/>
                <w:lang w:eastAsia="cs-CZ"/>
              </w:rPr>
            </w:pPr>
            <w:r w:rsidRPr="00A9356E">
              <w:rPr>
                <w:rFonts w:eastAsia="Times New Roman"/>
                <w:color w:val="FFFFFF" w:themeColor="light1"/>
                <w:lang w:eastAsia="cs-CZ"/>
              </w:rPr>
              <w:t xml:space="preserve">Podpora </w:t>
            </w:r>
            <w:r w:rsidR="004F2ECC" w:rsidRPr="00A9356E">
              <w:rPr>
                <w:rFonts w:eastAsia="Times New Roman"/>
                <w:color w:val="FFFFFF" w:themeColor="light1"/>
                <w:lang w:eastAsia="cs-CZ"/>
              </w:rPr>
              <w:t>inovac</w:t>
            </w:r>
            <w:r w:rsidR="004F2ECC">
              <w:rPr>
                <w:rFonts w:eastAsia="Times New Roman"/>
                <w:color w:val="FFFFFF" w:themeColor="light1"/>
                <w:lang w:eastAsia="cs-CZ"/>
              </w:rPr>
              <w:t>í</w:t>
            </w:r>
            <w:r w:rsidR="004F2ECC" w:rsidRPr="00A9356E">
              <w:rPr>
                <w:rFonts w:eastAsia="Times New Roman"/>
                <w:color w:val="FFFFFF" w:themeColor="light1"/>
                <w:lang w:eastAsia="cs-CZ"/>
              </w:rPr>
              <w:t xml:space="preserve"> prostřednictvím</w:t>
            </w:r>
            <w:r w:rsidRPr="00A9356E">
              <w:rPr>
                <w:rFonts w:eastAsia="Times New Roman"/>
                <w:color w:val="FFFFFF" w:themeColor="light1"/>
                <w:lang w:eastAsia="cs-CZ"/>
              </w:rPr>
              <w:t xml:space="preserve"> aplikovaného výzkumu </w:t>
            </w:r>
            <w:r w:rsidR="00B86EAD">
              <w:rPr>
                <w:rFonts w:eastAsia="Times New Roman"/>
                <w:color w:val="FFFFFF" w:themeColor="light1"/>
                <w:lang w:eastAsia="cs-CZ"/>
              </w:rPr>
              <w:br/>
              <w:t xml:space="preserve">a </w:t>
            </w:r>
            <w:r w:rsidRPr="00A9356E">
              <w:rPr>
                <w:rFonts w:eastAsia="Times New Roman"/>
                <w:color w:val="FFFFFF" w:themeColor="light1"/>
                <w:lang w:eastAsia="cs-CZ"/>
              </w:rPr>
              <w:t>experimentálního vývoje</w:t>
            </w:r>
          </w:p>
        </w:tc>
        <w:tc>
          <w:tcPr>
            <w:tcW w:w="86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80,5</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26,2</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16,4</w:t>
            </w:r>
          </w:p>
        </w:tc>
        <w:tc>
          <w:tcPr>
            <w:tcW w:w="6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8,9</w:t>
            </w:r>
          </w:p>
        </w:tc>
        <w:tc>
          <w:tcPr>
            <w:tcW w:w="116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7,3</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13,8</w:t>
            </w:r>
          </w:p>
        </w:tc>
        <w:tc>
          <w:tcPr>
            <w:tcW w:w="10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7,9</w:t>
            </w:r>
          </w:p>
        </w:tc>
      </w:tr>
      <w:tr w:rsidR="00516F0E" w:rsidRPr="00E94393" w:rsidTr="00F875B5">
        <w:trPr>
          <w:trHeight w:val="947"/>
        </w:trPr>
        <w:tc>
          <w:tcPr>
            <w:tcW w:w="212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48" w:type="dxa"/>
              <w:bottom w:w="0" w:type="dxa"/>
              <w:right w:w="148" w:type="dxa"/>
            </w:tcMar>
            <w:hideMark/>
          </w:tcPr>
          <w:p w:rsidR="00E94393" w:rsidRPr="00A9356E" w:rsidRDefault="00E94393" w:rsidP="00A9356E">
            <w:pPr>
              <w:spacing w:before="0" w:line="256" w:lineRule="auto"/>
              <w:jc w:val="left"/>
              <w:rPr>
                <w:rFonts w:eastAsia="Times New Roman"/>
                <w:lang w:eastAsia="cs-CZ"/>
              </w:rPr>
            </w:pPr>
            <w:r w:rsidRPr="00A9356E">
              <w:rPr>
                <w:rFonts w:eastAsia="Times New Roman"/>
                <w:color w:val="FFFFFF" w:themeColor="light1"/>
                <w:lang w:eastAsia="cs-CZ"/>
              </w:rPr>
              <w:t>Zkvalitnění strategického řízení VaVaI</w:t>
            </w:r>
          </w:p>
        </w:tc>
        <w:tc>
          <w:tcPr>
            <w:tcW w:w="86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b/>
                <w:lang w:eastAsia="cs-CZ"/>
              </w:rPr>
            </w:pPr>
            <w:r w:rsidRPr="00A9356E">
              <w:rPr>
                <w:rFonts w:eastAsia="Times New Roman"/>
                <w:b/>
                <w:color w:val="000000" w:themeColor="dark1"/>
                <w:lang w:eastAsia="cs-CZ"/>
              </w:rPr>
              <w:t>72,5</w:t>
            </w:r>
          </w:p>
        </w:tc>
        <w:tc>
          <w:tcPr>
            <w:tcW w:w="109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25,1</w:t>
            </w:r>
          </w:p>
        </w:tc>
        <w:tc>
          <w:tcPr>
            <w:tcW w:w="10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15,2</w:t>
            </w:r>
          </w:p>
        </w:tc>
        <w:tc>
          <w:tcPr>
            <w:tcW w:w="6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9,0</w:t>
            </w:r>
          </w:p>
        </w:tc>
        <w:tc>
          <w:tcPr>
            <w:tcW w:w="1167"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6,2</w:t>
            </w:r>
          </w:p>
        </w:tc>
        <w:tc>
          <w:tcPr>
            <w:tcW w:w="10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10,5</w:t>
            </w:r>
          </w:p>
        </w:tc>
        <w:tc>
          <w:tcPr>
            <w:tcW w:w="10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48" w:type="dxa"/>
              <w:bottom w:w="0" w:type="dxa"/>
              <w:right w:w="148" w:type="dxa"/>
            </w:tcMar>
            <w:hideMark/>
          </w:tcPr>
          <w:p w:rsidR="00E94393" w:rsidRPr="00A9356E" w:rsidRDefault="00E94393" w:rsidP="00A9356E">
            <w:pPr>
              <w:spacing w:before="0" w:line="256" w:lineRule="auto"/>
              <w:jc w:val="center"/>
              <w:rPr>
                <w:rFonts w:eastAsia="Times New Roman"/>
                <w:lang w:eastAsia="cs-CZ"/>
              </w:rPr>
            </w:pPr>
            <w:r w:rsidRPr="00A9356E">
              <w:rPr>
                <w:rFonts w:eastAsia="Times New Roman"/>
                <w:color w:val="000000" w:themeColor="dark1"/>
                <w:lang w:eastAsia="cs-CZ"/>
              </w:rPr>
              <w:t>6,5</w:t>
            </w:r>
          </w:p>
        </w:tc>
      </w:tr>
    </w:tbl>
    <w:p w:rsidR="00DD6E0D" w:rsidRPr="00F875B5" w:rsidRDefault="00DD6E0D" w:rsidP="00A9356E">
      <w:pPr>
        <w:rPr>
          <w:sz w:val="22"/>
        </w:rPr>
      </w:pPr>
      <w:r w:rsidRPr="00F875B5">
        <w:rPr>
          <w:sz w:val="22"/>
        </w:rPr>
        <w:t>Oblast podpory výzkumu a inovací je závislá na dlouhodobých výsledcích (oproti např. oblasti Dopravy, kde je dlouhá příprava a pak relativně rychlá realizace), tudíž tato oblast vyžaduje provázané působení různých typů finančních a nefinančních systémových opatření.</w:t>
      </w:r>
    </w:p>
    <w:p w:rsidR="00DD6E0D" w:rsidRPr="00F875B5" w:rsidRDefault="00DD6E0D" w:rsidP="00A9356E">
      <w:pPr>
        <w:rPr>
          <w:sz w:val="22"/>
        </w:rPr>
      </w:pPr>
      <w:r w:rsidRPr="00F875B5">
        <w:rPr>
          <w:sz w:val="22"/>
        </w:rPr>
        <w:t xml:space="preserve">V rámci hodnocených SC dopadl, co se týče důležitosti, </w:t>
      </w:r>
      <w:r w:rsidR="004D1986" w:rsidRPr="00F875B5">
        <w:rPr>
          <w:sz w:val="22"/>
        </w:rPr>
        <w:t xml:space="preserve">relativně </w:t>
      </w:r>
      <w:r w:rsidRPr="00F875B5">
        <w:rPr>
          <w:sz w:val="22"/>
        </w:rPr>
        <w:t>nejlépe SC Podpora inovac</w:t>
      </w:r>
      <w:r w:rsidR="00BE4B04">
        <w:rPr>
          <w:sz w:val="22"/>
        </w:rPr>
        <w:t>í</w:t>
      </w:r>
      <w:r w:rsidRPr="00F875B5">
        <w:rPr>
          <w:sz w:val="22"/>
        </w:rPr>
        <w:t xml:space="preserve"> prostřednictvím aplikovaného výzkumu a experimentálního vývoje</w:t>
      </w:r>
      <w:r w:rsidR="003E59ED" w:rsidRPr="00F875B5">
        <w:rPr>
          <w:sz w:val="22"/>
        </w:rPr>
        <w:t>. Naopak v rámci kritéria absorpční kapacit</w:t>
      </w:r>
      <w:r w:rsidR="00583598">
        <w:rPr>
          <w:sz w:val="22"/>
        </w:rPr>
        <w:t>y</w:t>
      </w:r>
      <w:r w:rsidR="000472DB" w:rsidRPr="00F875B5">
        <w:rPr>
          <w:sz w:val="22"/>
        </w:rPr>
        <w:t xml:space="preserve"> má </w:t>
      </w:r>
      <w:r w:rsidR="003E59ED" w:rsidRPr="00F875B5">
        <w:rPr>
          <w:sz w:val="22"/>
        </w:rPr>
        <w:t xml:space="preserve">nejvyšší </w:t>
      </w:r>
      <w:r w:rsidR="00583598">
        <w:rPr>
          <w:sz w:val="22"/>
        </w:rPr>
        <w:t>hodnocení</w:t>
      </w:r>
      <w:r w:rsidR="003E59ED" w:rsidRPr="00F875B5">
        <w:rPr>
          <w:sz w:val="22"/>
        </w:rPr>
        <w:t xml:space="preserve"> logicky SC Rozvoj zázemí pro kvalitní a relevantní výzkum, nejnižší pak z důvodu omezení množství příjemců SC Zkvalitnění strategického řízení VaVaI. Tento SC pak také naráží na omezené možnosti alternativních zdrojů financování. </w:t>
      </w:r>
      <w:r w:rsidR="004D1986" w:rsidRPr="00F875B5">
        <w:rPr>
          <w:sz w:val="22"/>
        </w:rPr>
        <w:t>Přesto, kvůli potřebě dlouhodobého působení podpory, vyšel v rámci celého hodnocení nejlépe SC Rozvoj zázemí pro kvalitní a relevantní výzkum, a to i přesto, že všechny SC v této oblasti jsou vyrovnané v kritériích důležitosti, pokrytí strategiemi, přínosu i účelnosti/účinnosti podpory.</w:t>
      </w:r>
    </w:p>
    <w:p w:rsidR="00CC6696" w:rsidRPr="003042A3" w:rsidRDefault="00037FCC" w:rsidP="009E3951">
      <w:pPr>
        <w:pStyle w:val="Odstavecseseznamem"/>
        <w:numPr>
          <w:ilvl w:val="2"/>
          <w:numId w:val="9"/>
        </w:numPr>
        <w:spacing w:before="300"/>
        <w:ind w:left="425" w:hanging="425"/>
        <w:contextualSpacing w:val="0"/>
        <w:rPr>
          <w:rFonts w:ascii="Arial" w:hAnsi="Arial"/>
          <w:b/>
          <w:sz w:val="22"/>
          <w:szCs w:val="22"/>
        </w:rPr>
      </w:pPr>
      <w:r>
        <w:rPr>
          <w:rFonts w:ascii="Arial" w:hAnsi="Arial"/>
          <w:b/>
          <w:sz w:val="22"/>
          <w:szCs w:val="22"/>
        </w:rPr>
        <w:t xml:space="preserve"> </w:t>
      </w:r>
      <w:r w:rsidR="00CC6696" w:rsidRPr="00A9356E">
        <w:rPr>
          <w:rFonts w:ascii="Arial" w:hAnsi="Arial"/>
          <w:b/>
          <w:sz w:val="22"/>
          <w:szCs w:val="22"/>
        </w:rPr>
        <w:t>Cestovní ruch</w:t>
      </w:r>
    </w:p>
    <w:tbl>
      <w:tblPr>
        <w:tblW w:w="9089" w:type="dxa"/>
        <w:tblInd w:w="173" w:type="dxa"/>
        <w:tblCellMar>
          <w:left w:w="0" w:type="dxa"/>
          <w:right w:w="0" w:type="dxa"/>
        </w:tblCellMar>
        <w:tblLook w:val="04A0" w:firstRow="1" w:lastRow="0" w:firstColumn="1" w:lastColumn="0" w:noHBand="0" w:noVBand="1"/>
      </w:tblPr>
      <w:tblGrid>
        <w:gridCol w:w="1788"/>
        <w:gridCol w:w="1038"/>
        <w:gridCol w:w="1095"/>
        <w:gridCol w:w="1098"/>
        <w:gridCol w:w="948"/>
        <w:gridCol w:w="962"/>
        <w:gridCol w:w="1061"/>
        <w:gridCol w:w="1099"/>
      </w:tblGrid>
      <w:tr w:rsidR="00516F0E" w:rsidRPr="00516F0E" w:rsidTr="009E3951">
        <w:trPr>
          <w:trHeight w:val="653"/>
        </w:trPr>
        <w:tc>
          <w:tcPr>
            <w:tcW w:w="178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73" w:type="dxa"/>
              <w:bottom w:w="0" w:type="dxa"/>
              <w:right w:w="173" w:type="dxa"/>
            </w:tcMar>
            <w:hideMark/>
          </w:tcPr>
          <w:p w:rsidR="00516F0E" w:rsidRPr="009E3951" w:rsidRDefault="00516F0E" w:rsidP="009E3951">
            <w:pPr>
              <w:jc w:val="center"/>
              <w:rPr>
                <w:rFonts w:eastAsia="Times New Roman"/>
                <w:sz w:val="18"/>
                <w:lang w:eastAsia="cs-CZ"/>
              </w:rPr>
            </w:pPr>
          </w:p>
        </w:tc>
        <w:tc>
          <w:tcPr>
            <w:tcW w:w="103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Celkem</w:t>
            </w:r>
          </w:p>
          <w:p w:rsidR="00516F0E" w:rsidRDefault="00516F0E" w:rsidP="009E3951">
            <w:pPr>
              <w:spacing w:before="0" w:line="256" w:lineRule="auto"/>
              <w:jc w:val="center"/>
              <w:rPr>
                <w:rFonts w:eastAsiaTheme="minorEastAsia"/>
                <w:color w:val="FFFFFF" w:themeColor="light1"/>
                <w:sz w:val="18"/>
                <w:lang w:eastAsia="cs-CZ"/>
              </w:rPr>
            </w:pPr>
            <w:r w:rsidRPr="009E3951">
              <w:rPr>
                <w:rFonts w:eastAsia="Times New Roman"/>
                <w:color w:val="FFFFFF" w:themeColor="light1"/>
                <w:sz w:val="18"/>
                <w:lang w:eastAsia="cs-CZ"/>
              </w:rPr>
              <w:t>(m</w:t>
            </w:r>
            <w:r w:rsidRPr="009E3951">
              <w:rPr>
                <w:rFonts w:eastAsia="Times New Roman"/>
                <w:color w:val="FFFFFF" w:themeColor="light1"/>
                <w:sz w:val="18"/>
                <w:lang w:val="en-US" w:eastAsia="cs-CZ"/>
              </w:rPr>
              <w:t>ax</w:t>
            </w:r>
            <w:r w:rsidRPr="009E3951">
              <w:rPr>
                <w:rFonts w:eastAsia="Times New Roman"/>
                <w:color w:val="FFFFFF" w:themeColor="light1"/>
                <w:sz w:val="18"/>
                <w:lang w:eastAsia="cs-CZ"/>
              </w:rPr>
              <w:t xml:space="preserve"> 100, </w:t>
            </w:r>
            <w:r w:rsidRPr="009E3951">
              <w:rPr>
                <w:rFonts w:eastAsia="Times New Roman"/>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76,9</w:t>
            </w:r>
            <w:r w:rsidRPr="009E3951">
              <w:rPr>
                <w:rFonts w:eastAsiaTheme="minorEastAsia"/>
                <w:color w:val="FFFFFF" w:themeColor="light1"/>
                <w:sz w:val="18"/>
                <w:lang w:eastAsia="cs-CZ"/>
              </w:rPr>
              <w:t>)</w:t>
            </w:r>
          </w:p>
          <w:p w:rsidR="00F875B5" w:rsidRPr="009E3951" w:rsidRDefault="00F875B5" w:rsidP="009E3951">
            <w:pPr>
              <w:spacing w:before="0" w:line="256" w:lineRule="auto"/>
              <w:jc w:val="center"/>
              <w:rPr>
                <w:rFonts w:eastAsia="Times New Roman"/>
                <w:sz w:val="18"/>
                <w:lang w:eastAsia="cs-CZ"/>
              </w:rPr>
            </w:pPr>
          </w:p>
        </w:tc>
        <w:tc>
          <w:tcPr>
            <w:tcW w:w="109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Důležitost (</w:t>
            </w:r>
            <w:r w:rsidRPr="009E3951">
              <w:rPr>
                <w:rFonts w:eastAsiaTheme="minorEastAsia"/>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28</w:t>
            </w:r>
            <w:r w:rsidRPr="009E3951">
              <w:rPr>
                <w:rFonts w:eastAsiaTheme="minorEastAsia"/>
                <w:color w:val="FFFFFF" w:themeColor="light1"/>
                <w:sz w:val="18"/>
                <w:lang w:eastAsia="cs-CZ"/>
              </w:rPr>
              <w:t>, ø</w:t>
            </w:r>
            <w:r w:rsidRPr="009E3951">
              <w:rPr>
                <w:rFonts w:eastAsiaTheme="minorEastAsia"/>
                <w:color w:val="FFFFFF" w:themeColor="light1"/>
                <w:sz w:val="18"/>
                <w:lang w:val="en-US" w:eastAsia="cs-CZ"/>
              </w:rPr>
              <w:t xml:space="preserve"> 22,9</w:t>
            </w:r>
            <w:r w:rsidRPr="009E3951">
              <w:rPr>
                <w:rFonts w:eastAsiaTheme="minorEastAsia"/>
                <w:color w:val="FFFFFF" w:themeColor="light1"/>
                <w:sz w:val="18"/>
                <w:lang w:eastAsia="cs-CZ"/>
              </w:rPr>
              <w:t>)</w:t>
            </w:r>
          </w:p>
        </w:tc>
        <w:tc>
          <w:tcPr>
            <w:tcW w:w="109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Strategie</w:t>
            </w:r>
            <w:r w:rsidRPr="009E3951">
              <w:rPr>
                <w:rFonts w:eastAsia="Times New Roman"/>
                <w:color w:val="FFFFFF" w:themeColor="light1"/>
                <w:sz w:val="18"/>
                <w:lang w:val="en-US" w:eastAsia="cs-CZ"/>
              </w:rPr>
              <w:br/>
            </w:r>
            <w:r w:rsidRPr="009E3951">
              <w:rPr>
                <w:rFonts w:eastAsia="Times New Roman"/>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18</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14,5</w:t>
            </w:r>
            <w:r w:rsidRPr="009E3951">
              <w:rPr>
                <w:rFonts w:eastAsiaTheme="minorEastAsia"/>
                <w:color w:val="FFFFFF" w:themeColor="light1"/>
                <w:sz w:val="18"/>
                <w:lang w:eastAsia="cs-CZ"/>
              </w:rPr>
              <w:t>)</w:t>
            </w:r>
          </w:p>
        </w:tc>
        <w:tc>
          <w:tcPr>
            <w:tcW w:w="94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Cíle</w:t>
            </w:r>
          </w:p>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w:t>
            </w:r>
            <w:r w:rsidRPr="009E3951">
              <w:rPr>
                <w:rFonts w:eastAsiaTheme="minorEastAsia"/>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12</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9,1</w:t>
            </w:r>
            <w:r w:rsidRPr="009E3951">
              <w:rPr>
                <w:rFonts w:eastAsiaTheme="minorEastAsia"/>
                <w:color w:val="FFFFFF" w:themeColor="light1"/>
                <w:sz w:val="18"/>
                <w:lang w:eastAsia="cs-CZ"/>
              </w:rPr>
              <w:t>)</w:t>
            </w:r>
          </w:p>
        </w:tc>
        <w:tc>
          <w:tcPr>
            <w:tcW w:w="96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Posun</w:t>
            </w:r>
          </w:p>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10</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7,4</w:t>
            </w:r>
            <w:r w:rsidRPr="009E3951">
              <w:rPr>
                <w:rFonts w:eastAsiaTheme="minorEastAsia"/>
                <w:color w:val="FFFFFF" w:themeColor="light1"/>
                <w:sz w:val="18"/>
                <w:lang w:eastAsia="cs-CZ"/>
              </w:rPr>
              <w:t>)</w:t>
            </w:r>
          </w:p>
        </w:tc>
        <w:tc>
          <w:tcPr>
            <w:tcW w:w="106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Absorpce</w:t>
            </w:r>
          </w:p>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20</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14,8</w:t>
            </w:r>
            <w:r w:rsidRPr="009E3951">
              <w:rPr>
                <w:rFonts w:eastAsiaTheme="minorEastAsia"/>
                <w:color w:val="FFFFFF" w:themeColor="light1"/>
                <w:sz w:val="18"/>
                <w:lang w:eastAsia="cs-CZ"/>
              </w:rPr>
              <w:t>)</w:t>
            </w:r>
          </w:p>
        </w:tc>
        <w:tc>
          <w:tcPr>
            <w:tcW w:w="109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 xml:space="preserve">Alt. </w:t>
            </w:r>
            <w:r w:rsidRPr="009E3951">
              <w:rPr>
                <w:rFonts w:eastAsia="Times New Roman"/>
                <w:color w:val="FFFFFF" w:themeColor="light1"/>
                <w:sz w:val="18"/>
                <w:lang w:val="en-US" w:eastAsia="cs-CZ"/>
              </w:rPr>
              <w:t>z</w:t>
            </w:r>
            <w:r w:rsidRPr="009E3951">
              <w:rPr>
                <w:rFonts w:eastAsia="Times New Roman"/>
                <w:color w:val="FFFFFF" w:themeColor="light1"/>
                <w:sz w:val="18"/>
                <w:lang w:eastAsia="cs-CZ"/>
              </w:rPr>
              <w:t>droje</w:t>
            </w:r>
          </w:p>
          <w:p w:rsidR="00516F0E" w:rsidRPr="009E3951" w:rsidRDefault="00516F0E" w:rsidP="009E3951">
            <w:pPr>
              <w:spacing w:before="0" w:line="256" w:lineRule="auto"/>
              <w:jc w:val="center"/>
              <w:rPr>
                <w:rFonts w:eastAsia="Times New Roman"/>
                <w:sz w:val="18"/>
                <w:lang w:eastAsia="cs-CZ"/>
              </w:rPr>
            </w:pPr>
            <w:r w:rsidRPr="009E3951">
              <w:rPr>
                <w:rFonts w:eastAsia="Times New Roman"/>
                <w:color w:val="FFFFFF" w:themeColor="light1"/>
                <w:sz w:val="18"/>
                <w:lang w:eastAsia="cs-CZ"/>
              </w:rPr>
              <w:t>(m</w:t>
            </w:r>
            <w:r w:rsidRPr="009E3951">
              <w:rPr>
                <w:rFonts w:eastAsiaTheme="minorEastAsia"/>
                <w:color w:val="FFFFFF" w:themeColor="light1"/>
                <w:sz w:val="18"/>
                <w:lang w:val="en-US" w:eastAsia="cs-CZ"/>
              </w:rPr>
              <w:t>ax</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t>12</w:t>
            </w:r>
            <w:r w:rsidRPr="009E3951">
              <w:rPr>
                <w:rFonts w:eastAsiaTheme="minorEastAsia"/>
                <w:color w:val="FFFFFF" w:themeColor="light1"/>
                <w:sz w:val="18"/>
                <w:lang w:eastAsia="cs-CZ"/>
              </w:rPr>
              <w:t xml:space="preserve">, </w:t>
            </w:r>
            <w:r w:rsidRPr="009E3951">
              <w:rPr>
                <w:rFonts w:eastAsiaTheme="minorEastAsia"/>
                <w:color w:val="FFFFFF" w:themeColor="light1"/>
                <w:sz w:val="18"/>
                <w:lang w:val="en-US" w:eastAsia="cs-CZ"/>
              </w:rPr>
              <w:br/>
            </w:r>
            <w:r w:rsidRPr="009E3951">
              <w:rPr>
                <w:rFonts w:eastAsiaTheme="minorEastAsia"/>
                <w:color w:val="FFFFFF" w:themeColor="light1"/>
                <w:sz w:val="18"/>
                <w:lang w:eastAsia="cs-CZ"/>
              </w:rPr>
              <w:t>ø</w:t>
            </w:r>
            <w:r w:rsidRPr="009E3951">
              <w:rPr>
                <w:rFonts w:eastAsiaTheme="minorEastAsia"/>
                <w:color w:val="FFFFFF" w:themeColor="light1"/>
                <w:sz w:val="18"/>
                <w:lang w:val="en-US" w:eastAsia="cs-CZ"/>
              </w:rPr>
              <w:t xml:space="preserve"> 8,4</w:t>
            </w:r>
            <w:r w:rsidRPr="009E3951">
              <w:rPr>
                <w:rFonts w:eastAsiaTheme="minorEastAsia"/>
                <w:color w:val="FFFFFF" w:themeColor="light1"/>
                <w:sz w:val="18"/>
                <w:lang w:eastAsia="cs-CZ"/>
              </w:rPr>
              <w:t>)</w:t>
            </w:r>
          </w:p>
        </w:tc>
      </w:tr>
      <w:tr w:rsidR="00516F0E" w:rsidRPr="00516F0E" w:rsidTr="009E3951">
        <w:trPr>
          <w:trHeight w:val="542"/>
        </w:trPr>
        <w:tc>
          <w:tcPr>
            <w:tcW w:w="178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73" w:type="dxa"/>
              <w:bottom w:w="0" w:type="dxa"/>
              <w:right w:w="173" w:type="dxa"/>
            </w:tcMar>
            <w:hideMark/>
          </w:tcPr>
          <w:p w:rsidR="00EF5CE2" w:rsidRPr="00062678" w:rsidRDefault="00516F0E" w:rsidP="00A9356E">
            <w:pPr>
              <w:spacing w:before="0" w:line="256" w:lineRule="auto"/>
              <w:jc w:val="left"/>
              <w:rPr>
                <w:rFonts w:eastAsia="Times New Roman"/>
                <w:b/>
                <w:color w:val="FFFFFF" w:themeColor="light1"/>
                <w:lang w:eastAsia="cs-CZ"/>
              </w:rPr>
            </w:pPr>
            <w:r w:rsidRPr="00A9356E">
              <w:rPr>
                <w:rFonts w:eastAsia="Times New Roman"/>
                <w:b/>
                <w:color w:val="FFFFFF" w:themeColor="light1"/>
                <w:lang w:eastAsia="cs-CZ"/>
              </w:rPr>
              <w:t>Udržitelný cestovní ruch</w:t>
            </w:r>
          </w:p>
        </w:tc>
        <w:tc>
          <w:tcPr>
            <w:tcW w:w="10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72,3</w:t>
            </w:r>
          </w:p>
        </w:tc>
        <w:tc>
          <w:tcPr>
            <w:tcW w:w="109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19,5</w:t>
            </w:r>
          </w:p>
        </w:tc>
        <w:tc>
          <w:tcPr>
            <w:tcW w:w="10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13,7</w:t>
            </w:r>
          </w:p>
        </w:tc>
        <w:tc>
          <w:tcPr>
            <w:tcW w:w="94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8,3</w:t>
            </w:r>
          </w:p>
        </w:tc>
        <w:tc>
          <w:tcPr>
            <w:tcW w:w="96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7,2</w:t>
            </w:r>
          </w:p>
        </w:tc>
        <w:tc>
          <w:tcPr>
            <w:tcW w:w="106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15,2</w:t>
            </w:r>
          </w:p>
        </w:tc>
        <w:tc>
          <w:tcPr>
            <w:tcW w:w="10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73" w:type="dxa"/>
              <w:bottom w:w="0" w:type="dxa"/>
              <w:right w:w="173" w:type="dxa"/>
            </w:tcMar>
            <w:hideMark/>
          </w:tcPr>
          <w:p w:rsidR="00516F0E" w:rsidRPr="00A9356E" w:rsidRDefault="00516F0E" w:rsidP="00A9356E">
            <w:pPr>
              <w:spacing w:before="0" w:line="256" w:lineRule="auto"/>
              <w:jc w:val="center"/>
              <w:rPr>
                <w:rFonts w:eastAsia="Times New Roman"/>
                <w:b/>
                <w:lang w:eastAsia="cs-CZ"/>
              </w:rPr>
            </w:pPr>
            <w:r w:rsidRPr="00A9356E">
              <w:rPr>
                <w:rFonts w:eastAsia="Times New Roman"/>
                <w:b/>
                <w:color w:val="000000" w:themeColor="dark1"/>
                <w:lang w:eastAsia="cs-CZ"/>
              </w:rPr>
              <w:t>8,4</w:t>
            </w:r>
          </w:p>
        </w:tc>
      </w:tr>
    </w:tbl>
    <w:p w:rsidR="0079512D" w:rsidRPr="00A9356E" w:rsidRDefault="0079512D" w:rsidP="00A9356E">
      <w:pPr>
        <w:rPr>
          <w:sz w:val="22"/>
        </w:rPr>
      </w:pPr>
      <w:r w:rsidRPr="00A9356E">
        <w:rPr>
          <w:sz w:val="22"/>
        </w:rPr>
        <w:t>Cestovní ruch je specifická oblast, kterou ovlivňují faktory rozvinutosti ekonomiky, přírodních a kulturních podmínek, dopravní dostupnosti a bezpečnostní situace daného regionu.</w:t>
      </w:r>
    </w:p>
    <w:p w:rsidR="0079512D" w:rsidRPr="00A9356E" w:rsidRDefault="0079512D" w:rsidP="00A9356E">
      <w:pPr>
        <w:rPr>
          <w:sz w:val="22"/>
        </w:rPr>
      </w:pPr>
      <w:r w:rsidRPr="00A9356E">
        <w:rPr>
          <w:sz w:val="22"/>
        </w:rPr>
        <w:t>Oblast cestovního ruchu má také úzkou vazbu na oblast Kultury, Ochranu životního prostředí a oběhové hospodářství a zejména na oblast Dopravy</w:t>
      </w:r>
      <w:r w:rsidR="005D422F">
        <w:rPr>
          <w:sz w:val="22"/>
        </w:rPr>
        <w:t xml:space="preserve"> a Podpory podnikání a průmyslu</w:t>
      </w:r>
      <w:r w:rsidRPr="00A9356E">
        <w:rPr>
          <w:sz w:val="22"/>
        </w:rPr>
        <w:t>.</w:t>
      </w:r>
    </w:p>
    <w:p w:rsidR="003B17C8" w:rsidRPr="00A9356E" w:rsidRDefault="0079512D" w:rsidP="00A9356E">
      <w:pPr>
        <w:rPr>
          <w:sz w:val="22"/>
        </w:rPr>
      </w:pPr>
      <w:r w:rsidRPr="00A9356E">
        <w:rPr>
          <w:sz w:val="22"/>
        </w:rPr>
        <w:t>V této oblast</w:t>
      </w:r>
      <w:r w:rsidR="00583598">
        <w:rPr>
          <w:sz w:val="22"/>
        </w:rPr>
        <w:t>i byl</w:t>
      </w:r>
      <w:r w:rsidRPr="00A9356E">
        <w:rPr>
          <w:sz w:val="22"/>
        </w:rPr>
        <w:t xml:space="preserve"> vytvořen </w:t>
      </w:r>
      <w:r w:rsidRPr="00F875B5">
        <w:rPr>
          <w:sz w:val="22"/>
        </w:rPr>
        <w:t>jeden SC Udržitelný cestovní ruch</w:t>
      </w:r>
      <w:r w:rsidRPr="00A9356E">
        <w:rPr>
          <w:sz w:val="22"/>
        </w:rPr>
        <w:t>.</w:t>
      </w:r>
      <w:r w:rsidR="003B17C8" w:rsidRPr="00A9356E">
        <w:rPr>
          <w:sz w:val="22"/>
        </w:rPr>
        <w:t xml:space="preserve"> Tento SC se zařadil v závěsu v kritériu důležitosti za </w:t>
      </w:r>
      <w:r w:rsidR="00C35694" w:rsidRPr="00A9356E">
        <w:rPr>
          <w:sz w:val="22"/>
        </w:rPr>
        <w:t>relevantní</w:t>
      </w:r>
      <w:r w:rsidR="003B17C8" w:rsidRPr="00A9356E">
        <w:rPr>
          <w:sz w:val="22"/>
        </w:rPr>
        <w:t xml:space="preserve"> témat</w:t>
      </w:r>
      <w:r w:rsidR="00583598">
        <w:rPr>
          <w:sz w:val="22"/>
        </w:rPr>
        <w:t>a</w:t>
      </w:r>
      <w:r w:rsidR="003B17C8" w:rsidRPr="00A9356E">
        <w:rPr>
          <w:sz w:val="22"/>
        </w:rPr>
        <w:t xml:space="preserve"> SC Kultura a SC Zkvalitňování veřejných prostranství a rozvoj zelené infrastruktury. Zde je vidět přímá souvislost rozvoje cestovního ruchu zejména v oblastech s kvalitním kulturně-historickým zázemím (viz až neudržitelný růst cestovního ruchu v</w:t>
      </w:r>
      <w:r w:rsidR="000C4C97">
        <w:rPr>
          <w:sz w:val="22"/>
        </w:rPr>
        <w:t xml:space="preserve"> některých částech </w:t>
      </w:r>
      <w:r w:rsidR="003B17C8" w:rsidRPr="00A9356E">
        <w:rPr>
          <w:sz w:val="22"/>
        </w:rPr>
        <w:t>Pra</w:t>
      </w:r>
      <w:r w:rsidR="000C4C97">
        <w:rPr>
          <w:sz w:val="22"/>
        </w:rPr>
        <w:t>hy</w:t>
      </w:r>
      <w:r w:rsidR="003B17C8" w:rsidRPr="00A9356E">
        <w:rPr>
          <w:sz w:val="22"/>
        </w:rPr>
        <w:t>) a kvalitním zázemím služeb. To se projevuje intenzitou cestovního ruchu od jednotlivých památek až po jedinečné a zachovalé památkové zóny a rezervace, jak ve městech, tak na venkově. Dalším z faktorů je zachova</w:t>
      </w:r>
      <w:r w:rsidR="00583598">
        <w:rPr>
          <w:sz w:val="22"/>
        </w:rPr>
        <w:t>n</w:t>
      </w:r>
      <w:r w:rsidR="003B17C8" w:rsidRPr="00A9356E">
        <w:rPr>
          <w:sz w:val="22"/>
        </w:rPr>
        <w:t>é přírodní dědictví a tudíž závislost na udržení místních významných ekosystémů. Mezitím hraje svojí roli dopravní dostupnost. Jelikož se jedná z velké části o segment podnikatelů v cestovním ruchu, tak absorpční kapacita je vysoká</w:t>
      </w:r>
      <w:r w:rsidR="000C4C97">
        <w:rPr>
          <w:sz w:val="22"/>
        </w:rPr>
        <w:t>, zejména díky podnikatelské sféře.</w:t>
      </w:r>
      <w:r w:rsidR="00287CA8">
        <w:rPr>
          <w:sz w:val="22"/>
        </w:rPr>
        <w:t xml:space="preserve"> </w:t>
      </w:r>
      <w:r w:rsidR="00F41630" w:rsidRPr="00A9356E">
        <w:rPr>
          <w:sz w:val="22"/>
        </w:rPr>
        <w:t xml:space="preserve">Horší je hodnocení celkového přínosu podpory </w:t>
      </w:r>
      <w:r w:rsidR="00F875B5">
        <w:rPr>
          <w:sz w:val="22"/>
        </w:rPr>
        <w:br/>
      </w:r>
      <w:r w:rsidR="00F41630" w:rsidRPr="00A9356E">
        <w:rPr>
          <w:sz w:val="22"/>
        </w:rPr>
        <w:t>a účelnosti/účinnosti podpory</w:t>
      </w:r>
      <w:r w:rsidR="000C4C97">
        <w:rPr>
          <w:sz w:val="22"/>
        </w:rPr>
        <w:t xml:space="preserve">, což ovšem souvisí s absencí důsledné evaluace přínosů realizovaných projektů z programového období 2007 – 2013 </w:t>
      </w:r>
      <w:r w:rsidR="00583598">
        <w:rPr>
          <w:sz w:val="22"/>
        </w:rPr>
        <w:t>i</w:t>
      </w:r>
      <w:r w:rsidR="000C4C97">
        <w:rPr>
          <w:sz w:val="22"/>
        </w:rPr>
        <w:t xml:space="preserve"> s faktem, že efektivita opatření v oblasti podpory cestovního ruchu se projevuje zpravidla s 3 – 5 letý</w:t>
      </w:r>
      <w:r w:rsidR="00583598">
        <w:rPr>
          <w:sz w:val="22"/>
        </w:rPr>
        <w:t>m</w:t>
      </w:r>
      <w:r w:rsidR="000C4C97">
        <w:rPr>
          <w:sz w:val="22"/>
        </w:rPr>
        <w:t xml:space="preserve"> zpožděním od realizace</w:t>
      </w:r>
      <w:r w:rsidR="00F41630" w:rsidRPr="00A9356E">
        <w:rPr>
          <w:sz w:val="22"/>
        </w:rPr>
        <w:t>.</w:t>
      </w:r>
    </w:p>
    <w:p w:rsidR="00F41630" w:rsidRPr="00A9356E" w:rsidRDefault="00F41630" w:rsidP="00A9356E">
      <w:pPr>
        <w:rPr>
          <w:sz w:val="22"/>
        </w:rPr>
      </w:pPr>
      <w:r w:rsidRPr="00A9356E">
        <w:rPr>
          <w:sz w:val="22"/>
        </w:rPr>
        <w:t xml:space="preserve">Doporučení je zaměřit se na podporu klíčových projektů veřejné infrastruktury cestovního ruchu a to zejména tam, kde se nedaří </w:t>
      </w:r>
      <w:r w:rsidR="000C4C97">
        <w:rPr>
          <w:sz w:val="22"/>
        </w:rPr>
        <w:t>jiným</w:t>
      </w:r>
      <w:r w:rsidR="000C4C97" w:rsidRPr="00A9356E">
        <w:rPr>
          <w:sz w:val="22"/>
        </w:rPr>
        <w:t xml:space="preserve"> </w:t>
      </w:r>
      <w:r w:rsidRPr="00A9356E">
        <w:rPr>
          <w:sz w:val="22"/>
        </w:rPr>
        <w:t>formám podnikání</w:t>
      </w:r>
      <w:r w:rsidR="000C4C97">
        <w:rPr>
          <w:sz w:val="22"/>
        </w:rPr>
        <w:t xml:space="preserve"> bez přímé vazby na cestovní ruch</w:t>
      </w:r>
      <w:r w:rsidRPr="00A9356E">
        <w:rPr>
          <w:sz w:val="22"/>
        </w:rPr>
        <w:t xml:space="preserve"> a je zde dostatečný potenciál kulturně-historického nebo přírodního dědictví.</w:t>
      </w:r>
    </w:p>
    <w:p w:rsidR="00CC6696" w:rsidRPr="003042A3" w:rsidRDefault="00CC6696" w:rsidP="009E3951">
      <w:pPr>
        <w:pStyle w:val="Odstavecseseznamem"/>
        <w:numPr>
          <w:ilvl w:val="2"/>
          <w:numId w:val="9"/>
        </w:numPr>
        <w:spacing w:before="300"/>
        <w:ind w:left="425" w:hanging="425"/>
        <w:contextualSpacing w:val="0"/>
        <w:rPr>
          <w:rFonts w:ascii="Arial" w:hAnsi="Arial"/>
          <w:b/>
          <w:sz w:val="22"/>
          <w:szCs w:val="22"/>
        </w:rPr>
      </w:pPr>
      <w:r w:rsidRPr="00A9356E">
        <w:rPr>
          <w:rFonts w:ascii="Arial" w:hAnsi="Arial"/>
          <w:b/>
          <w:sz w:val="22"/>
          <w:szCs w:val="22"/>
        </w:rPr>
        <w:t>Veřejná správa</w:t>
      </w:r>
      <w:r w:rsidR="000D1EB9">
        <w:rPr>
          <w:rFonts w:ascii="Arial" w:hAnsi="Arial"/>
          <w:b/>
          <w:sz w:val="22"/>
          <w:szCs w:val="22"/>
        </w:rPr>
        <w:t xml:space="preserve"> a bezpečnost</w:t>
      </w:r>
    </w:p>
    <w:tbl>
      <w:tblPr>
        <w:tblStyle w:val="Tabulkasmkou3zvraznn11"/>
        <w:tblW w:w="908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972"/>
        <w:gridCol w:w="827"/>
        <w:gridCol w:w="1054"/>
        <w:gridCol w:w="937"/>
        <w:gridCol w:w="865"/>
        <w:gridCol w:w="727"/>
        <w:gridCol w:w="977"/>
        <w:gridCol w:w="721"/>
      </w:tblGrid>
      <w:tr w:rsidR="009E3951" w:rsidRPr="004D28DA" w:rsidTr="00D54D3C">
        <w:trPr>
          <w:cnfStyle w:val="100000000000" w:firstRow="1" w:lastRow="0" w:firstColumn="0" w:lastColumn="0" w:oddVBand="0" w:evenVBand="0" w:oddHBand="0" w:evenHBand="0" w:firstRowFirstColumn="0" w:firstRowLastColumn="0" w:lastRowFirstColumn="0" w:lastRowLastColumn="0"/>
          <w:trHeight w:val="318"/>
        </w:trPr>
        <w:tc>
          <w:tcPr>
            <w:cnfStyle w:val="001000000100" w:firstRow="0" w:lastRow="0" w:firstColumn="1" w:lastColumn="0" w:oddVBand="0" w:evenVBand="0" w:oddHBand="0" w:evenHBand="0" w:firstRowFirstColumn="1" w:firstRowLastColumn="0" w:lastRowFirstColumn="0" w:lastRowLastColumn="0"/>
            <w:tcW w:w="3042" w:type="dxa"/>
            <w:tcBorders>
              <w:top w:val="none" w:sz="0" w:space="0" w:color="auto"/>
              <w:left w:val="none" w:sz="0" w:space="0" w:color="auto"/>
              <w:bottom w:val="single" w:sz="24" w:space="0" w:color="FFFFFF" w:themeColor="background1"/>
              <w:right w:val="none" w:sz="0" w:space="0" w:color="auto"/>
            </w:tcBorders>
            <w:shd w:val="clear" w:color="auto" w:fill="4F81BD"/>
          </w:tcPr>
          <w:p w:rsidR="009E3951" w:rsidRPr="00780056" w:rsidRDefault="009E3951" w:rsidP="009E3951">
            <w:pPr>
              <w:rPr>
                <w:rFonts w:eastAsia="Times New Roman"/>
                <w:b w:val="0"/>
                <w:color w:val="000000"/>
                <w:sz w:val="18"/>
                <w:szCs w:val="18"/>
                <w:lang w:eastAsia="cs-CZ"/>
              </w:rPr>
            </w:pPr>
          </w:p>
        </w:tc>
        <w:tc>
          <w:tcPr>
            <w:tcW w:w="819"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Celkem (m</w:t>
            </w:r>
            <w:r w:rsidRPr="00780056">
              <w:rPr>
                <w:b w:val="0"/>
                <w:color w:val="FFFFFF" w:themeColor="background1"/>
                <w:sz w:val="18"/>
                <w:szCs w:val="18"/>
                <w:lang w:val="en-US"/>
              </w:rPr>
              <w:t>ax</w:t>
            </w:r>
            <w:r w:rsidRPr="00780056">
              <w:rPr>
                <w:b w:val="0"/>
                <w:color w:val="FFFFFF" w:themeColor="background1"/>
                <w:sz w:val="18"/>
                <w:szCs w:val="18"/>
              </w:rPr>
              <w:t xml:space="preserve"> 100, </w:t>
            </w:r>
            <w:r w:rsidRPr="00780056">
              <w:rPr>
                <w:b w:val="0"/>
                <w:color w:val="FFFFFF" w:themeColor="background1"/>
                <w:sz w:val="18"/>
                <w:szCs w:val="18"/>
                <w:lang w:val="en-US"/>
              </w:rPr>
              <w:br/>
            </w:r>
            <w:r w:rsidRPr="00780056">
              <w:rPr>
                <w:b w:val="0"/>
                <w:color w:val="FFFFFF" w:themeColor="background1"/>
                <w:sz w:val="18"/>
                <w:szCs w:val="18"/>
              </w:rPr>
              <w:t>ø</w:t>
            </w:r>
            <w:r w:rsidRPr="00780056">
              <w:rPr>
                <w:b w:val="0"/>
                <w:color w:val="FFFFFF" w:themeColor="background1"/>
                <w:sz w:val="18"/>
                <w:szCs w:val="18"/>
                <w:lang w:val="en-US"/>
              </w:rPr>
              <w:t xml:space="preserve"> 76,9</w:t>
            </w:r>
            <w:r w:rsidRPr="00780056">
              <w:rPr>
                <w:b w:val="0"/>
                <w:color w:val="FFFFFF" w:themeColor="background1"/>
                <w:sz w:val="18"/>
                <w:szCs w:val="18"/>
              </w:rPr>
              <w:t>)</w:t>
            </w:r>
          </w:p>
        </w:tc>
        <w:tc>
          <w:tcPr>
            <w:tcW w:w="1054"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Důležitost (m</w:t>
            </w:r>
            <w:r w:rsidRPr="00780056">
              <w:rPr>
                <w:b w:val="0"/>
                <w:color w:val="FFFFFF" w:themeColor="background1"/>
                <w:sz w:val="18"/>
                <w:szCs w:val="18"/>
                <w:lang w:val="en-US"/>
              </w:rPr>
              <w:t>ax</w:t>
            </w:r>
            <w:r w:rsidRPr="00780056">
              <w:rPr>
                <w:b w:val="0"/>
                <w:color w:val="FFFFFF" w:themeColor="background1"/>
                <w:sz w:val="18"/>
                <w:szCs w:val="18"/>
              </w:rPr>
              <w:t xml:space="preserve"> </w:t>
            </w:r>
            <w:r w:rsidRPr="00780056">
              <w:rPr>
                <w:b w:val="0"/>
                <w:color w:val="FFFFFF" w:themeColor="background1"/>
                <w:sz w:val="18"/>
                <w:szCs w:val="18"/>
                <w:lang w:val="en-US"/>
              </w:rPr>
              <w:t>28</w:t>
            </w:r>
            <w:r w:rsidRPr="00780056">
              <w:rPr>
                <w:b w:val="0"/>
                <w:color w:val="FFFFFF" w:themeColor="background1"/>
                <w:sz w:val="18"/>
                <w:szCs w:val="18"/>
              </w:rPr>
              <w:t>, ø</w:t>
            </w:r>
            <w:r w:rsidRPr="00780056">
              <w:rPr>
                <w:b w:val="0"/>
                <w:color w:val="FFFFFF" w:themeColor="background1"/>
                <w:sz w:val="18"/>
                <w:szCs w:val="18"/>
                <w:lang w:val="en-US"/>
              </w:rPr>
              <w:t xml:space="preserve"> 22,9</w:t>
            </w:r>
            <w:r w:rsidRPr="00780056">
              <w:rPr>
                <w:b w:val="0"/>
                <w:color w:val="FFFFFF" w:themeColor="background1"/>
                <w:sz w:val="18"/>
                <w:szCs w:val="18"/>
              </w:rPr>
              <w:t>)</w:t>
            </w:r>
          </w:p>
        </w:tc>
        <w:tc>
          <w:tcPr>
            <w:tcW w:w="905"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Strategie</w:t>
            </w:r>
            <w:r w:rsidRPr="00780056">
              <w:rPr>
                <w:b w:val="0"/>
                <w:color w:val="FFFFFF" w:themeColor="background1"/>
                <w:sz w:val="18"/>
                <w:szCs w:val="18"/>
                <w:lang w:val="en-US"/>
              </w:rPr>
              <w:br/>
            </w:r>
            <w:r w:rsidRPr="00780056">
              <w:rPr>
                <w:b w:val="0"/>
                <w:color w:val="FFFFFF" w:themeColor="background1"/>
                <w:sz w:val="18"/>
                <w:szCs w:val="18"/>
              </w:rPr>
              <w:t>(m</w:t>
            </w:r>
            <w:r w:rsidRPr="00780056">
              <w:rPr>
                <w:b w:val="0"/>
                <w:color w:val="FFFFFF" w:themeColor="background1"/>
                <w:sz w:val="18"/>
                <w:szCs w:val="18"/>
                <w:lang w:val="en-US"/>
              </w:rPr>
              <w:t>ax</w:t>
            </w:r>
            <w:r w:rsidRPr="00780056">
              <w:rPr>
                <w:b w:val="0"/>
                <w:color w:val="FFFFFF" w:themeColor="background1"/>
                <w:sz w:val="18"/>
                <w:szCs w:val="18"/>
              </w:rPr>
              <w:t xml:space="preserve"> </w:t>
            </w:r>
            <w:r w:rsidRPr="00780056">
              <w:rPr>
                <w:b w:val="0"/>
                <w:color w:val="FFFFFF" w:themeColor="background1"/>
                <w:sz w:val="18"/>
                <w:szCs w:val="18"/>
                <w:lang w:val="en-US"/>
              </w:rPr>
              <w:t>18</w:t>
            </w:r>
            <w:r w:rsidRPr="00780056">
              <w:rPr>
                <w:b w:val="0"/>
                <w:color w:val="FFFFFF" w:themeColor="background1"/>
                <w:sz w:val="18"/>
                <w:szCs w:val="18"/>
              </w:rPr>
              <w:t xml:space="preserve">, </w:t>
            </w:r>
            <w:r w:rsidRPr="00780056">
              <w:rPr>
                <w:b w:val="0"/>
                <w:color w:val="FFFFFF" w:themeColor="background1"/>
                <w:sz w:val="18"/>
                <w:szCs w:val="18"/>
                <w:lang w:val="en-US"/>
              </w:rPr>
              <w:br/>
            </w:r>
            <w:r w:rsidRPr="00780056">
              <w:rPr>
                <w:b w:val="0"/>
                <w:color w:val="FFFFFF" w:themeColor="background1"/>
                <w:sz w:val="18"/>
                <w:szCs w:val="18"/>
              </w:rPr>
              <w:t>ø</w:t>
            </w:r>
            <w:r w:rsidRPr="00780056">
              <w:rPr>
                <w:b w:val="0"/>
                <w:color w:val="FFFFFF" w:themeColor="background1"/>
                <w:sz w:val="18"/>
                <w:szCs w:val="18"/>
                <w:lang w:val="en-US"/>
              </w:rPr>
              <w:t xml:space="preserve"> 14,5</w:t>
            </w:r>
            <w:r w:rsidRPr="00780056">
              <w:rPr>
                <w:b w:val="0"/>
                <w:color w:val="FFFFFF" w:themeColor="background1"/>
                <w:sz w:val="18"/>
                <w:szCs w:val="18"/>
              </w:rPr>
              <w:t>)</w:t>
            </w:r>
          </w:p>
        </w:tc>
        <w:tc>
          <w:tcPr>
            <w:tcW w:w="865"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780056"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 xml:space="preserve">Cíle </w:t>
            </w:r>
            <w:r w:rsidR="009E3951" w:rsidRPr="00780056">
              <w:rPr>
                <w:b w:val="0"/>
                <w:color w:val="FFFFFF" w:themeColor="background1"/>
                <w:sz w:val="18"/>
                <w:szCs w:val="18"/>
              </w:rPr>
              <w:t>(m</w:t>
            </w:r>
            <w:r w:rsidR="009E3951" w:rsidRPr="00780056">
              <w:rPr>
                <w:b w:val="0"/>
                <w:color w:val="FFFFFF" w:themeColor="background1"/>
                <w:sz w:val="18"/>
                <w:szCs w:val="18"/>
                <w:lang w:val="en-US"/>
              </w:rPr>
              <w:t>ax</w:t>
            </w:r>
            <w:r w:rsidR="009E3951" w:rsidRPr="00780056">
              <w:rPr>
                <w:b w:val="0"/>
                <w:color w:val="FFFFFF" w:themeColor="background1"/>
                <w:sz w:val="18"/>
                <w:szCs w:val="18"/>
              </w:rPr>
              <w:t xml:space="preserve"> </w:t>
            </w:r>
            <w:r w:rsidR="009E3951" w:rsidRPr="00780056">
              <w:rPr>
                <w:b w:val="0"/>
                <w:color w:val="FFFFFF" w:themeColor="background1"/>
                <w:sz w:val="18"/>
                <w:szCs w:val="18"/>
                <w:lang w:val="en-US"/>
              </w:rPr>
              <w:t>12</w:t>
            </w:r>
            <w:r w:rsidR="009E3951" w:rsidRPr="00780056">
              <w:rPr>
                <w:b w:val="0"/>
                <w:color w:val="FFFFFF" w:themeColor="background1"/>
                <w:sz w:val="18"/>
                <w:szCs w:val="18"/>
              </w:rPr>
              <w:t xml:space="preserve">, </w:t>
            </w:r>
            <w:r w:rsidR="009E3951" w:rsidRPr="00780056">
              <w:rPr>
                <w:b w:val="0"/>
                <w:color w:val="FFFFFF" w:themeColor="background1"/>
                <w:sz w:val="18"/>
                <w:szCs w:val="18"/>
                <w:lang w:val="en-US"/>
              </w:rPr>
              <w:br/>
            </w:r>
            <w:r w:rsidR="009E3951" w:rsidRPr="00780056">
              <w:rPr>
                <w:b w:val="0"/>
                <w:color w:val="FFFFFF" w:themeColor="background1"/>
                <w:sz w:val="18"/>
                <w:szCs w:val="18"/>
              </w:rPr>
              <w:t>ø</w:t>
            </w:r>
            <w:r w:rsidR="009E3951" w:rsidRPr="00780056">
              <w:rPr>
                <w:b w:val="0"/>
                <w:color w:val="FFFFFF" w:themeColor="background1"/>
                <w:sz w:val="18"/>
                <w:szCs w:val="18"/>
                <w:lang w:val="en-US"/>
              </w:rPr>
              <w:t xml:space="preserve"> 9,1</w:t>
            </w:r>
            <w:r w:rsidR="009E3951" w:rsidRPr="00780056">
              <w:rPr>
                <w:b w:val="0"/>
                <w:color w:val="FFFFFF" w:themeColor="background1"/>
                <w:sz w:val="18"/>
                <w:szCs w:val="18"/>
              </w:rPr>
              <w:t>)</w:t>
            </w:r>
          </w:p>
        </w:tc>
        <w:tc>
          <w:tcPr>
            <w:tcW w:w="72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Posun (m</w:t>
            </w:r>
            <w:r w:rsidRPr="00780056">
              <w:rPr>
                <w:b w:val="0"/>
                <w:color w:val="FFFFFF" w:themeColor="background1"/>
                <w:sz w:val="18"/>
                <w:szCs w:val="18"/>
                <w:lang w:val="en-US"/>
              </w:rPr>
              <w:t>ax</w:t>
            </w:r>
            <w:r w:rsidRPr="00780056">
              <w:rPr>
                <w:b w:val="0"/>
                <w:color w:val="FFFFFF" w:themeColor="background1"/>
                <w:sz w:val="18"/>
                <w:szCs w:val="18"/>
              </w:rPr>
              <w:t xml:space="preserve"> </w:t>
            </w:r>
            <w:r w:rsidRPr="00780056">
              <w:rPr>
                <w:b w:val="0"/>
                <w:color w:val="FFFFFF" w:themeColor="background1"/>
                <w:sz w:val="18"/>
                <w:szCs w:val="18"/>
                <w:lang w:val="en-US"/>
              </w:rPr>
              <w:t>10</w:t>
            </w:r>
            <w:r w:rsidRPr="00780056">
              <w:rPr>
                <w:b w:val="0"/>
                <w:color w:val="FFFFFF" w:themeColor="background1"/>
                <w:sz w:val="18"/>
                <w:szCs w:val="18"/>
              </w:rPr>
              <w:t xml:space="preserve">, </w:t>
            </w:r>
            <w:r w:rsidRPr="00780056">
              <w:rPr>
                <w:b w:val="0"/>
                <w:color w:val="FFFFFF" w:themeColor="background1"/>
                <w:sz w:val="18"/>
                <w:szCs w:val="18"/>
                <w:lang w:val="en-US"/>
              </w:rPr>
              <w:br/>
            </w:r>
            <w:r w:rsidRPr="00780056">
              <w:rPr>
                <w:b w:val="0"/>
                <w:color w:val="FFFFFF" w:themeColor="background1"/>
                <w:sz w:val="18"/>
                <w:szCs w:val="18"/>
              </w:rPr>
              <w:t>ø</w:t>
            </w:r>
            <w:r w:rsidRPr="00780056">
              <w:rPr>
                <w:b w:val="0"/>
                <w:color w:val="FFFFFF" w:themeColor="background1"/>
                <w:sz w:val="18"/>
                <w:szCs w:val="18"/>
                <w:lang w:val="en-US"/>
              </w:rPr>
              <w:t xml:space="preserve"> 7,4</w:t>
            </w:r>
            <w:r w:rsidRPr="00780056">
              <w:rPr>
                <w:b w:val="0"/>
                <w:color w:val="FFFFFF" w:themeColor="background1"/>
                <w:sz w:val="18"/>
                <w:szCs w:val="18"/>
              </w:rPr>
              <w:t>)</w:t>
            </w:r>
          </w:p>
        </w:tc>
        <w:tc>
          <w:tcPr>
            <w:tcW w:w="954"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Absorpce (m</w:t>
            </w:r>
            <w:r w:rsidRPr="00780056">
              <w:rPr>
                <w:b w:val="0"/>
                <w:color w:val="FFFFFF" w:themeColor="background1"/>
                <w:sz w:val="18"/>
                <w:szCs w:val="18"/>
                <w:lang w:val="en-US"/>
              </w:rPr>
              <w:t>ax</w:t>
            </w:r>
            <w:r w:rsidRPr="00780056">
              <w:rPr>
                <w:b w:val="0"/>
                <w:color w:val="FFFFFF" w:themeColor="background1"/>
                <w:sz w:val="18"/>
                <w:szCs w:val="18"/>
              </w:rPr>
              <w:t xml:space="preserve"> </w:t>
            </w:r>
            <w:r w:rsidRPr="00780056">
              <w:rPr>
                <w:b w:val="0"/>
                <w:color w:val="FFFFFF" w:themeColor="background1"/>
                <w:sz w:val="18"/>
                <w:szCs w:val="18"/>
                <w:lang w:val="en-US"/>
              </w:rPr>
              <w:t>20</w:t>
            </w:r>
            <w:r w:rsidRPr="00780056">
              <w:rPr>
                <w:b w:val="0"/>
                <w:color w:val="FFFFFF" w:themeColor="background1"/>
                <w:sz w:val="18"/>
                <w:szCs w:val="18"/>
              </w:rPr>
              <w:t xml:space="preserve">, </w:t>
            </w:r>
            <w:r w:rsidRPr="00780056">
              <w:rPr>
                <w:b w:val="0"/>
                <w:color w:val="FFFFFF" w:themeColor="background1"/>
                <w:sz w:val="18"/>
                <w:szCs w:val="18"/>
                <w:lang w:val="en-US"/>
              </w:rPr>
              <w:br/>
            </w:r>
            <w:r w:rsidRPr="00780056">
              <w:rPr>
                <w:b w:val="0"/>
                <w:color w:val="FFFFFF" w:themeColor="background1"/>
                <w:sz w:val="18"/>
                <w:szCs w:val="18"/>
              </w:rPr>
              <w:t>ø</w:t>
            </w:r>
            <w:r w:rsidRPr="00780056">
              <w:rPr>
                <w:b w:val="0"/>
                <w:color w:val="FFFFFF" w:themeColor="background1"/>
                <w:sz w:val="18"/>
                <w:szCs w:val="18"/>
                <w:lang w:val="en-US"/>
              </w:rPr>
              <w:t xml:space="preserve"> 14,8</w:t>
            </w:r>
            <w:r w:rsidRPr="00780056">
              <w:rPr>
                <w:b w:val="0"/>
                <w:color w:val="FFFFFF" w:themeColor="background1"/>
                <w:sz w:val="18"/>
                <w:szCs w:val="18"/>
              </w:rPr>
              <w:t>)</w:t>
            </w:r>
          </w:p>
        </w:tc>
        <w:tc>
          <w:tcPr>
            <w:tcW w:w="721"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E3951" w:rsidRPr="00780056" w:rsidRDefault="009E3951" w:rsidP="009E3951">
            <w:pPr>
              <w:jc w:val="center"/>
              <w:cnfStyle w:val="100000000000" w:firstRow="1" w:lastRow="0" w:firstColumn="0" w:lastColumn="0" w:oddVBand="0" w:evenVBand="0" w:oddHBand="0" w:evenHBand="0" w:firstRowFirstColumn="0" w:firstRowLastColumn="0" w:lastRowFirstColumn="0" w:lastRowLastColumn="0"/>
              <w:rPr>
                <w:rFonts w:eastAsia="Times New Roman"/>
                <w:b w:val="0"/>
                <w:color w:val="FFFFFF" w:themeColor="background1"/>
                <w:sz w:val="18"/>
                <w:szCs w:val="18"/>
                <w:lang w:eastAsia="cs-CZ"/>
              </w:rPr>
            </w:pPr>
            <w:r w:rsidRPr="00780056">
              <w:rPr>
                <w:b w:val="0"/>
                <w:color w:val="FFFFFF" w:themeColor="background1"/>
                <w:sz w:val="18"/>
                <w:szCs w:val="18"/>
              </w:rPr>
              <w:t>Alt. zdroje (m</w:t>
            </w:r>
            <w:r w:rsidRPr="00780056">
              <w:rPr>
                <w:b w:val="0"/>
                <w:color w:val="FFFFFF" w:themeColor="background1"/>
                <w:sz w:val="18"/>
                <w:szCs w:val="18"/>
                <w:lang w:val="en-US"/>
              </w:rPr>
              <w:t>ax</w:t>
            </w:r>
            <w:r w:rsidRPr="00780056">
              <w:rPr>
                <w:b w:val="0"/>
                <w:color w:val="FFFFFF" w:themeColor="background1"/>
                <w:sz w:val="18"/>
                <w:szCs w:val="18"/>
              </w:rPr>
              <w:t xml:space="preserve"> </w:t>
            </w:r>
            <w:r w:rsidRPr="00780056">
              <w:rPr>
                <w:b w:val="0"/>
                <w:color w:val="FFFFFF" w:themeColor="background1"/>
                <w:sz w:val="18"/>
                <w:szCs w:val="18"/>
                <w:lang w:val="en-US"/>
              </w:rPr>
              <w:t>12</w:t>
            </w:r>
            <w:r w:rsidRPr="00780056">
              <w:rPr>
                <w:b w:val="0"/>
                <w:color w:val="FFFFFF" w:themeColor="background1"/>
                <w:sz w:val="18"/>
                <w:szCs w:val="18"/>
              </w:rPr>
              <w:t xml:space="preserve">, </w:t>
            </w:r>
            <w:r w:rsidRPr="00780056">
              <w:rPr>
                <w:b w:val="0"/>
                <w:color w:val="FFFFFF" w:themeColor="background1"/>
                <w:sz w:val="18"/>
                <w:szCs w:val="18"/>
                <w:lang w:val="en-US"/>
              </w:rPr>
              <w:br/>
            </w:r>
            <w:r w:rsidRPr="00780056">
              <w:rPr>
                <w:b w:val="0"/>
                <w:color w:val="FFFFFF" w:themeColor="background1"/>
                <w:sz w:val="18"/>
                <w:szCs w:val="18"/>
              </w:rPr>
              <w:t>ø</w:t>
            </w:r>
            <w:r w:rsidRPr="00780056">
              <w:rPr>
                <w:b w:val="0"/>
                <w:color w:val="FFFFFF" w:themeColor="background1"/>
                <w:sz w:val="18"/>
                <w:szCs w:val="18"/>
                <w:lang w:val="en-US"/>
              </w:rPr>
              <w:t xml:space="preserve"> 8,4</w:t>
            </w:r>
            <w:r w:rsidRPr="00780056">
              <w:rPr>
                <w:b w:val="0"/>
                <w:color w:val="FFFFFF" w:themeColor="background1"/>
                <w:sz w:val="18"/>
                <w:szCs w:val="18"/>
              </w:rPr>
              <w:t>)</w:t>
            </w:r>
          </w:p>
        </w:tc>
      </w:tr>
      <w:tr w:rsidR="009E3951" w:rsidRPr="004D28DA" w:rsidTr="00062678">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042" w:type="dxa"/>
            <w:tcBorders>
              <w:top w:val="single" w:sz="24" w:space="0" w:color="FFFFFF" w:themeColor="background1"/>
              <w:left w:val="none" w:sz="0" w:space="0" w:color="auto"/>
              <w:bottom w:val="single" w:sz="24" w:space="0" w:color="FFFFFF" w:themeColor="background1"/>
            </w:tcBorders>
            <w:shd w:val="clear" w:color="auto" w:fill="4F81BD"/>
            <w:hideMark/>
          </w:tcPr>
          <w:p w:rsidR="00780056" w:rsidRPr="00780056" w:rsidRDefault="009E3951" w:rsidP="00780056">
            <w:pPr>
              <w:jc w:val="left"/>
              <w:rPr>
                <w:rFonts w:eastAsia="Times New Roman"/>
                <w:b/>
                <w:i w:val="0"/>
                <w:color w:val="FFFFFF" w:themeColor="background1"/>
                <w:lang w:eastAsia="cs-CZ"/>
              </w:rPr>
            </w:pPr>
            <w:r w:rsidRPr="00780056">
              <w:rPr>
                <w:rFonts w:eastAsia="Times New Roman"/>
                <w:b/>
                <w:i w:val="0"/>
                <w:color w:val="FFFFFF" w:themeColor="background1"/>
                <w:lang w:eastAsia="cs-CZ"/>
              </w:rPr>
              <w:t xml:space="preserve">Veřejná správa a bezpečnost </w:t>
            </w:r>
          </w:p>
        </w:tc>
        <w:tc>
          <w:tcPr>
            <w:tcW w:w="819"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69,8</w:t>
            </w:r>
          </w:p>
        </w:tc>
        <w:tc>
          <w:tcPr>
            <w:tcW w:w="1054"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20,2</w:t>
            </w:r>
          </w:p>
        </w:tc>
        <w:tc>
          <w:tcPr>
            <w:tcW w:w="905"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11,9</w:t>
            </w:r>
          </w:p>
        </w:tc>
        <w:tc>
          <w:tcPr>
            <w:tcW w:w="865"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8,6</w:t>
            </w:r>
          </w:p>
        </w:tc>
        <w:tc>
          <w:tcPr>
            <w:tcW w:w="720"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7,1</w:t>
            </w:r>
          </w:p>
        </w:tc>
        <w:tc>
          <w:tcPr>
            <w:tcW w:w="954"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14,6</w:t>
            </w:r>
          </w:p>
        </w:tc>
        <w:tc>
          <w:tcPr>
            <w:tcW w:w="721" w:type="dxa"/>
            <w:tcBorders>
              <w:top w:val="single" w:sz="24" w:space="0" w:color="FFFFFF" w:themeColor="background1"/>
              <w:bottom w:val="single" w:sz="24" w:space="0" w:color="FFFFFF" w:themeColor="background1"/>
            </w:tcBorders>
            <w:shd w:val="clear" w:color="auto" w:fill="D0D8E8"/>
            <w:noWrap/>
            <w:hideMark/>
          </w:tcPr>
          <w:p w:rsidR="009E3951" w:rsidRPr="00780056"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780056">
              <w:rPr>
                <w:rFonts w:eastAsia="Times New Roman"/>
                <w:b/>
                <w:lang w:eastAsia="cs-CZ"/>
              </w:rPr>
              <w:t>7,3</w:t>
            </w:r>
          </w:p>
        </w:tc>
      </w:tr>
      <w:tr w:rsidR="009E3951" w:rsidRPr="004D28DA" w:rsidTr="00D54D3C">
        <w:trPr>
          <w:trHeight w:val="833"/>
        </w:trPr>
        <w:tc>
          <w:tcPr>
            <w:cnfStyle w:val="001000000000" w:firstRow="0" w:lastRow="0" w:firstColumn="1" w:lastColumn="0" w:oddVBand="0" w:evenVBand="0" w:oddHBand="0" w:evenHBand="0" w:firstRowFirstColumn="0" w:firstRowLastColumn="0" w:lastRowFirstColumn="0" w:lastRowLastColumn="0"/>
            <w:tcW w:w="3042" w:type="dxa"/>
            <w:tcBorders>
              <w:top w:val="single" w:sz="24" w:space="0" w:color="FFFFFF" w:themeColor="background1"/>
              <w:left w:val="none" w:sz="0" w:space="0" w:color="auto"/>
              <w:bottom w:val="none" w:sz="0" w:space="0" w:color="auto"/>
            </w:tcBorders>
            <w:shd w:val="clear" w:color="auto" w:fill="4F81BD"/>
          </w:tcPr>
          <w:p w:rsidR="009E3951" w:rsidRPr="00780056" w:rsidRDefault="009E3951" w:rsidP="00780056">
            <w:pPr>
              <w:spacing w:before="0" w:line="240" w:lineRule="auto"/>
              <w:jc w:val="left"/>
              <w:rPr>
                <w:rFonts w:eastAsia="Times New Roman"/>
                <w:i w:val="0"/>
                <w:color w:val="FFFFFF" w:themeColor="background1"/>
                <w:lang w:eastAsia="cs-CZ"/>
              </w:rPr>
            </w:pPr>
            <w:r w:rsidRPr="00780056">
              <w:rPr>
                <w:rFonts w:eastAsia="Times New Roman"/>
                <w:i w:val="0"/>
                <w:color w:val="FFFFFF" w:themeColor="background1"/>
                <w:lang w:eastAsia="cs-CZ"/>
              </w:rPr>
              <w:t>Zefektivnění veřejné správy pro poskytování kvalitních služeb</w:t>
            </w:r>
          </w:p>
        </w:tc>
        <w:tc>
          <w:tcPr>
            <w:tcW w:w="819" w:type="dxa"/>
            <w:tcBorders>
              <w:top w:val="single" w:sz="24" w:space="0" w:color="FFFFFF" w:themeColor="background1"/>
            </w:tcBorders>
            <w:shd w:val="clear" w:color="auto" w:fill="D0D8E8"/>
            <w:noWrap/>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b/>
                <w:lang w:eastAsia="cs-CZ"/>
              </w:rPr>
            </w:pPr>
            <w:r w:rsidRPr="001B1C21">
              <w:rPr>
                <w:rFonts w:eastAsia="Times New Roman"/>
                <w:b/>
                <w:lang w:eastAsia="cs-CZ"/>
              </w:rPr>
              <w:t>76,7</w:t>
            </w:r>
          </w:p>
        </w:tc>
        <w:tc>
          <w:tcPr>
            <w:tcW w:w="1054"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20,8</w:t>
            </w:r>
          </w:p>
        </w:tc>
        <w:tc>
          <w:tcPr>
            <w:tcW w:w="905"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15,2</w:t>
            </w:r>
          </w:p>
        </w:tc>
        <w:tc>
          <w:tcPr>
            <w:tcW w:w="865"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8,5</w:t>
            </w:r>
          </w:p>
        </w:tc>
        <w:tc>
          <w:tcPr>
            <w:tcW w:w="720"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7,7</w:t>
            </w:r>
          </w:p>
        </w:tc>
        <w:tc>
          <w:tcPr>
            <w:tcW w:w="954"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15,3</w:t>
            </w:r>
          </w:p>
        </w:tc>
        <w:tc>
          <w:tcPr>
            <w:tcW w:w="721" w:type="dxa"/>
            <w:tcBorders>
              <w:top w:val="single" w:sz="24" w:space="0" w:color="FFFFFF" w:themeColor="background1"/>
            </w:tcBorders>
            <w:shd w:val="clear" w:color="auto" w:fill="D0D8E8"/>
            <w:noWrap/>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9,3</w:t>
            </w:r>
          </w:p>
        </w:tc>
      </w:tr>
      <w:tr w:rsidR="00590FD1" w:rsidRPr="004D28DA" w:rsidTr="00590FD1">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3042" w:type="dxa"/>
            <w:shd w:val="clear" w:color="auto" w:fill="4F81BD"/>
          </w:tcPr>
          <w:p w:rsidR="009E3951" w:rsidRPr="00780056" w:rsidRDefault="009E3951" w:rsidP="00780056">
            <w:pPr>
              <w:spacing w:before="0" w:line="240" w:lineRule="auto"/>
              <w:jc w:val="left"/>
              <w:rPr>
                <w:rFonts w:eastAsia="Times New Roman"/>
                <w:i w:val="0"/>
                <w:color w:val="FFFFFF" w:themeColor="background1"/>
                <w:lang w:eastAsia="cs-CZ"/>
              </w:rPr>
            </w:pPr>
            <w:r w:rsidRPr="00780056">
              <w:rPr>
                <w:rFonts w:eastAsia="Times New Roman"/>
                <w:i w:val="0"/>
                <w:color w:val="FFFFFF" w:themeColor="background1"/>
                <w:lang w:eastAsia="cs-CZ"/>
              </w:rPr>
              <w:t>Elektronizace výkonu veřejné správy a zavedení související infrastruktury</w:t>
            </w:r>
          </w:p>
        </w:tc>
        <w:tc>
          <w:tcPr>
            <w:tcW w:w="819" w:type="dxa"/>
            <w:shd w:val="clear" w:color="auto" w:fill="D0D8E8"/>
            <w:noWrap/>
          </w:tcPr>
          <w:p w:rsidR="009E3951" w:rsidRPr="001B1C21"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1B1C21">
              <w:rPr>
                <w:rFonts w:eastAsia="Times New Roman"/>
                <w:b/>
                <w:lang w:eastAsia="cs-CZ"/>
              </w:rPr>
              <w:t>74,3</w:t>
            </w:r>
          </w:p>
        </w:tc>
        <w:tc>
          <w:tcPr>
            <w:tcW w:w="1054"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22,0</w:t>
            </w:r>
          </w:p>
        </w:tc>
        <w:tc>
          <w:tcPr>
            <w:tcW w:w="905"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12,9</w:t>
            </w:r>
          </w:p>
        </w:tc>
        <w:tc>
          <w:tcPr>
            <w:tcW w:w="865"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9,6</w:t>
            </w:r>
          </w:p>
        </w:tc>
        <w:tc>
          <w:tcPr>
            <w:tcW w:w="720"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7,7</w:t>
            </w:r>
          </w:p>
        </w:tc>
        <w:tc>
          <w:tcPr>
            <w:tcW w:w="954"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14,5</w:t>
            </w:r>
          </w:p>
        </w:tc>
        <w:tc>
          <w:tcPr>
            <w:tcW w:w="721" w:type="dxa"/>
            <w:shd w:val="clear" w:color="auto" w:fill="D0D8E8"/>
            <w:noWrap/>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7,7</w:t>
            </w:r>
          </w:p>
        </w:tc>
      </w:tr>
      <w:tr w:rsidR="009E3951" w:rsidRPr="004D28DA" w:rsidTr="00511702">
        <w:trPr>
          <w:trHeight w:val="1406"/>
        </w:trPr>
        <w:tc>
          <w:tcPr>
            <w:cnfStyle w:val="001000000000" w:firstRow="0" w:lastRow="0" w:firstColumn="1" w:lastColumn="0" w:oddVBand="0" w:evenVBand="0" w:oddHBand="0" w:evenHBand="0" w:firstRowFirstColumn="0" w:firstRowLastColumn="0" w:lastRowFirstColumn="0" w:lastRowLastColumn="0"/>
            <w:tcW w:w="3042" w:type="dxa"/>
            <w:tcBorders>
              <w:left w:val="none" w:sz="0" w:space="0" w:color="auto"/>
              <w:bottom w:val="none" w:sz="0" w:space="0" w:color="auto"/>
            </w:tcBorders>
            <w:shd w:val="clear" w:color="auto" w:fill="4F81BD"/>
            <w:hideMark/>
          </w:tcPr>
          <w:p w:rsidR="009E3951" w:rsidRPr="00780056" w:rsidRDefault="009E3951" w:rsidP="00780056">
            <w:pPr>
              <w:spacing w:before="0" w:line="240" w:lineRule="auto"/>
              <w:jc w:val="left"/>
              <w:rPr>
                <w:rFonts w:eastAsia="Times New Roman"/>
                <w:i w:val="0"/>
                <w:color w:val="FFFFFF" w:themeColor="background1"/>
                <w:lang w:eastAsia="cs-CZ"/>
              </w:rPr>
            </w:pPr>
            <w:r w:rsidRPr="00780056">
              <w:rPr>
                <w:rFonts w:eastAsia="Times New Roman"/>
                <w:i w:val="0"/>
                <w:color w:val="FFFFFF" w:themeColor="background1"/>
                <w:lang w:eastAsia="cs-CZ"/>
              </w:rPr>
              <w:t>Účinné zabezpečení informačních a komunikačních systémů veřejné správy včetně složek IZS a adekvátní reakce na rostoucí kybernetické hrozby</w:t>
            </w:r>
          </w:p>
        </w:tc>
        <w:tc>
          <w:tcPr>
            <w:tcW w:w="819" w:type="dxa"/>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b/>
                <w:lang w:eastAsia="cs-CZ"/>
              </w:rPr>
            </w:pPr>
            <w:r w:rsidRPr="001B1C21">
              <w:rPr>
                <w:rFonts w:eastAsia="Times New Roman"/>
                <w:b/>
                <w:lang w:eastAsia="cs-CZ"/>
              </w:rPr>
              <w:t>73,2</w:t>
            </w:r>
          </w:p>
        </w:tc>
        <w:tc>
          <w:tcPr>
            <w:tcW w:w="1054"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23,5</w:t>
            </w:r>
          </w:p>
        </w:tc>
        <w:tc>
          <w:tcPr>
            <w:tcW w:w="905"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11,3</w:t>
            </w:r>
          </w:p>
        </w:tc>
        <w:tc>
          <w:tcPr>
            <w:tcW w:w="865"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9,1</w:t>
            </w:r>
          </w:p>
        </w:tc>
        <w:tc>
          <w:tcPr>
            <w:tcW w:w="720"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6,7</w:t>
            </w:r>
          </w:p>
        </w:tc>
        <w:tc>
          <w:tcPr>
            <w:tcW w:w="954"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15,4</w:t>
            </w:r>
          </w:p>
        </w:tc>
        <w:tc>
          <w:tcPr>
            <w:tcW w:w="721"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7,2</w:t>
            </w:r>
          </w:p>
        </w:tc>
      </w:tr>
      <w:tr w:rsidR="007F2A54" w:rsidRPr="004D28DA" w:rsidTr="00D06F6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042" w:type="dxa"/>
            <w:shd w:val="clear" w:color="auto" w:fill="4F81BD"/>
            <w:hideMark/>
          </w:tcPr>
          <w:p w:rsidR="009E3951" w:rsidRPr="00780056" w:rsidRDefault="009E3951" w:rsidP="00780056">
            <w:pPr>
              <w:spacing w:before="0" w:line="240" w:lineRule="auto"/>
              <w:jc w:val="left"/>
              <w:rPr>
                <w:rFonts w:eastAsia="Times New Roman"/>
                <w:i w:val="0"/>
                <w:color w:val="FFFFFF" w:themeColor="background1"/>
                <w:lang w:eastAsia="cs-CZ"/>
              </w:rPr>
            </w:pPr>
            <w:r w:rsidRPr="00780056">
              <w:rPr>
                <w:rFonts w:eastAsia="Times New Roman"/>
                <w:i w:val="0"/>
                <w:color w:val="FFFFFF" w:themeColor="background1"/>
                <w:lang w:eastAsia="cs-CZ"/>
              </w:rPr>
              <w:t>Ochrana obyvatelstva</w:t>
            </w:r>
          </w:p>
        </w:tc>
        <w:tc>
          <w:tcPr>
            <w:tcW w:w="819" w:type="dxa"/>
            <w:shd w:val="clear" w:color="auto" w:fill="D0D8E8"/>
            <w:noWrap/>
            <w:hideMark/>
          </w:tcPr>
          <w:p w:rsidR="009E3951" w:rsidRPr="001B1C21"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1B1C21">
              <w:rPr>
                <w:rFonts w:eastAsia="Times New Roman"/>
                <w:b/>
                <w:lang w:eastAsia="cs-CZ"/>
              </w:rPr>
              <w:t>64,3</w:t>
            </w:r>
          </w:p>
        </w:tc>
        <w:tc>
          <w:tcPr>
            <w:tcW w:w="1054"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18,2</w:t>
            </w:r>
          </w:p>
        </w:tc>
        <w:tc>
          <w:tcPr>
            <w:tcW w:w="905"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11,2</w:t>
            </w:r>
          </w:p>
        </w:tc>
        <w:tc>
          <w:tcPr>
            <w:tcW w:w="865"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7,7</w:t>
            </w:r>
          </w:p>
        </w:tc>
        <w:tc>
          <w:tcPr>
            <w:tcW w:w="720"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6,1</w:t>
            </w:r>
          </w:p>
        </w:tc>
        <w:tc>
          <w:tcPr>
            <w:tcW w:w="954"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14,8</w:t>
            </w:r>
          </w:p>
        </w:tc>
        <w:tc>
          <w:tcPr>
            <w:tcW w:w="721" w:type="dxa"/>
            <w:shd w:val="clear" w:color="auto" w:fill="D0D8E8"/>
            <w:noWrap/>
            <w:hideMark/>
          </w:tcPr>
          <w:p w:rsidR="009E3951" w:rsidRPr="003032CA" w:rsidRDefault="009E3951" w:rsidP="009E3951">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6,4</w:t>
            </w:r>
          </w:p>
        </w:tc>
      </w:tr>
      <w:tr w:rsidR="007F2A54" w:rsidRPr="004D28DA" w:rsidTr="00D06F64">
        <w:trPr>
          <w:trHeight w:val="258"/>
        </w:trPr>
        <w:tc>
          <w:tcPr>
            <w:cnfStyle w:val="001000000000" w:firstRow="0" w:lastRow="0" w:firstColumn="1" w:lastColumn="0" w:oddVBand="0" w:evenVBand="0" w:oddHBand="0" w:evenHBand="0" w:firstRowFirstColumn="0" w:firstRowLastColumn="0" w:lastRowFirstColumn="0" w:lastRowLastColumn="0"/>
            <w:tcW w:w="3042" w:type="dxa"/>
            <w:shd w:val="clear" w:color="auto" w:fill="4F81BD"/>
            <w:hideMark/>
          </w:tcPr>
          <w:p w:rsidR="00D54D3C" w:rsidRPr="00780056" w:rsidRDefault="009E3951" w:rsidP="00780056">
            <w:pPr>
              <w:spacing w:before="0" w:line="240" w:lineRule="auto"/>
              <w:jc w:val="left"/>
              <w:rPr>
                <w:rFonts w:eastAsia="Times New Roman"/>
                <w:i w:val="0"/>
                <w:color w:val="FFFFFF" w:themeColor="background1"/>
                <w:lang w:eastAsia="cs-CZ"/>
              </w:rPr>
            </w:pPr>
            <w:r w:rsidRPr="00780056">
              <w:rPr>
                <w:rFonts w:eastAsia="Times New Roman"/>
                <w:i w:val="0"/>
                <w:color w:val="FFFFFF" w:themeColor="background1"/>
                <w:lang w:eastAsia="cs-CZ"/>
              </w:rPr>
              <w:t xml:space="preserve">Digitalizace územního plánování (elektronizace </w:t>
            </w:r>
            <w:r w:rsidR="00780056" w:rsidRPr="00780056">
              <w:rPr>
                <w:rFonts w:eastAsia="Times New Roman"/>
                <w:i w:val="0"/>
                <w:color w:val="FFFFFF" w:themeColor="background1"/>
                <w:lang w:eastAsia="cs-CZ"/>
              </w:rPr>
              <w:br/>
            </w:r>
            <w:r w:rsidRPr="00780056">
              <w:rPr>
                <w:rFonts w:eastAsia="Times New Roman"/>
                <w:i w:val="0"/>
                <w:color w:val="FFFFFF" w:themeColor="background1"/>
                <w:lang w:eastAsia="cs-CZ"/>
              </w:rPr>
              <w:t>a digitalizace agend stavebního práva)</w:t>
            </w:r>
          </w:p>
        </w:tc>
        <w:tc>
          <w:tcPr>
            <w:tcW w:w="819" w:type="dxa"/>
            <w:shd w:val="clear" w:color="auto" w:fill="D0D8E8"/>
            <w:noWrap/>
            <w:hideMark/>
          </w:tcPr>
          <w:p w:rsidR="009E3951" w:rsidRPr="001B1C21"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b/>
                <w:lang w:eastAsia="cs-CZ"/>
              </w:rPr>
            </w:pPr>
            <w:r w:rsidRPr="001B1C21">
              <w:rPr>
                <w:rFonts w:eastAsia="Times New Roman"/>
                <w:b/>
                <w:lang w:eastAsia="cs-CZ"/>
              </w:rPr>
              <w:t>60,3</w:t>
            </w:r>
          </w:p>
        </w:tc>
        <w:tc>
          <w:tcPr>
            <w:tcW w:w="1054"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16,7</w:t>
            </w:r>
          </w:p>
        </w:tc>
        <w:tc>
          <w:tcPr>
            <w:tcW w:w="905"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9,1</w:t>
            </w:r>
          </w:p>
        </w:tc>
        <w:tc>
          <w:tcPr>
            <w:tcW w:w="865"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8,1</w:t>
            </w:r>
          </w:p>
        </w:tc>
        <w:tc>
          <w:tcPr>
            <w:tcW w:w="720"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7,5</w:t>
            </w:r>
          </w:p>
        </w:tc>
        <w:tc>
          <w:tcPr>
            <w:tcW w:w="954"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13,1</w:t>
            </w:r>
          </w:p>
        </w:tc>
        <w:tc>
          <w:tcPr>
            <w:tcW w:w="721" w:type="dxa"/>
            <w:shd w:val="clear" w:color="auto" w:fill="D0D8E8"/>
            <w:noWrap/>
            <w:hideMark/>
          </w:tcPr>
          <w:p w:rsidR="009E3951" w:rsidRPr="003032CA" w:rsidRDefault="009E3951" w:rsidP="009E3951">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lang w:eastAsia="cs-CZ"/>
              </w:rPr>
            </w:pPr>
            <w:r w:rsidRPr="003032CA">
              <w:rPr>
                <w:rFonts w:eastAsia="Times New Roman"/>
                <w:color w:val="000000"/>
                <w:lang w:eastAsia="cs-CZ"/>
              </w:rPr>
              <w:t>5,9</w:t>
            </w:r>
          </w:p>
        </w:tc>
      </w:tr>
    </w:tbl>
    <w:p w:rsidR="000B7D2A" w:rsidRPr="00A9356E" w:rsidRDefault="000B7D2A" w:rsidP="000B7D2A">
      <w:pPr>
        <w:rPr>
          <w:sz w:val="22"/>
        </w:rPr>
      </w:pPr>
      <w:r w:rsidRPr="00A9356E">
        <w:rPr>
          <w:sz w:val="22"/>
        </w:rPr>
        <w:t xml:space="preserve">Pozitivně byly hodnoceny specifické cíle zaměřené na kvalitu veřejné správy, na elektronizaci veřejné správy a na kybernetickou bezpečnost. Naopak hůře byly hodnoceny specifické cíle k ochraně obyvatelstva a k digitalizaci územního plánování. </w:t>
      </w:r>
    </w:p>
    <w:p w:rsidR="000B7D2A" w:rsidRPr="00A9356E" w:rsidRDefault="000B7D2A" w:rsidP="000B7D2A">
      <w:pPr>
        <w:rPr>
          <w:rFonts w:eastAsia="Times New Roman"/>
          <w:color w:val="000000"/>
          <w:sz w:val="22"/>
          <w:lang w:eastAsia="cs-CZ"/>
        </w:rPr>
      </w:pPr>
      <w:r w:rsidRPr="00A9356E">
        <w:rPr>
          <w:sz w:val="22"/>
        </w:rPr>
        <w:t xml:space="preserve">Specifický cíl </w:t>
      </w:r>
      <w:r w:rsidRPr="00A9356E">
        <w:rPr>
          <w:rFonts w:eastAsia="Times New Roman"/>
          <w:i/>
          <w:color w:val="000000"/>
          <w:sz w:val="22"/>
          <w:lang w:eastAsia="cs-CZ"/>
        </w:rPr>
        <w:t>Zefektivnění veřejné správy pro poskytování kvalitních služeb</w:t>
      </w:r>
      <w:r w:rsidRPr="00A9356E">
        <w:rPr>
          <w:rFonts w:eastAsia="Times New Roman"/>
          <w:color w:val="000000"/>
          <w:sz w:val="22"/>
          <w:lang w:eastAsia="cs-CZ"/>
        </w:rPr>
        <w:t xml:space="preserve"> je hodnocen jako velmi důležitý, s řadou vazeb a synergií, přičemž pozitivně je hodnocena i připravovaná koncepce veřejné správy </w:t>
      </w:r>
      <w:r w:rsidR="00F875B5">
        <w:rPr>
          <w:rFonts w:eastAsia="Times New Roman"/>
          <w:color w:val="000000"/>
          <w:sz w:val="22"/>
          <w:lang w:eastAsia="cs-CZ"/>
        </w:rPr>
        <w:br/>
      </w:r>
      <w:r w:rsidRPr="00A9356E">
        <w:rPr>
          <w:rFonts w:eastAsia="Times New Roman"/>
          <w:color w:val="000000"/>
          <w:sz w:val="22"/>
          <w:lang w:eastAsia="cs-CZ"/>
        </w:rPr>
        <w:t>a absorpční kapacita. Na druhou stranu, téma není obsaženo v návrhu Obecného nařízení ani v doporučeních Evropské komise.</w:t>
      </w:r>
    </w:p>
    <w:p w:rsidR="000B7D2A" w:rsidRPr="00A9356E" w:rsidRDefault="000B7D2A" w:rsidP="000B7D2A">
      <w:pPr>
        <w:rPr>
          <w:rFonts w:eastAsia="Times New Roman"/>
          <w:color w:val="000000"/>
          <w:sz w:val="22"/>
          <w:lang w:eastAsia="cs-CZ"/>
        </w:rPr>
      </w:pPr>
      <w:r w:rsidRPr="00A9356E">
        <w:rPr>
          <w:sz w:val="22"/>
        </w:rPr>
        <w:t xml:space="preserve">Rovněž </w:t>
      </w:r>
      <w:r w:rsidRPr="00A9356E">
        <w:rPr>
          <w:rFonts w:eastAsia="Times New Roman"/>
          <w:i/>
          <w:color w:val="000000"/>
          <w:sz w:val="22"/>
          <w:lang w:eastAsia="cs-CZ"/>
        </w:rPr>
        <w:t>Elektronizace výkonu veřejné správy a zavedení související infrastruktury</w:t>
      </w:r>
      <w:r w:rsidRPr="00A9356E">
        <w:rPr>
          <w:rFonts w:eastAsia="Times New Roman"/>
          <w:color w:val="000000"/>
          <w:sz w:val="22"/>
          <w:lang w:eastAsia="cs-CZ"/>
        </w:rPr>
        <w:t xml:space="preserve"> a </w:t>
      </w:r>
      <w:r w:rsidRPr="00A9356E">
        <w:rPr>
          <w:rFonts w:eastAsia="Times New Roman"/>
          <w:i/>
          <w:color w:val="000000"/>
          <w:sz w:val="22"/>
          <w:lang w:eastAsia="cs-CZ"/>
        </w:rPr>
        <w:t xml:space="preserve">Účinné zabezpečení informačních a komunikačních systémů veřejné správy včetně složek IZS </w:t>
      </w:r>
      <w:r w:rsidR="00F875B5">
        <w:rPr>
          <w:rFonts w:eastAsia="Times New Roman"/>
          <w:i/>
          <w:color w:val="000000"/>
          <w:sz w:val="22"/>
          <w:lang w:eastAsia="cs-CZ"/>
        </w:rPr>
        <w:br/>
      </w:r>
      <w:r w:rsidRPr="00A9356E">
        <w:rPr>
          <w:rFonts w:eastAsia="Times New Roman"/>
          <w:i/>
          <w:color w:val="000000"/>
          <w:sz w:val="22"/>
          <w:lang w:eastAsia="cs-CZ"/>
        </w:rPr>
        <w:t>a adekvátní reakce na rostoucí kybernetické hrozby</w:t>
      </w:r>
      <w:r w:rsidRPr="00A9356E">
        <w:rPr>
          <w:rFonts w:eastAsia="Times New Roman"/>
          <w:color w:val="000000"/>
          <w:sz w:val="22"/>
          <w:lang w:eastAsia="cs-CZ"/>
        </w:rPr>
        <w:t xml:space="preserve"> jsou hodnoceny jako vysoce důležité. Pro oba specifické cíle je zpracována strategie Digitální Česko, která byla hodnocena </w:t>
      </w:r>
      <w:r w:rsidR="00B634F0">
        <w:rPr>
          <w:rFonts w:eastAsia="Times New Roman"/>
          <w:color w:val="000000"/>
          <w:sz w:val="22"/>
          <w:lang w:eastAsia="cs-CZ"/>
        </w:rPr>
        <w:t>hůře</w:t>
      </w:r>
      <w:r w:rsidR="00B634F0" w:rsidRPr="00A9356E">
        <w:rPr>
          <w:rFonts w:eastAsia="Times New Roman"/>
          <w:color w:val="000000"/>
          <w:sz w:val="22"/>
          <w:lang w:eastAsia="cs-CZ"/>
        </w:rPr>
        <w:t xml:space="preserve"> </w:t>
      </w:r>
      <w:r w:rsidRPr="00A9356E">
        <w:rPr>
          <w:rFonts w:eastAsia="Times New Roman"/>
          <w:color w:val="000000"/>
          <w:sz w:val="22"/>
          <w:lang w:eastAsia="cs-CZ"/>
        </w:rPr>
        <w:t>(mezitím však byl schválen implementační plán). V rámci specifického cíle ke kybernetické bezpečnosti by měly být cíle formulovány konkrétněji.</w:t>
      </w:r>
    </w:p>
    <w:p w:rsidR="000B7D2A" w:rsidRPr="00A9356E" w:rsidRDefault="000B7D2A" w:rsidP="000B7D2A">
      <w:pPr>
        <w:rPr>
          <w:sz w:val="22"/>
        </w:rPr>
      </w:pPr>
      <w:r w:rsidRPr="00A9356E">
        <w:rPr>
          <w:rFonts w:eastAsia="Times New Roman"/>
          <w:color w:val="000000"/>
          <w:sz w:val="22"/>
          <w:lang w:eastAsia="cs-CZ"/>
        </w:rPr>
        <w:t xml:space="preserve">Specifický cíl </w:t>
      </w:r>
      <w:r w:rsidRPr="00A9356E">
        <w:rPr>
          <w:rFonts w:eastAsia="Times New Roman"/>
          <w:i/>
          <w:color w:val="000000"/>
          <w:sz w:val="22"/>
          <w:lang w:eastAsia="cs-CZ"/>
        </w:rPr>
        <w:t>Ochrana obyvatelstva</w:t>
      </w:r>
      <w:r w:rsidRPr="00A9356E">
        <w:rPr>
          <w:rFonts w:eastAsia="Times New Roman"/>
          <w:color w:val="000000"/>
          <w:sz w:val="22"/>
          <w:lang w:eastAsia="cs-CZ"/>
        </w:rPr>
        <w:t xml:space="preserve"> obsahuje poměrně různorodé aktivity </w:t>
      </w:r>
      <w:r w:rsidRPr="00A9356E">
        <w:rPr>
          <w:sz w:val="22"/>
        </w:rPr>
        <w:t xml:space="preserve">(od klimatických po sociální témata), což se odráží v rozporuplném a podprůměrném hodnocení. Důležitost je hodnocena jako nižší, včetně slabších vazeb na průřezová témata. Nedostatkem je absence aktuální strategie pro období po roce 2020 (a to takové, která by problematiku zastřešilo kompletně), částečná replikace cílů ze stávajícího období pro další období a nedostatečný posun tématu. </w:t>
      </w:r>
    </w:p>
    <w:p w:rsidR="00AE7366" w:rsidRDefault="000B7D2A" w:rsidP="000B7D2A">
      <w:pPr>
        <w:rPr>
          <w:rStyle w:val="normaltextrun1"/>
          <w:sz w:val="22"/>
          <w:szCs w:val="22"/>
        </w:rPr>
      </w:pPr>
      <w:r w:rsidRPr="00A9356E">
        <w:rPr>
          <w:sz w:val="22"/>
        </w:rPr>
        <w:t xml:space="preserve">Specifický cíl </w:t>
      </w:r>
      <w:r w:rsidRPr="00A9356E">
        <w:rPr>
          <w:i/>
          <w:sz w:val="22"/>
        </w:rPr>
        <w:t>Digitalizace územního plánování</w:t>
      </w:r>
      <w:r w:rsidRPr="00A9356E">
        <w:rPr>
          <w:sz w:val="22"/>
        </w:rPr>
        <w:t xml:space="preserve"> je hodnocen podprůměrně ve </w:t>
      </w:r>
      <w:r w:rsidR="00A56297">
        <w:rPr>
          <w:sz w:val="22"/>
        </w:rPr>
        <w:t>většině</w:t>
      </w:r>
      <w:r w:rsidR="00A56297" w:rsidRPr="00A9356E">
        <w:rPr>
          <w:sz w:val="22"/>
        </w:rPr>
        <w:t xml:space="preserve"> </w:t>
      </w:r>
      <w:r w:rsidRPr="00A9356E">
        <w:rPr>
          <w:sz w:val="22"/>
        </w:rPr>
        <w:t xml:space="preserve">kritérií. Jde (i v porovnání s ostatními) o velmi dílčí a parciální cíl, který </w:t>
      </w:r>
      <w:r w:rsidR="00A56297">
        <w:rPr>
          <w:sz w:val="22"/>
        </w:rPr>
        <w:t>může</w:t>
      </w:r>
      <w:r w:rsidRPr="00A9356E">
        <w:rPr>
          <w:sz w:val="22"/>
        </w:rPr>
        <w:t xml:space="preserve"> spadat do obecnějšího cíle elektronizace veřejné správy</w:t>
      </w:r>
      <w:r w:rsidR="00BF3B96">
        <w:rPr>
          <w:sz w:val="22"/>
        </w:rPr>
        <w:t xml:space="preserve">; z tohoto důvodu je také ve schématu operačních programů specifický cíl </w:t>
      </w:r>
      <w:r w:rsidR="00BF3B96" w:rsidRPr="00F15286">
        <w:rPr>
          <w:i/>
          <w:sz w:val="22"/>
        </w:rPr>
        <w:t>Digitalizace územního plánování</w:t>
      </w:r>
      <w:r w:rsidR="00BF3B96">
        <w:rPr>
          <w:sz w:val="22"/>
        </w:rPr>
        <w:t xml:space="preserve"> podřazen pod specifický cíl </w:t>
      </w:r>
      <w:r w:rsidR="00BF3B96" w:rsidRPr="00F15286">
        <w:rPr>
          <w:i/>
          <w:sz w:val="22"/>
        </w:rPr>
        <w:t>Elektronizace výkonu veřejné správy a zavedení související infrastruktury</w:t>
      </w:r>
      <w:r w:rsidRPr="00A9356E">
        <w:rPr>
          <w:sz w:val="22"/>
        </w:rPr>
        <w:t xml:space="preserve">. Důležitost a vazby cíle na průřezová témata jsou hodnoceny níže. Příslušná strategie Digitální Česko 2030 </w:t>
      </w:r>
      <w:r w:rsidR="00A56297">
        <w:rPr>
          <w:sz w:val="22"/>
        </w:rPr>
        <w:t xml:space="preserve">byla hodnocena slaběji (mezitím však byl schválen implementační plán) </w:t>
      </w:r>
      <w:r w:rsidRPr="00A9356E">
        <w:rPr>
          <w:sz w:val="22"/>
        </w:rPr>
        <w:t xml:space="preserve">a stanovené cíle jsou hodnoceny jako nepříliš konkrétní a nedostatečně formulované. Tento specifický cíl může sice mít silný dopad a synergické vazby, avšak absorpční kapacita není hodnocena jako dostatečná, </w:t>
      </w:r>
      <w:r w:rsidRPr="00F875B5">
        <w:rPr>
          <w:sz w:val="22"/>
        </w:rPr>
        <w:t xml:space="preserve">včetně existujících legislativních bariér. </w:t>
      </w:r>
      <w:r w:rsidR="00A56297" w:rsidRPr="00F875B5">
        <w:rPr>
          <w:rStyle w:val="normaltextrun1"/>
          <w:sz w:val="22"/>
          <w:szCs w:val="22"/>
        </w:rPr>
        <w:t xml:space="preserve">Významným přínosem tohoto specifického cíle však může být zajištění kvalitního rozhodování o změnách v území </w:t>
      </w:r>
      <w:r w:rsidR="00F875B5">
        <w:rPr>
          <w:rStyle w:val="normaltextrun1"/>
          <w:sz w:val="22"/>
          <w:szCs w:val="22"/>
        </w:rPr>
        <w:br/>
      </w:r>
      <w:r w:rsidR="00A56297" w:rsidRPr="00F875B5">
        <w:rPr>
          <w:rStyle w:val="normaltextrun1"/>
          <w:sz w:val="22"/>
          <w:szCs w:val="22"/>
        </w:rPr>
        <w:t>a urychlení realizace záměrů.</w:t>
      </w:r>
    </w:p>
    <w:p w:rsidR="009B4328" w:rsidRPr="009E3951" w:rsidRDefault="00037FCC" w:rsidP="009E3951">
      <w:pPr>
        <w:pStyle w:val="Odstavecseseznamem"/>
        <w:numPr>
          <w:ilvl w:val="2"/>
          <w:numId w:val="9"/>
        </w:numPr>
        <w:spacing w:before="300"/>
        <w:ind w:left="425" w:hanging="425"/>
        <w:contextualSpacing w:val="0"/>
        <w:rPr>
          <w:rFonts w:ascii="Arial" w:hAnsi="Arial"/>
          <w:b/>
          <w:sz w:val="22"/>
          <w:szCs w:val="22"/>
        </w:rPr>
      </w:pPr>
      <w:r>
        <w:rPr>
          <w:rFonts w:ascii="Arial" w:hAnsi="Arial"/>
          <w:b/>
          <w:sz w:val="22"/>
          <w:szCs w:val="22"/>
        </w:rPr>
        <w:t xml:space="preserve"> </w:t>
      </w:r>
      <w:r w:rsidR="00CC6696" w:rsidRPr="00A9356E">
        <w:rPr>
          <w:rFonts w:ascii="Arial" w:hAnsi="Arial"/>
          <w:b/>
          <w:sz w:val="22"/>
          <w:szCs w:val="22"/>
        </w:rPr>
        <w:t>Trh práce a zaměstnanost</w:t>
      </w:r>
    </w:p>
    <w:tbl>
      <w:tblPr>
        <w:tblStyle w:val="Tabulkasmkou3zvraznn11"/>
        <w:tblW w:w="9072"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411"/>
        <w:gridCol w:w="991"/>
        <w:gridCol w:w="1007"/>
        <w:gridCol w:w="993"/>
        <w:gridCol w:w="850"/>
        <w:gridCol w:w="851"/>
        <w:gridCol w:w="977"/>
        <w:gridCol w:w="992"/>
      </w:tblGrid>
      <w:tr w:rsidR="009B4328" w:rsidRPr="009E3951" w:rsidTr="00D54D3C">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100" w:firstRow="0" w:lastRow="0" w:firstColumn="1" w:lastColumn="0" w:oddVBand="0" w:evenVBand="0" w:oddHBand="0" w:evenHBand="0" w:firstRowFirstColumn="1" w:firstRowLastColumn="0" w:lastRowFirstColumn="0" w:lastRowLastColumn="0"/>
            <w:tcW w:w="2411" w:type="dxa"/>
            <w:tcBorders>
              <w:top w:val="none" w:sz="0" w:space="0" w:color="auto"/>
              <w:left w:val="none" w:sz="0" w:space="0" w:color="auto"/>
              <w:bottom w:val="single" w:sz="24" w:space="0" w:color="FFFFFF" w:themeColor="background1"/>
              <w:right w:val="none" w:sz="0" w:space="0" w:color="auto"/>
            </w:tcBorders>
            <w:shd w:val="clear" w:color="auto" w:fill="4F81BD"/>
            <w:vAlign w:val="center"/>
          </w:tcPr>
          <w:p w:rsidR="009B4328" w:rsidRPr="00D54D3C" w:rsidRDefault="009B4328" w:rsidP="009B4328">
            <w:pPr>
              <w:rPr>
                <w:rFonts w:eastAsia="Times New Roman"/>
                <w:b w:val="0"/>
                <w:color w:val="FFFFFF" w:themeColor="background1"/>
                <w:sz w:val="18"/>
                <w:szCs w:val="18"/>
                <w:lang w:eastAsia="cs-CZ"/>
              </w:rPr>
            </w:pPr>
          </w:p>
        </w:tc>
        <w:tc>
          <w:tcPr>
            <w:tcW w:w="991"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Celkem (m</w:t>
            </w:r>
            <w:r w:rsidRPr="00D54D3C">
              <w:rPr>
                <w:b w:val="0"/>
                <w:color w:val="FFFFFF" w:themeColor="background1"/>
                <w:sz w:val="18"/>
                <w:szCs w:val="18"/>
                <w:lang w:val="en-US"/>
              </w:rPr>
              <w:t>ax</w:t>
            </w:r>
            <w:r w:rsidRPr="00D54D3C">
              <w:rPr>
                <w:b w:val="0"/>
                <w:color w:val="FFFFFF" w:themeColor="background1"/>
                <w:sz w:val="18"/>
                <w:szCs w:val="18"/>
              </w:rPr>
              <w:t xml:space="preserve"> 100, </w:t>
            </w:r>
            <w:r w:rsidRPr="00D54D3C">
              <w:rPr>
                <w:b w:val="0"/>
                <w:color w:val="FFFFFF" w:themeColor="background1"/>
                <w:sz w:val="18"/>
                <w:szCs w:val="18"/>
                <w:lang w:val="en-US"/>
              </w:rPr>
              <w:br/>
            </w:r>
            <w:r w:rsidRPr="00D54D3C">
              <w:rPr>
                <w:b w:val="0"/>
                <w:color w:val="FFFFFF" w:themeColor="background1"/>
                <w:sz w:val="18"/>
                <w:szCs w:val="18"/>
              </w:rPr>
              <w:t>ø</w:t>
            </w:r>
            <w:r w:rsidRPr="00D54D3C">
              <w:rPr>
                <w:b w:val="0"/>
                <w:color w:val="FFFFFF" w:themeColor="background1"/>
                <w:sz w:val="18"/>
                <w:szCs w:val="18"/>
                <w:lang w:val="en-US"/>
              </w:rPr>
              <w:t xml:space="preserve"> 76,9</w:t>
            </w:r>
            <w:r w:rsidRPr="00D54D3C">
              <w:rPr>
                <w:b w:val="0"/>
                <w:color w:val="FFFFFF" w:themeColor="background1"/>
                <w:sz w:val="18"/>
                <w:szCs w:val="18"/>
              </w:rPr>
              <w:t>)</w:t>
            </w:r>
          </w:p>
        </w:tc>
        <w:tc>
          <w:tcPr>
            <w:tcW w:w="100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Důležitost (m</w:t>
            </w:r>
            <w:r w:rsidRPr="00D54D3C">
              <w:rPr>
                <w:b w:val="0"/>
                <w:color w:val="FFFFFF" w:themeColor="background1"/>
                <w:sz w:val="18"/>
                <w:szCs w:val="18"/>
                <w:lang w:val="en-US"/>
              </w:rPr>
              <w:t>ax</w:t>
            </w:r>
            <w:r w:rsidRPr="00D54D3C">
              <w:rPr>
                <w:b w:val="0"/>
                <w:color w:val="FFFFFF" w:themeColor="background1"/>
                <w:sz w:val="18"/>
                <w:szCs w:val="18"/>
              </w:rPr>
              <w:t xml:space="preserve"> </w:t>
            </w:r>
            <w:r w:rsidRPr="00D54D3C">
              <w:rPr>
                <w:b w:val="0"/>
                <w:color w:val="FFFFFF" w:themeColor="background1"/>
                <w:sz w:val="18"/>
                <w:szCs w:val="18"/>
                <w:lang w:val="en-US"/>
              </w:rPr>
              <w:t>28</w:t>
            </w:r>
            <w:r w:rsidRPr="00D54D3C">
              <w:rPr>
                <w:b w:val="0"/>
                <w:color w:val="FFFFFF" w:themeColor="background1"/>
                <w:sz w:val="18"/>
                <w:szCs w:val="18"/>
              </w:rPr>
              <w:t>, ø</w:t>
            </w:r>
            <w:r w:rsidRPr="00D54D3C">
              <w:rPr>
                <w:b w:val="0"/>
                <w:color w:val="FFFFFF" w:themeColor="background1"/>
                <w:sz w:val="18"/>
                <w:szCs w:val="18"/>
                <w:lang w:val="en-US"/>
              </w:rPr>
              <w:t xml:space="preserve"> 22,9</w:t>
            </w:r>
            <w:r w:rsidRPr="00D54D3C">
              <w:rPr>
                <w:b w:val="0"/>
                <w:color w:val="FFFFFF" w:themeColor="background1"/>
                <w:sz w:val="18"/>
                <w:szCs w:val="18"/>
              </w:rPr>
              <w:t>)</w:t>
            </w:r>
          </w:p>
        </w:tc>
        <w:tc>
          <w:tcPr>
            <w:tcW w:w="993"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Strategie</w:t>
            </w:r>
            <w:r w:rsidRPr="00D54D3C">
              <w:rPr>
                <w:b w:val="0"/>
                <w:color w:val="FFFFFF" w:themeColor="background1"/>
                <w:sz w:val="18"/>
                <w:szCs w:val="18"/>
                <w:lang w:val="en-US"/>
              </w:rPr>
              <w:br/>
            </w:r>
            <w:r w:rsidRPr="00D54D3C">
              <w:rPr>
                <w:b w:val="0"/>
                <w:color w:val="FFFFFF" w:themeColor="background1"/>
                <w:sz w:val="18"/>
                <w:szCs w:val="18"/>
              </w:rPr>
              <w:t>(m</w:t>
            </w:r>
            <w:r w:rsidRPr="00D54D3C">
              <w:rPr>
                <w:b w:val="0"/>
                <w:color w:val="FFFFFF" w:themeColor="background1"/>
                <w:sz w:val="18"/>
                <w:szCs w:val="18"/>
                <w:lang w:val="en-US"/>
              </w:rPr>
              <w:t>ax</w:t>
            </w:r>
            <w:r w:rsidRPr="00D54D3C">
              <w:rPr>
                <w:b w:val="0"/>
                <w:color w:val="FFFFFF" w:themeColor="background1"/>
                <w:sz w:val="18"/>
                <w:szCs w:val="18"/>
              </w:rPr>
              <w:t xml:space="preserve"> </w:t>
            </w:r>
            <w:r w:rsidRPr="00D54D3C">
              <w:rPr>
                <w:b w:val="0"/>
                <w:color w:val="FFFFFF" w:themeColor="background1"/>
                <w:sz w:val="18"/>
                <w:szCs w:val="18"/>
                <w:lang w:val="en-US"/>
              </w:rPr>
              <w:t>18</w:t>
            </w:r>
            <w:r w:rsidRPr="00D54D3C">
              <w:rPr>
                <w:b w:val="0"/>
                <w:color w:val="FFFFFF" w:themeColor="background1"/>
                <w:sz w:val="18"/>
                <w:szCs w:val="18"/>
              </w:rPr>
              <w:t xml:space="preserve">, </w:t>
            </w:r>
            <w:r w:rsidRPr="00D54D3C">
              <w:rPr>
                <w:b w:val="0"/>
                <w:color w:val="FFFFFF" w:themeColor="background1"/>
                <w:sz w:val="18"/>
                <w:szCs w:val="18"/>
                <w:lang w:val="en-US"/>
              </w:rPr>
              <w:br/>
            </w:r>
            <w:r w:rsidRPr="00D54D3C">
              <w:rPr>
                <w:b w:val="0"/>
                <w:color w:val="FFFFFF" w:themeColor="background1"/>
                <w:sz w:val="18"/>
                <w:szCs w:val="18"/>
              </w:rPr>
              <w:t>ø</w:t>
            </w:r>
            <w:r w:rsidRPr="00D54D3C">
              <w:rPr>
                <w:b w:val="0"/>
                <w:color w:val="FFFFFF" w:themeColor="background1"/>
                <w:sz w:val="18"/>
                <w:szCs w:val="18"/>
                <w:lang w:val="en-US"/>
              </w:rPr>
              <w:t xml:space="preserve"> 14,5</w:t>
            </w:r>
            <w:r w:rsidRPr="00D54D3C">
              <w:rPr>
                <w:b w:val="0"/>
                <w:color w:val="FFFFFF" w:themeColor="background1"/>
                <w:sz w:val="18"/>
                <w:szCs w:val="18"/>
              </w:rPr>
              <w:t>)</w:t>
            </w:r>
          </w:p>
        </w:tc>
        <w:tc>
          <w:tcPr>
            <w:tcW w:w="850"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D54D3C"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Pr>
                <w:b w:val="0"/>
                <w:color w:val="FFFFFF" w:themeColor="background1"/>
                <w:sz w:val="18"/>
                <w:szCs w:val="18"/>
              </w:rPr>
              <w:t xml:space="preserve">Cíle </w:t>
            </w:r>
            <w:r w:rsidR="009B4328" w:rsidRPr="00D54D3C">
              <w:rPr>
                <w:b w:val="0"/>
                <w:color w:val="FFFFFF" w:themeColor="background1"/>
                <w:sz w:val="18"/>
                <w:szCs w:val="18"/>
              </w:rPr>
              <w:t>(m</w:t>
            </w:r>
            <w:r w:rsidR="009B4328" w:rsidRPr="00D54D3C">
              <w:rPr>
                <w:b w:val="0"/>
                <w:color w:val="FFFFFF" w:themeColor="background1"/>
                <w:sz w:val="18"/>
                <w:szCs w:val="18"/>
                <w:lang w:val="en-US"/>
              </w:rPr>
              <w:t>ax</w:t>
            </w:r>
            <w:r w:rsidR="009B4328" w:rsidRPr="00D54D3C">
              <w:rPr>
                <w:b w:val="0"/>
                <w:color w:val="FFFFFF" w:themeColor="background1"/>
                <w:sz w:val="18"/>
                <w:szCs w:val="18"/>
              </w:rPr>
              <w:t xml:space="preserve"> </w:t>
            </w:r>
            <w:r w:rsidR="009B4328" w:rsidRPr="00D54D3C">
              <w:rPr>
                <w:b w:val="0"/>
                <w:color w:val="FFFFFF" w:themeColor="background1"/>
                <w:sz w:val="18"/>
                <w:szCs w:val="18"/>
                <w:lang w:val="en-US"/>
              </w:rPr>
              <w:t>12</w:t>
            </w:r>
            <w:r w:rsidR="009B4328" w:rsidRPr="00D54D3C">
              <w:rPr>
                <w:b w:val="0"/>
                <w:color w:val="FFFFFF" w:themeColor="background1"/>
                <w:sz w:val="18"/>
                <w:szCs w:val="18"/>
              </w:rPr>
              <w:t xml:space="preserve">, </w:t>
            </w:r>
            <w:r w:rsidR="009B4328" w:rsidRPr="00D54D3C">
              <w:rPr>
                <w:b w:val="0"/>
                <w:color w:val="FFFFFF" w:themeColor="background1"/>
                <w:sz w:val="18"/>
                <w:szCs w:val="18"/>
                <w:lang w:val="en-US"/>
              </w:rPr>
              <w:br/>
            </w:r>
            <w:r w:rsidR="009B4328" w:rsidRPr="00D54D3C">
              <w:rPr>
                <w:b w:val="0"/>
                <w:color w:val="FFFFFF" w:themeColor="background1"/>
                <w:sz w:val="18"/>
                <w:szCs w:val="18"/>
              </w:rPr>
              <w:t>ø</w:t>
            </w:r>
            <w:r w:rsidR="009B4328" w:rsidRPr="00D54D3C">
              <w:rPr>
                <w:b w:val="0"/>
                <w:color w:val="FFFFFF" w:themeColor="background1"/>
                <w:sz w:val="18"/>
                <w:szCs w:val="18"/>
                <w:lang w:val="en-US"/>
              </w:rPr>
              <w:t xml:space="preserve"> 9,1</w:t>
            </w:r>
            <w:r w:rsidR="009B4328" w:rsidRPr="00D54D3C">
              <w:rPr>
                <w:b w:val="0"/>
                <w:color w:val="FFFFFF" w:themeColor="background1"/>
                <w:sz w:val="18"/>
                <w:szCs w:val="18"/>
              </w:rPr>
              <w:t>)</w:t>
            </w:r>
          </w:p>
        </w:tc>
        <w:tc>
          <w:tcPr>
            <w:tcW w:w="851"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Posun (m</w:t>
            </w:r>
            <w:r w:rsidRPr="00D54D3C">
              <w:rPr>
                <w:b w:val="0"/>
                <w:color w:val="FFFFFF" w:themeColor="background1"/>
                <w:sz w:val="18"/>
                <w:szCs w:val="18"/>
                <w:lang w:val="en-US"/>
              </w:rPr>
              <w:t>ax</w:t>
            </w:r>
            <w:r w:rsidRPr="00D54D3C">
              <w:rPr>
                <w:b w:val="0"/>
                <w:color w:val="FFFFFF" w:themeColor="background1"/>
                <w:sz w:val="18"/>
                <w:szCs w:val="18"/>
              </w:rPr>
              <w:t xml:space="preserve"> </w:t>
            </w:r>
            <w:r w:rsidRPr="00D54D3C">
              <w:rPr>
                <w:b w:val="0"/>
                <w:color w:val="FFFFFF" w:themeColor="background1"/>
                <w:sz w:val="18"/>
                <w:szCs w:val="18"/>
                <w:lang w:val="en-US"/>
              </w:rPr>
              <w:t>10</w:t>
            </w:r>
            <w:r w:rsidRPr="00D54D3C">
              <w:rPr>
                <w:b w:val="0"/>
                <w:color w:val="FFFFFF" w:themeColor="background1"/>
                <w:sz w:val="18"/>
                <w:szCs w:val="18"/>
              </w:rPr>
              <w:t xml:space="preserve">, </w:t>
            </w:r>
            <w:r w:rsidRPr="00D54D3C">
              <w:rPr>
                <w:b w:val="0"/>
                <w:color w:val="FFFFFF" w:themeColor="background1"/>
                <w:sz w:val="18"/>
                <w:szCs w:val="18"/>
                <w:lang w:val="en-US"/>
              </w:rPr>
              <w:br/>
            </w:r>
            <w:r w:rsidRPr="00D54D3C">
              <w:rPr>
                <w:b w:val="0"/>
                <w:color w:val="FFFFFF" w:themeColor="background1"/>
                <w:sz w:val="18"/>
                <w:szCs w:val="18"/>
              </w:rPr>
              <w:t>ø</w:t>
            </w:r>
            <w:r w:rsidRPr="00D54D3C">
              <w:rPr>
                <w:b w:val="0"/>
                <w:color w:val="FFFFFF" w:themeColor="background1"/>
                <w:sz w:val="18"/>
                <w:szCs w:val="18"/>
                <w:lang w:val="en-US"/>
              </w:rPr>
              <w:t xml:space="preserve"> 7,4</w:t>
            </w:r>
            <w:r w:rsidRPr="00D54D3C">
              <w:rPr>
                <w:b w:val="0"/>
                <w:color w:val="FFFFFF" w:themeColor="background1"/>
                <w:sz w:val="18"/>
                <w:szCs w:val="18"/>
              </w:rPr>
              <w:t>)</w:t>
            </w:r>
          </w:p>
        </w:tc>
        <w:tc>
          <w:tcPr>
            <w:tcW w:w="977"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Absorpce (m</w:t>
            </w:r>
            <w:r w:rsidRPr="00D54D3C">
              <w:rPr>
                <w:b w:val="0"/>
                <w:color w:val="FFFFFF" w:themeColor="background1"/>
                <w:sz w:val="18"/>
                <w:szCs w:val="18"/>
                <w:lang w:val="en-US"/>
              </w:rPr>
              <w:t>ax</w:t>
            </w:r>
            <w:r w:rsidRPr="00D54D3C">
              <w:rPr>
                <w:b w:val="0"/>
                <w:color w:val="FFFFFF" w:themeColor="background1"/>
                <w:sz w:val="18"/>
                <w:szCs w:val="18"/>
              </w:rPr>
              <w:t xml:space="preserve"> </w:t>
            </w:r>
            <w:r w:rsidRPr="00D54D3C">
              <w:rPr>
                <w:b w:val="0"/>
                <w:color w:val="FFFFFF" w:themeColor="background1"/>
                <w:sz w:val="18"/>
                <w:szCs w:val="18"/>
                <w:lang w:val="en-US"/>
              </w:rPr>
              <w:t>20</w:t>
            </w:r>
            <w:r w:rsidRPr="00D54D3C">
              <w:rPr>
                <w:b w:val="0"/>
                <w:color w:val="FFFFFF" w:themeColor="background1"/>
                <w:sz w:val="18"/>
                <w:szCs w:val="18"/>
              </w:rPr>
              <w:t xml:space="preserve">, </w:t>
            </w:r>
            <w:r w:rsidRPr="00D54D3C">
              <w:rPr>
                <w:b w:val="0"/>
                <w:color w:val="FFFFFF" w:themeColor="background1"/>
                <w:sz w:val="18"/>
                <w:szCs w:val="18"/>
                <w:lang w:val="en-US"/>
              </w:rPr>
              <w:br/>
            </w:r>
            <w:r w:rsidRPr="00D54D3C">
              <w:rPr>
                <w:b w:val="0"/>
                <w:color w:val="FFFFFF" w:themeColor="background1"/>
                <w:sz w:val="18"/>
                <w:szCs w:val="18"/>
              </w:rPr>
              <w:t>ø</w:t>
            </w:r>
            <w:r w:rsidRPr="00D54D3C">
              <w:rPr>
                <w:b w:val="0"/>
                <w:color w:val="FFFFFF" w:themeColor="background1"/>
                <w:sz w:val="18"/>
                <w:szCs w:val="18"/>
                <w:lang w:val="en-US"/>
              </w:rPr>
              <w:t xml:space="preserve"> 14,8</w:t>
            </w:r>
            <w:r w:rsidRPr="00D54D3C">
              <w:rPr>
                <w:b w:val="0"/>
                <w:color w:val="FFFFFF" w:themeColor="background1"/>
                <w:sz w:val="18"/>
                <w:szCs w:val="18"/>
              </w:rPr>
              <w:t>)</w:t>
            </w:r>
          </w:p>
        </w:tc>
        <w:tc>
          <w:tcPr>
            <w:tcW w:w="992" w:type="dxa"/>
            <w:tcBorders>
              <w:top w:val="none" w:sz="0" w:space="0" w:color="auto"/>
              <w:left w:val="none" w:sz="0" w:space="0" w:color="auto"/>
              <w:bottom w:val="single" w:sz="24" w:space="0" w:color="FFFFFF" w:themeColor="background1"/>
              <w:right w:val="none" w:sz="0" w:space="0" w:color="auto"/>
            </w:tcBorders>
            <w:shd w:val="clear" w:color="auto" w:fill="4F81BD"/>
            <w:noWrap/>
            <w:vAlign w:val="center"/>
          </w:tcPr>
          <w:p w:rsidR="009B4328" w:rsidRPr="00D54D3C" w:rsidRDefault="009B4328" w:rsidP="009B4328">
            <w:pPr>
              <w:spacing w:after="160" w:line="259" w:lineRule="auto"/>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8"/>
                <w:szCs w:val="18"/>
              </w:rPr>
            </w:pPr>
            <w:r w:rsidRPr="00D54D3C">
              <w:rPr>
                <w:b w:val="0"/>
                <w:color w:val="FFFFFF" w:themeColor="background1"/>
                <w:sz w:val="18"/>
                <w:szCs w:val="18"/>
              </w:rPr>
              <w:t xml:space="preserve">Alt. </w:t>
            </w:r>
            <w:r w:rsidRPr="00D54D3C">
              <w:rPr>
                <w:b w:val="0"/>
                <w:color w:val="FFFFFF" w:themeColor="background1"/>
                <w:sz w:val="18"/>
                <w:szCs w:val="18"/>
                <w:lang w:val="en-US"/>
              </w:rPr>
              <w:t>Z</w:t>
            </w:r>
            <w:r w:rsidRPr="00D54D3C">
              <w:rPr>
                <w:b w:val="0"/>
                <w:color w:val="FFFFFF" w:themeColor="background1"/>
                <w:sz w:val="18"/>
                <w:szCs w:val="18"/>
              </w:rPr>
              <w:t>droje (m</w:t>
            </w:r>
            <w:r w:rsidRPr="00D54D3C">
              <w:rPr>
                <w:b w:val="0"/>
                <w:color w:val="FFFFFF" w:themeColor="background1"/>
                <w:sz w:val="18"/>
                <w:szCs w:val="18"/>
                <w:lang w:val="en-US"/>
              </w:rPr>
              <w:t>ax</w:t>
            </w:r>
            <w:r w:rsidRPr="00D54D3C">
              <w:rPr>
                <w:b w:val="0"/>
                <w:color w:val="FFFFFF" w:themeColor="background1"/>
                <w:sz w:val="18"/>
                <w:szCs w:val="18"/>
              </w:rPr>
              <w:t xml:space="preserve"> </w:t>
            </w:r>
            <w:r w:rsidRPr="00D54D3C">
              <w:rPr>
                <w:b w:val="0"/>
                <w:color w:val="FFFFFF" w:themeColor="background1"/>
                <w:sz w:val="18"/>
                <w:szCs w:val="18"/>
                <w:lang w:val="en-US"/>
              </w:rPr>
              <w:t>12</w:t>
            </w:r>
            <w:r w:rsidRPr="00D54D3C">
              <w:rPr>
                <w:b w:val="0"/>
                <w:color w:val="FFFFFF" w:themeColor="background1"/>
                <w:sz w:val="18"/>
                <w:szCs w:val="18"/>
              </w:rPr>
              <w:t xml:space="preserve">, </w:t>
            </w:r>
            <w:r w:rsidRPr="00D54D3C">
              <w:rPr>
                <w:b w:val="0"/>
                <w:color w:val="FFFFFF" w:themeColor="background1"/>
                <w:sz w:val="18"/>
                <w:szCs w:val="18"/>
                <w:lang w:val="en-US"/>
              </w:rPr>
              <w:br/>
            </w:r>
            <w:r w:rsidRPr="00D54D3C">
              <w:rPr>
                <w:b w:val="0"/>
                <w:color w:val="FFFFFF" w:themeColor="background1"/>
                <w:sz w:val="18"/>
                <w:szCs w:val="18"/>
              </w:rPr>
              <w:t>ø</w:t>
            </w:r>
            <w:r w:rsidRPr="00D54D3C">
              <w:rPr>
                <w:b w:val="0"/>
                <w:color w:val="FFFFFF" w:themeColor="background1"/>
                <w:sz w:val="18"/>
                <w:szCs w:val="18"/>
                <w:lang w:val="en-US"/>
              </w:rPr>
              <w:t xml:space="preserve"> 8,4</w:t>
            </w:r>
            <w:r w:rsidRPr="00D54D3C">
              <w:rPr>
                <w:b w:val="0"/>
                <w:color w:val="FFFFFF" w:themeColor="background1"/>
                <w:sz w:val="18"/>
                <w:szCs w:val="18"/>
              </w:rPr>
              <w:t>)</w:t>
            </w:r>
          </w:p>
        </w:tc>
      </w:tr>
      <w:tr w:rsidR="009B4328" w:rsidRPr="009E3951" w:rsidTr="00062678">
        <w:trPr>
          <w:cnfStyle w:val="000000100000" w:firstRow="0" w:lastRow="0" w:firstColumn="0" w:lastColumn="0" w:oddVBand="0" w:evenVBand="0" w:oddHBand="1"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2411" w:type="dxa"/>
            <w:tcBorders>
              <w:top w:val="single" w:sz="24" w:space="0" w:color="FFFFFF" w:themeColor="background1"/>
              <w:left w:val="none" w:sz="0" w:space="0" w:color="auto"/>
              <w:bottom w:val="single" w:sz="24" w:space="0" w:color="FFFFFF" w:themeColor="background1"/>
            </w:tcBorders>
            <w:shd w:val="clear" w:color="auto" w:fill="4F81BD"/>
            <w:noWrap/>
            <w:vAlign w:val="center"/>
          </w:tcPr>
          <w:p w:rsidR="00D54D3C" w:rsidRPr="00D54D3C" w:rsidRDefault="009B4328" w:rsidP="009E3951">
            <w:pPr>
              <w:jc w:val="left"/>
              <w:rPr>
                <w:rFonts w:eastAsia="Times New Roman"/>
                <w:b/>
                <w:i w:val="0"/>
                <w:color w:val="FFFFFF" w:themeColor="background1"/>
                <w:lang w:eastAsia="cs-CZ"/>
              </w:rPr>
            </w:pPr>
            <w:r w:rsidRPr="00D54D3C">
              <w:rPr>
                <w:rFonts w:eastAsia="Times New Roman"/>
                <w:b/>
                <w:i w:val="0"/>
                <w:color w:val="FFFFFF" w:themeColor="background1"/>
                <w:lang w:eastAsia="cs-CZ"/>
              </w:rPr>
              <w:t xml:space="preserve">Trh práce </w:t>
            </w:r>
            <w:r w:rsidR="00D54D3C">
              <w:rPr>
                <w:rFonts w:eastAsia="Times New Roman"/>
                <w:b/>
                <w:i w:val="0"/>
                <w:color w:val="FFFFFF" w:themeColor="background1"/>
                <w:lang w:eastAsia="cs-CZ"/>
              </w:rPr>
              <w:br/>
            </w:r>
            <w:r w:rsidRPr="00D54D3C">
              <w:rPr>
                <w:rFonts w:eastAsia="Times New Roman"/>
                <w:b/>
                <w:i w:val="0"/>
                <w:color w:val="FFFFFF" w:themeColor="background1"/>
                <w:lang w:eastAsia="cs-CZ"/>
              </w:rPr>
              <w:t>a zaměstnanost</w:t>
            </w:r>
          </w:p>
        </w:tc>
        <w:tc>
          <w:tcPr>
            <w:tcW w:w="991"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rFonts w:eastAsia="Times New Roman"/>
                <w:b/>
                <w:lang w:eastAsia="cs-CZ"/>
              </w:rPr>
            </w:pPr>
            <w:r w:rsidRPr="009E3951">
              <w:rPr>
                <w:rFonts w:eastAsia="Times New Roman"/>
                <w:b/>
                <w:lang w:eastAsia="cs-CZ"/>
              </w:rPr>
              <w:t>71,4</w:t>
            </w:r>
          </w:p>
        </w:tc>
        <w:tc>
          <w:tcPr>
            <w:tcW w:w="1007"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20,6</w:t>
            </w:r>
          </w:p>
        </w:tc>
        <w:tc>
          <w:tcPr>
            <w:tcW w:w="993"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13,5</w:t>
            </w:r>
          </w:p>
        </w:tc>
        <w:tc>
          <w:tcPr>
            <w:tcW w:w="850"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8,5</w:t>
            </w:r>
          </w:p>
        </w:tc>
        <w:tc>
          <w:tcPr>
            <w:tcW w:w="851"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6,6</w:t>
            </w:r>
          </w:p>
        </w:tc>
        <w:tc>
          <w:tcPr>
            <w:tcW w:w="977"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12,8</w:t>
            </w:r>
          </w:p>
        </w:tc>
        <w:tc>
          <w:tcPr>
            <w:tcW w:w="992" w:type="dxa"/>
            <w:tcBorders>
              <w:top w:val="single" w:sz="24" w:space="0" w:color="FFFFFF" w:themeColor="background1"/>
              <w:bottom w:val="single" w:sz="24" w:space="0" w:color="FFFFFF" w:themeColor="background1"/>
            </w:tcBorders>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9,4</w:t>
            </w:r>
          </w:p>
        </w:tc>
      </w:tr>
      <w:tr w:rsidR="009B4328" w:rsidRPr="009E3951" w:rsidTr="00D54D3C">
        <w:trPr>
          <w:trHeight w:val="510"/>
          <w:jc w:val="center"/>
        </w:trPr>
        <w:tc>
          <w:tcPr>
            <w:cnfStyle w:val="001000000000" w:firstRow="0" w:lastRow="0" w:firstColumn="1" w:lastColumn="0" w:oddVBand="0" w:evenVBand="0" w:oddHBand="0" w:evenHBand="0" w:firstRowFirstColumn="0" w:firstRowLastColumn="0" w:lastRowFirstColumn="0" w:lastRowLastColumn="0"/>
            <w:tcW w:w="2411" w:type="dxa"/>
            <w:tcBorders>
              <w:top w:val="single" w:sz="24" w:space="0" w:color="FFFFFF" w:themeColor="background1"/>
              <w:left w:val="none" w:sz="0" w:space="0" w:color="auto"/>
              <w:bottom w:val="none" w:sz="0" w:space="0" w:color="auto"/>
            </w:tcBorders>
            <w:shd w:val="clear" w:color="auto" w:fill="4F81BD"/>
            <w:hideMark/>
          </w:tcPr>
          <w:p w:rsidR="009B4328" w:rsidRPr="00D54D3C" w:rsidRDefault="009B4328" w:rsidP="009E3951">
            <w:pPr>
              <w:jc w:val="left"/>
              <w:rPr>
                <w:i w:val="0"/>
                <w:color w:val="FFFFFF" w:themeColor="background1"/>
              </w:rPr>
            </w:pPr>
            <w:r w:rsidRPr="00D54D3C">
              <w:rPr>
                <w:i w:val="0"/>
                <w:color w:val="FFFFFF" w:themeColor="background1"/>
              </w:rPr>
              <w:t>Zvýšení účasti znevýhodněných skupin na trhu práce</w:t>
            </w:r>
          </w:p>
        </w:tc>
        <w:tc>
          <w:tcPr>
            <w:tcW w:w="991"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rPr>
                <w:b/>
              </w:rPr>
            </w:pPr>
            <w:r w:rsidRPr="009E3951">
              <w:rPr>
                <w:b/>
              </w:rPr>
              <w:t>77,6</w:t>
            </w:r>
          </w:p>
        </w:tc>
        <w:tc>
          <w:tcPr>
            <w:tcW w:w="1007"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22,1</w:t>
            </w:r>
          </w:p>
        </w:tc>
        <w:tc>
          <w:tcPr>
            <w:tcW w:w="993"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14,9</w:t>
            </w:r>
          </w:p>
        </w:tc>
        <w:tc>
          <w:tcPr>
            <w:tcW w:w="850"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9,0</w:t>
            </w:r>
          </w:p>
        </w:tc>
        <w:tc>
          <w:tcPr>
            <w:tcW w:w="851"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7,3</w:t>
            </w:r>
          </w:p>
        </w:tc>
        <w:tc>
          <w:tcPr>
            <w:tcW w:w="977"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14,5</w:t>
            </w:r>
          </w:p>
        </w:tc>
        <w:tc>
          <w:tcPr>
            <w:tcW w:w="992" w:type="dxa"/>
            <w:tcBorders>
              <w:top w:val="single" w:sz="24" w:space="0" w:color="FFFFFF" w:themeColor="background1"/>
            </w:tcBorders>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9,7</w:t>
            </w:r>
          </w:p>
        </w:tc>
      </w:tr>
      <w:tr w:rsidR="009B4328" w:rsidRPr="009E3951" w:rsidTr="00D54D3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11" w:type="dxa"/>
            <w:tcBorders>
              <w:left w:val="none" w:sz="0" w:space="0" w:color="auto"/>
              <w:bottom w:val="none" w:sz="0" w:space="0" w:color="auto"/>
            </w:tcBorders>
            <w:shd w:val="clear" w:color="auto" w:fill="4F81BD"/>
          </w:tcPr>
          <w:p w:rsidR="009B4328" w:rsidRPr="00D54D3C" w:rsidRDefault="00DC5C56" w:rsidP="009E3951">
            <w:pPr>
              <w:jc w:val="left"/>
              <w:rPr>
                <w:i w:val="0"/>
                <w:color w:val="FFFFFF" w:themeColor="background1"/>
              </w:rPr>
            </w:pPr>
            <w:r w:rsidRPr="00C35694">
              <w:rPr>
                <w:i w:val="0"/>
                <w:color w:val="FFFFFF" w:themeColor="background1"/>
              </w:rPr>
              <w:t>Podpora rovnosti žen a mužů</w:t>
            </w:r>
            <w:r w:rsidRPr="00C35694" w:rsidDel="00DC5C56">
              <w:rPr>
                <w:color w:val="FFFFFF" w:themeColor="background1"/>
              </w:rPr>
              <w:t xml:space="preserve"> </w:t>
            </w:r>
            <w:r w:rsidR="009B4328" w:rsidRPr="00D54D3C">
              <w:rPr>
                <w:i w:val="0"/>
                <w:color w:val="FFFFFF" w:themeColor="background1"/>
              </w:rPr>
              <w:t>a slaďování pracovního a osobního života</w:t>
            </w:r>
          </w:p>
        </w:tc>
        <w:tc>
          <w:tcPr>
            <w:tcW w:w="991"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73,7</w:t>
            </w:r>
          </w:p>
        </w:tc>
        <w:tc>
          <w:tcPr>
            <w:tcW w:w="1007"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21,2</w:t>
            </w:r>
          </w:p>
        </w:tc>
        <w:tc>
          <w:tcPr>
            <w:tcW w:w="993"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12,9</w:t>
            </w:r>
          </w:p>
        </w:tc>
        <w:tc>
          <w:tcPr>
            <w:tcW w:w="850"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8,7</w:t>
            </w:r>
          </w:p>
        </w:tc>
        <w:tc>
          <w:tcPr>
            <w:tcW w:w="851"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7,0</w:t>
            </w:r>
          </w:p>
        </w:tc>
        <w:tc>
          <w:tcPr>
            <w:tcW w:w="977"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13,9</w:t>
            </w:r>
          </w:p>
        </w:tc>
        <w:tc>
          <w:tcPr>
            <w:tcW w:w="992"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10,0</w:t>
            </w:r>
          </w:p>
        </w:tc>
      </w:tr>
      <w:tr w:rsidR="009B4328" w:rsidRPr="009E3951" w:rsidTr="00D54D3C">
        <w:trPr>
          <w:trHeight w:val="510"/>
          <w:jc w:val="center"/>
        </w:trPr>
        <w:tc>
          <w:tcPr>
            <w:cnfStyle w:val="001000000000" w:firstRow="0" w:lastRow="0" w:firstColumn="1" w:lastColumn="0" w:oddVBand="0" w:evenVBand="0" w:oddHBand="0" w:evenHBand="0" w:firstRowFirstColumn="0" w:firstRowLastColumn="0" w:lastRowFirstColumn="0" w:lastRowLastColumn="0"/>
            <w:tcW w:w="2411" w:type="dxa"/>
            <w:tcBorders>
              <w:left w:val="none" w:sz="0" w:space="0" w:color="auto"/>
              <w:bottom w:val="none" w:sz="0" w:space="0" w:color="auto"/>
            </w:tcBorders>
            <w:shd w:val="clear" w:color="auto" w:fill="4F81BD"/>
          </w:tcPr>
          <w:p w:rsidR="009B4328" w:rsidRPr="00D54D3C" w:rsidRDefault="009B4328" w:rsidP="009E3951">
            <w:pPr>
              <w:jc w:val="left"/>
              <w:rPr>
                <w:i w:val="0"/>
                <w:color w:val="FFFFFF" w:themeColor="background1"/>
              </w:rPr>
            </w:pPr>
            <w:r w:rsidRPr="00D54D3C">
              <w:rPr>
                <w:i w:val="0"/>
                <w:color w:val="FFFFFF" w:themeColor="background1"/>
              </w:rPr>
              <w:t>Modernizace institucí na trhu práce</w:t>
            </w:r>
          </w:p>
        </w:tc>
        <w:tc>
          <w:tcPr>
            <w:tcW w:w="991"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rPr>
                <w:b/>
              </w:rPr>
            </w:pPr>
            <w:r w:rsidRPr="009E3951">
              <w:rPr>
                <w:b/>
              </w:rPr>
              <w:t>73,0</w:t>
            </w:r>
          </w:p>
        </w:tc>
        <w:tc>
          <w:tcPr>
            <w:tcW w:w="1007"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21,6</w:t>
            </w:r>
          </w:p>
        </w:tc>
        <w:tc>
          <w:tcPr>
            <w:tcW w:w="993"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15,0</w:t>
            </w:r>
          </w:p>
        </w:tc>
        <w:tc>
          <w:tcPr>
            <w:tcW w:w="850"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8,6</w:t>
            </w:r>
          </w:p>
        </w:tc>
        <w:tc>
          <w:tcPr>
            <w:tcW w:w="851"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6,0</w:t>
            </w:r>
          </w:p>
        </w:tc>
        <w:tc>
          <w:tcPr>
            <w:tcW w:w="977"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12,4</w:t>
            </w:r>
          </w:p>
        </w:tc>
        <w:tc>
          <w:tcPr>
            <w:tcW w:w="992"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9,5</w:t>
            </w:r>
          </w:p>
        </w:tc>
      </w:tr>
      <w:tr w:rsidR="009B4328" w:rsidRPr="009E3951" w:rsidTr="00D54D3C">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411" w:type="dxa"/>
            <w:tcBorders>
              <w:left w:val="none" w:sz="0" w:space="0" w:color="auto"/>
              <w:bottom w:val="none" w:sz="0" w:space="0" w:color="auto"/>
            </w:tcBorders>
            <w:shd w:val="clear" w:color="auto" w:fill="4F81BD"/>
            <w:hideMark/>
          </w:tcPr>
          <w:p w:rsidR="009B4328" w:rsidRPr="00D54D3C" w:rsidRDefault="009B4328" w:rsidP="009E3951">
            <w:pPr>
              <w:jc w:val="left"/>
              <w:rPr>
                <w:i w:val="0"/>
                <w:color w:val="FFFFFF" w:themeColor="background1"/>
              </w:rPr>
            </w:pPr>
            <w:r w:rsidRPr="00D54D3C">
              <w:rPr>
                <w:i w:val="0"/>
                <w:color w:val="FFFFFF" w:themeColor="background1"/>
              </w:rPr>
              <w:t>Fungující systém dalšího profesního vzdělávání</w:t>
            </w:r>
          </w:p>
        </w:tc>
        <w:tc>
          <w:tcPr>
            <w:tcW w:w="991"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rPr>
                <w:b/>
              </w:rPr>
            </w:pPr>
            <w:r w:rsidRPr="009E3951">
              <w:rPr>
                <w:b/>
              </w:rPr>
              <w:t>71,8</w:t>
            </w:r>
          </w:p>
        </w:tc>
        <w:tc>
          <w:tcPr>
            <w:tcW w:w="1007"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22,6</w:t>
            </w:r>
          </w:p>
        </w:tc>
        <w:tc>
          <w:tcPr>
            <w:tcW w:w="993"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13,8</w:t>
            </w:r>
          </w:p>
        </w:tc>
        <w:tc>
          <w:tcPr>
            <w:tcW w:w="850"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8,2</w:t>
            </w:r>
          </w:p>
        </w:tc>
        <w:tc>
          <w:tcPr>
            <w:tcW w:w="851"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6,5</w:t>
            </w:r>
          </w:p>
        </w:tc>
        <w:tc>
          <w:tcPr>
            <w:tcW w:w="977"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12,0</w:t>
            </w:r>
          </w:p>
        </w:tc>
        <w:tc>
          <w:tcPr>
            <w:tcW w:w="992" w:type="dxa"/>
            <w:shd w:val="clear" w:color="auto" w:fill="D0D8E8"/>
            <w:noWrap/>
            <w:vAlign w:val="center"/>
          </w:tcPr>
          <w:p w:rsidR="009B4328" w:rsidRPr="009E3951" w:rsidRDefault="009B4328" w:rsidP="009B4328">
            <w:pPr>
              <w:jc w:val="center"/>
              <w:cnfStyle w:val="000000100000" w:firstRow="0" w:lastRow="0" w:firstColumn="0" w:lastColumn="0" w:oddVBand="0" w:evenVBand="0" w:oddHBand="1" w:evenHBand="0" w:firstRowFirstColumn="0" w:firstRowLastColumn="0" w:lastRowFirstColumn="0" w:lastRowLastColumn="0"/>
            </w:pPr>
            <w:r w:rsidRPr="009E3951">
              <w:t>8,7</w:t>
            </w:r>
          </w:p>
        </w:tc>
      </w:tr>
      <w:tr w:rsidR="009B4328" w:rsidRPr="009E3951" w:rsidTr="00D54D3C">
        <w:trPr>
          <w:trHeight w:val="255"/>
          <w:jc w:val="center"/>
        </w:trPr>
        <w:tc>
          <w:tcPr>
            <w:cnfStyle w:val="001000000000" w:firstRow="0" w:lastRow="0" w:firstColumn="1" w:lastColumn="0" w:oddVBand="0" w:evenVBand="0" w:oddHBand="0" w:evenHBand="0" w:firstRowFirstColumn="0" w:firstRowLastColumn="0" w:lastRowFirstColumn="0" w:lastRowLastColumn="0"/>
            <w:tcW w:w="2411" w:type="dxa"/>
            <w:tcBorders>
              <w:left w:val="none" w:sz="0" w:space="0" w:color="auto"/>
              <w:bottom w:val="none" w:sz="0" w:space="0" w:color="auto"/>
            </w:tcBorders>
            <w:shd w:val="clear" w:color="auto" w:fill="4F81BD"/>
          </w:tcPr>
          <w:p w:rsidR="009B4328" w:rsidRPr="00D54D3C" w:rsidRDefault="009B4328" w:rsidP="009E3951">
            <w:pPr>
              <w:jc w:val="left"/>
              <w:rPr>
                <w:i w:val="0"/>
                <w:color w:val="FFFFFF" w:themeColor="background1"/>
              </w:rPr>
            </w:pPr>
            <w:r w:rsidRPr="00D54D3C">
              <w:rPr>
                <w:i w:val="0"/>
                <w:color w:val="FFFFFF" w:themeColor="background1"/>
              </w:rPr>
              <w:t>Podpora a využití pracovní mobility</w:t>
            </w:r>
          </w:p>
        </w:tc>
        <w:tc>
          <w:tcPr>
            <w:tcW w:w="991"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rPr>
                <w:b/>
              </w:rPr>
            </w:pPr>
            <w:r w:rsidRPr="009E3951">
              <w:rPr>
                <w:b/>
              </w:rPr>
              <w:t>61,0</w:t>
            </w:r>
          </w:p>
        </w:tc>
        <w:tc>
          <w:tcPr>
            <w:tcW w:w="1007"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15,5</w:t>
            </w:r>
          </w:p>
        </w:tc>
        <w:tc>
          <w:tcPr>
            <w:tcW w:w="993"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11,1</w:t>
            </w:r>
          </w:p>
        </w:tc>
        <w:tc>
          <w:tcPr>
            <w:tcW w:w="850"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8,1</w:t>
            </w:r>
          </w:p>
        </w:tc>
        <w:tc>
          <w:tcPr>
            <w:tcW w:w="851"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6,1</w:t>
            </w:r>
          </w:p>
        </w:tc>
        <w:tc>
          <w:tcPr>
            <w:tcW w:w="977"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11,2</w:t>
            </w:r>
          </w:p>
        </w:tc>
        <w:tc>
          <w:tcPr>
            <w:tcW w:w="992" w:type="dxa"/>
            <w:shd w:val="clear" w:color="auto" w:fill="D0D8E8"/>
            <w:noWrap/>
            <w:vAlign w:val="center"/>
          </w:tcPr>
          <w:p w:rsidR="009B4328" w:rsidRPr="009E3951" w:rsidRDefault="009B4328" w:rsidP="009B4328">
            <w:pPr>
              <w:jc w:val="center"/>
              <w:cnfStyle w:val="000000000000" w:firstRow="0" w:lastRow="0" w:firstColumn="0" w:lastColumn="0" w:oddVBand="0" w:evenVBand="0" w:oddHBand="0" w:evenHBand="0" w:firstRowFirstColumn="0" w:firstRowLastColumn="0" w:lastRowFirstColumn="0" w:lastRowLastColumn="0"/>
            </w:pPr>
            <w:r w:rsidRPr="009E3951">
              <w:t>9,1</w:t>
            </w:r>
          </w:p>
        </w:tc>
      </w:tr>
    </w:tbl>
    <w:p w:rsidR="009B4328" w:rsidRPr="00A9356E" w:rsidRDefault="009B4328" w:rsidP="009B4328">
      <w:pPr>
        <w:rPr>
          <w:sz w:val="22"/>
        </w:rPr>
      </w:pPr>
      <w:r w:rsidRPr="00A9356E">
        <w:rPr>
          <w:sz w:val="22"/>
        </w:rPr>
        <w:t xml:space="preserve">Nejvýše a celkově mírně nadprůměrně je hodnocen cíl </w:t>
      </w:r>
      <w:r w:rsidRPr="00A9356E">
        <w:rPr>
          <w:i/>
          <w:sz w:val="22"/>
        </w:rPr>
        <w:t>Zvýšení účasti znevýhodněných skupin na trhu práce</w:t>
      </w:r>
      <w:r w:rsidRPr="00A9356E">
        <w:rPr>
          <w:sz w:val="22"/>
        </w:rPr>
        <w:t>, který je průměrný v důležitosti, patrně i vzhledem k dobré kondici trhu práce, která se však v době hospodářského cyklu může rychle změnit. Je zde silná vazba na udržitelný rozvoj, megatrendy, cíle politik i specifické cíle dle nařízení a Country report, stejně jako vazba na Společnost a Průmysl 4.0. Cíl je nadprůměrný z pohledu územní dimenze. Omezená je možnost využití unijních programů, i financování ze SR (vzhledem k omezenému množství prostředků se navíc nejeví jako vhodná). Z hlediska absorpce je cíl rovněž hodnocen nejvýše, v pořadí všech specifických cílů však průměrně. Ostatní cíle hodnoceny již podprůměrně.</w:t>
      </w:r>
    </w:p>
    <w:p w:rsidR="009B4328" w:rsidRPr="00A9356E" w:rsidRDefault="009B4328" w:rsidP="009B4328">
      <w:pPr>
        <w:rPr>
          <w:sz w:val="22"/>
        </w:rPr>
      </w:pPr>
      <w:r w:rsidRPr="00A9356E">
        <w:rPr>
          <w:i/>
          <w:sz w:val="22"/>
        </w:rPr>
        <w:t>Fungující systém dalšího profesního vzdělávání</w:t>
      </w:r>
      <w:r w:rsidRPr="00A9356E">
        <w:rPr>
          <w:sz w:val="22"/>
        </w:rPr>
        <w:t xml:space="preserve"> hodnocen nejvýše z hlediska důležitosti, </w:t>
      </w:r>
      <w:r w:rsidR="00F875B5">
        <w:rPr>
          <w:sz w:val="22"/>
        </w:rPr>
        <w:br/>
      </w:r>
      <w:r w:rsidRPr="00A9356E">
        <w:rPr>
          <w:sz w:val="22"/>
        </w:rPr>
        <w:t>je zde zjevná potřeba pro konkurenceschopnost ekonomiky a shoda na významu intervence, avšak zaostává v kritériích cílů, což je zřejmě dáno nižším zájmem o další profesní vzdělávání ze strany příjemců, lehce podprůměrná vazba na strategie. Absorpce je i přes význam intervence průměrná, do budoucna i v souvislosti s Průmyslem 4.0 však lze očekávat nárůst zájmu.</w:t>
      </w:r>
    </w:p>
    <w:p w:rsidR="009B4328" w:rsidRPr="00A9356E" w:rsidRDefault="009B4328" w:rsidP="009B4328">
      <w:pPr>
        <w:rPr>
          <w:sz w:val="22"/>
        </w:rPr>
      </w:pPr>
      <w:r w:rsidRPr="00A9356E">
        <w:rPr>
          <w:sz w:val="22"/>
        </w:rPr>
        <w:t xml:space="preserve">Jako nejméně důležitý a značně podprůměrný je hodnocen cíl </w:t>
      </w:r>
      <w:r w:rsidRPr="00A9356E">
        <w:rPr>
          <w:i/>
          <w:sz w:val="22"/>
        </w:rPr>
        <w:t>Podpora a využití pracovní mobility</w:t>
      </w:r>
      <w:r w:rsidRPr="00A9356E">
        <w:rPr>
          <w:sz w:val="22"/>
        </w:rPr>
        <w:t>, který stojí nejníže i z hlediska absorpce, využití alternativních zdrojů i vazby na strategie. I když je nedostatek pracovních sil problémem české ekonomiky, je problematické definovat konkrétní druhy výdajů na podporu pracovní mobility, jako významnější je vnímána prevence odchodu vysoce kvalifikovaných odborníků do zahraničí než nutnost získat řadové pracovníky do průmyslových provozů.</w:t>
      </w:r>
    </w:p>
    <w:p w:rsidR="009B4328" w:rsidRPr="00A9356E" w:rsidRDefault="009B4328" w:rsidP="009B4328">
      <w:pPr>
        <w:rPr>
          <w:sz w:val="22"/>
        </w:rPr>
      </w:pPr>
      <w:r w:rsidRPr="00A9356E">
        <w:rPr>
          <w:i/>
          <w:sz w:val="22"/>
        </w:rPr>
        <w:t>Modernizace institucí trhu práce</w:t>
      </w:r>
      <w:r w:rsidRPr="00A9356E">
        <w:rPr>
          <w:sz w:val="22"/>
        </w:rPr>
        <w:t xml:space="preserve"> má průměrnou důležitost, je zde jasná vazba na megatrendy, cíle politik a doporučení Country reportu, spíše nadprůměrný je ve vazbě k udržitelnému rozvoji, územní dimenze nicméně slabá.</w:t>
      </w:r>
    </w:p>
    <w:p w:rsidR="009B4328" w:rsidRPr="00A9356E" w:rsidRDefault="00DC5C56" w:rsidP="009B4328">
      <w:pPr>
        <w:rPr>
          <w:sz w:val="22"/>
        </w:rPr>
      </w:pPr>
      <w:r w:rsidRPr="00590FD1">
        <w:rPr>
          <w:i/>
          <w:sz w:val="22"/>
        </w:rPr>
        <w:t>Podpora rovnosti žen a mužů</w:t>
      </w:r>
      <w:r w:rsidRPr="00590FD1" w:rsidDel="00DC5C56">
        <w:rPr>
          <w:i/>
          <w:sz w:val="22"/>
        </w:rPr>
        <w:t xml:space="preserve"> </w:t>
      </w:r>
      <w:r w:rsidR="009B4328" w:rsidRPr="00A9356E">
        <w:rPr>
          <w:i/>
          <w:sz w:val="22"/>
        </w:rPr>
        <w:t>a slaďování pracovního a osobního života</w:t>
      </w:r>
      <w:r w:rsidR="009B4328" w:rsidRPr="00A9356E">
        <w:rPr>
          <w:sz w:val="22"/>
        </w:rPr>
        <w:t xml:space="preserve"> je průměrná co do důležitosti, což je překvapivé vzhledem k medializaci tématu a přetrvávajícím rozdílům v odměňování mezi muži a ženami. </w:t>
      </w:r>
    </w:p>
    <w:p w:rsidR="009B4328" w:rsidRPr="00A9356E" w:rsidRDefault="009B4328" w:rsidP="009B4328">
      <w:pPr>
        <w:rPr>
          <w:sz w:val="22"/>
        </w:rPr>
      </w:pPr>
      <w:r w:rsidRPr="00A9356E">
        <w:rPr>
          <w:sz w:val="22"/>
        </w:rPr>
        <w:t xml:space="preserve">Nadprůměrně jsou hodnoceny všechny SC, pokud jde o </w:t>
      </w:r>
      <w:r w:rsidRPr="00A9356E">
        <w:rPr>
          <w:i/>
          <w:sz w:val="22"/>
        </w:rPr>
        <w:t>alternativní zdroje financování</w:t>
      </w:r>
      <w:r w:rsidRPr="00A9356E">
        <w:rPr>
          <w:sz w:val="22"/>
        </w:rPr>
        <w:t>, což je dáno jejich omezeným využitím v oblasti.</w:t>
      </w:r>
    </w:p>
    <w:p w:rsidR="009B4328" w:rsidRPr="00A9356E" w:rsidRDefault="009B4328" w:rsidP="009B4328">
      <w:pPr>
        <w:rPr>
          <w:sz w:val="22"/>
        </w:rPr>
      </w:pPr>
      <w:r w:rsidRPr="00A9356E">
        <w:rPr>
          <w:sz w:val="22"/>
        </w:rPr>
        <w:t xml:space="preserve">V oblasti </w:t>
      </w:r>
      <w:r w:rsidRPr="00A9356E">
        <w:rPr>
          <w:i/>
          <w:sz w:val="22"/>
        </w:rPr>
        <w:t>Trhu práce a zaměstnanosti</w:t>
      </w:r>
      <w:r w:rsidRPr="00A9356E">
        <w:rPr>
          <w:sz w:val="22"/>
        </w:rPr>
        <w:t xml:space="preserve"> došlo k významnému posunu při tvorbě Strategického rámce politiky zaměstnanosti do roku 2030 (SRPZ 2030), přesto však je vazba na strategie hodnocena jako nadprůměrná pouze u </w:t>
      </w:r>
      <w:r w:rsidRPr="00A9356E">
        <w:rPr>
          <w:i/>
          <w:sz w:val="22"/>
        </w:rPr>
        <w:t>Modernizace institucí na trhu práce</w:t>
      </w:r>
      <w:r w:rsidRPr="00A9356E">
        <w:rPr>
          <w:sz w:val="22"/>
        </w:rPr>
        <w:t xml:space="preserve"> a </w:t>
      </w:r>
      <w:r w:rsidRPr="00A9356E">
        <w:rPr>
          <w:i/>
          <w:sz w:val="22"/>
        </w:rPr>
        <w:t>Zvýšení účasti znevýhodněných skupin</w:t>
      </w:r>
      <w:r w:rsidRPr="00A9356E">
        <w:rPr>
          <w:sz w:val="22"/>
        </w:rPr>
        <w:t>.</w:t>
      </w:r>
    </w:p>
    <w:p w:rsidR="009B4328" w:rsidRPr="00A9356E" w:rsidRDefault="009B4328" w:rsidP="009B4328">
      <w:pPr>
        <w:rPr>
          <w:sz w:val="22"/>
        </w:rPr>
      </w:pPr>
      <w:r w:rsidRPr="00A9356E">
        <w:rPr>
          <w:sz w:val="22"/>
        </w:rPr>
        <w:t>Obecně všechny cíle poměrně nízce hodnoceny z hlediska absorpce, což patrně neodpovídá realitě. Je to způsobeno nízkým hodnocením připravenosti projektových záměrů, kdy projektové záměry se u měkkých projektů nepřipravují dlouho dopředu jako u investičních projektů.</w:t>
      </w:r>
    </w:p>
    <w:p w:rsidR="00053B1D" w:rsidRPr="00362FA7" w:rsidRDefault="00CC6696" w:rsidP="00254F4C">
      <w:pPr>
        <w:pStyle w:val="Nadpis2"/>
        <w:numPr>
          <w:ilvl w:val="1"/>
          <w:numId w:val="9"/>
        </w:numPr>
        <w:spacing w:line="240" w:lineRule="auto"/>
        <w:ind w:left="425" w:hanging="431"/>
        <w:jc w:val="left"/>
      </w:pPr>
      <w:bookmarkStart w:id="86" w:name="_Toc7774232"/>
      <w:bookmarkStart w:id="87" w:name="_Toc13828228"/>
      <w:r>
        <w:t>Souhrnné v</w:t>
      </w:r>
      <w:r w:rsidR="00053B1D" w:rsidRPr="00362FA7">
        <w:t>ýsledky hodnocení</w:t>
      </w:r>
      <w:bookmarkEnd w:id="86"/>
      <w:bookmarkEnd w:id="87"/>
    </w:p>
    <w:p w:rsidR="00A9737F" w:rsidRPr="00A9356E" w:rsidRDefault="00A9737F" w:rsidP="00A9737F">
      <w:pPr>
        <w:rPr>
          <w:sz w:val="22"/>
        </w:rPr>
      </w:pPr>
      <w:r w:rsidRPr="00A9356E">
        <w:rPr>
          <w:sz w:val="22"/>
        </w:rPr>
        <w:t>Celkové hodnocení jednotlivých oblastí a specifických cílů zaznamenalo ve srovnání s 1. fází prioritizace jednoznačně pozitivní posun. Dílem je to způsobeno respektováním doporučení formulovaných na základě výsledků 1. fáze prioritizace a uvedených v 1. verzi NKR, dílem pak kvalitnějším rozpracováním karet jednotlivých specifických cílů, a to v souvislosti se zahájenou přípravou operačních programů a jejich intervenční logiky.</w:t>
      </w:r>
    </w:p>
    <w:p w:rsidR="00A9737F" w:rsidRPr="00A9356E" w:rsidRDefault="00A9737F" w:rsidP="00A9737F">
      <w:pPr>
        <w:rPr>
          <w:sz w:val="22"/>
        </w:rPr>
      </w:pPr>
      <w:r w:rsidRPr="00A9356E">
        <w:rPr>
          <w:sz w:val="22"/>
        </w:rPr>
        <w:t>V tomto ohledu šlo především o práci na strategických podkladech (dokončení příslušných strategických materiálů nebo alespoň o zahájení prací na nich) pro jednotlivé oblasti. Z toho také vyplynula schopnost formulovat relevantn</w:t>
      </w:r>
      <w:r w:rsidR="00BE32BD">
        <w:rPr>
          <w:sz w:val="22"/>
        </w:rPr>
        <w:t>ější</w:t>
      </w:r>
      <w:r w:rsidRPr="00A9356E">
        <w:rPr>
          <w:sz w:val="22"/>
        </w:rPr>
        <w:t xml:space="preserve"> a podložen</w:t>
      </w:r>
      <w:r w:rsidR="00BE32BD">
        <w:rPr>
          <w:sz w:val="22"/>
        </w:rPr>
        <w:t>ější</w:t>
      </w:r>
      <w:r w:rsidRPr="00A9356E">
        <w:rPr>
          <w:sz w:val="22"/>
        </w:rPr>
        <w:t xml:space="preserve"> cíle pro období po roce 2020, včetně předpokládaných dopadů apod. Rozpracovány a doplněny byly vesměs také popisy vazeb na průřezová témata a megatrendy a popisy synergických vazeb, stejně jako údaje ke stávající i předpokládané absorpční kapacitě.</w:t>
      </w:r>
    </w:p>
    <w:p w:rsidR="00A9737F" w:rsidRDefault="00A9737F" w:rsidP="00A9737F">
      <w:pPr>
        <w:rPr>
          <w:sz w:val="22"/>
        </w:rPr>
      </w:pPr>
      <w:r w:rsidRPr="00A9356E">
        <w:rPr>
          <w:sz w:val="22"/>
        </w:rPr>
        <w:t>Celkově došlo také ke konsolidaci oblastí a specifických cílů z hlediska hodnocení podle jednotlivých kritérií, j</w:t>
      </w:r>
      <w:r w:rsidR="00D54D3C">
        <w:rPr>
          <w:sz w:val="22"/>
        </w:rPr>
        <w:t xml:space="preserve">ak také ukazují následující </w:t>
      </w:r>
      <w:r w:rsidR="00D06F64">
        <w:rPr>
          <w:sz w:val="22"/>
        </w:rPr>
        <w:t>grafy</w:t>
      </w:r>
      <w:r w:rsidRPr="00A9356E">
        <w:rPr>
          <w:sz w:val="22"/>
        </w:rPr>
        <w:t>.</w:t>
      </w:r>
    </w:p>
    <w:p w:rsidR="00A9737F" w:rsidRDefault="00B65759" w:rsidP="00062678">
      <w:pPr>
        <w:jc w:val="left"/>
        <w:rPr>
          <w:sz w:val="22"/>
        </w:rPr>
      </w:pPr>
      <w:r>
        <w:rPr>
          <w:i/>
          <w:sz w:val="22"/>
        </w:rPr>
        <w:t xml:space="preserve">Graf: </w:t>
      </w:r>
      <w:r w:rsidR="00D06F64" w:rsidRPr="00590FD1">
        <w:rPr>
          <w:i/>
          <w:sz w:val="22"/>
        </w:rPr>
        <w:t>Srovnání krité</w:t>
      </w:r>
      <w:r w:rsidR="00816FE6" w:rsidRPr="00816FE6">
        <w:rPr>
          <w:i/>
          <w:sz w:val="22"/>
        </w:rPr>
        <w:t xml:space="preserve">ria „Důležitost“ a „Strategie“ </w:t>
      </w:r>
      <w:r w:rsidR="00816FE6">
        <w:rPr>
          <w:i/>
          <w:sz w:val="22"/>
        </w:rPr>
        <w:t>jednotlivých specifických cílů NKR</w:t>
      </w:r>
      <w:r w:rsidR="00083C2B" w:rsidRPr="00F0190B">
        <w:rPr>
          <w:noProof/>
          <w:sz w:val="12"/>
          <w:szCs w:val="12"/>
          <w:lang w:eastAsia="cs-CZ"/>
        </w:rPr>
        <w:drawing>
          <wp:inline distT="0" distB="0" distL="0" distR="0" wp14:anchorId="59E981E6" wp14:editId="7453D584">
            <wp:extent cx="5759450" cy="5717844"/>
            <wp:effectExtent l="0" t="0" r="12700" b="1651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737F" w:rsidRPr="00A9356E" w:rsidRDefault="00A9737F" w:rsidP="00A9737F">
      <w:pPr>
        <w:rPr>
          <w:sz w:val="22"/>
        </w:rPr>
      </w:pPr>
      <w:r w:rsidRPr="00A9356E">
        <w:rPr>
          <w:sz w:val="22"/>
        </w:rPr>
        <w:t xml:space="preserve">Graf ukazuje vzájemné srovnání kritéria „Důležitost“ a „Strategie“ (připravenost strategických podkladů specifického cíle). Ve srovnání s 1. fází prioritizace došlo k pozitivnímu posunu, </w:t>
      </w:r>
      <w:r w:rsidR="00062678">
        <w:rPr>
          <w:sz w:val="22"/>
        </w:rPr>
        <w:t>k</w:t>
      </w:r>
      <w:r w:rsidRPr="00A9356E">
        <w:rPr>
          <w:sz w:val="22"/>
        </w:rPr>
        <w:t>onkrétně k přesunu většiny specifických cílů do pravého horního pole (tj. cíle, které jsou důležité, jsou adekvátně podloženy relevantními strategiemi) nebo do středu grafu</w:t>
      </w:r>
      <w:r w:rsidRPr="00A9356E">
        <w:rPr>
          <w:rStyle w:val="Znakapoznpodarou"/>
          <w:sz w:val="22"/>
        </w:rPr>
        <w:footnoteReference w:id="9"/>
      </w:r>
      <w:r w:rsidRPr="00A9356E">
        <w:rPr>
          <w:sz w:val="22"/>
        </w:rPr>
        <w:t>. Další pozornost zasluhují především specifické cíle v dolní části grafu, které adekvátními strategiemi (zatím) nedisponují, a zejména pak v pravém dolním poli, kde se jedná o cíle s vysokou důležitostí, avšak nepodložené strategickými materiály.</w:t>
      </w:r>
    </w:p>
    <w:p w:rsidR="00816FE6" w:rsidRPr="00590FD1" w:rsidRDefault="00062678" w:rsidP="00062678">
      <w:pPr>
        <w:jc w:val="left"/>
        <w:rPr>
          <w:i/>
          <w:sz w:val="22"/>
        </w:rPr>
      </w:pPr>
      <w:r w:rsidRPr="00736AB9">
        <w:rPr>
          <w:noProof/>
          <w:sz w:val="12"/>
          <w:szCs w:val="12"/>
          <w:lang w:eastAsia="cs-CZ"/>
        </w:rPr>
        <w:drawing>
          <wp:anchor distT="0" distB="0" distL="114300" distR="114300" simplePos="0" relativeHeight="251658752" behindDoc="1" locked="0" layoutInCell="1" allowOverlap="1" wp14:anchorId="21C0AD52" wp14:editId="3A6D3A69">
            <wp:simplePos x="0" y="0"/>
            <wp:positionH relativeFrom="column">
              <wp:posOffset>4445</wp:posOffset>
            </wp:positionH>
            <wp:positionV relativeFrom="paragraph">
              <wp:posOffset>261620</wp:posOffset>
            </wp:positionV>
            <wp:extent cx="5759450" cy="5580419"/>
            <wp:effectExtent l="0" t="0" r="12700" b="1270"/>
            <wp:wrapTight wrapText="bothSides">
              <wp:wrapPolygon edited="0">
                <wp:start x="0" y="0"/>
                <wp:lineTo x="0" y="21531"/>
                <wp:lineTo x="21576" y="21531"/>
                <wp:lineTo x="21576" y="0"/>
                <wp:lineTo x="0" y="0"/>
              </wp:wrapPolygon>
            </wp:wrapTight>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65759">
        <w:rPr>
          <w:i/>
          <w:sz w:val="22"/>
        </w:rPr>
        <w:t xml:space="preserve">Graf: </w:t>
      </w:r>
      <w:r w:rsidR="00816FE6" w:rsidRPr="00590FD1">
        <w:rPr>
          <w:i/>
          <w:sz w:val="22"/>
        </w:rPr>
        <w:t>Srovnání kritéria „Důležitost“ a „Absorpční kapacita“</w:t>
      </w:r>
      <w:r w:rsidR="00816FE6">
        <w:rPr>
          <w:i/>
          <w:sz w:val="22"/>
        </w:rPr>
        <w:t xml:space="preserve"> jednotlivých specifických cílů NKR</w:t>
      </w:r>
    </w:p>
    <w:p w:rsidR="00816FE6" w:rsidRPr="00590FD1" w:rsidRDefault="00816FE6" w:rsidP="00994DD9">
      <w:pPr>
        <w:spacing w:before="80"/>
        <w:rPr>
          <w:sz w:val="22"/>
        </w:rPr>
      </w:pPr>
      <w:bookmarkStart w:id="88" w:name="_Toc7774236"/>
      <w:r w:rsidRPr="00A9356E">
        <w:rPr>
          <w:sz w:val="22"/>
        </w:rPr>
        <w:t xml:space="preserve">Graf </w:t>
      </w:r>
      <w:r>
        <w:rPr>
          <w:sz w:val="22"/>
        </w:rPr>
        <w:t>znázorňuje</w:t>
      </w:r>
      <w:r w:rsidRPr="00A9356E">
        <w:rPr>
          <w:sz w:val="22"/>
        </w:rPr>
        <w:t xml:space="preserve"> vztah kritéria „Důležitost“ a „Absorpční kapacita“, ukazuje pozitivní posun specifických cílů k ideálnímu, pravému hornímu poli (důležité cíle s vysokou absorpční kapacitou). Z grafu vyplývá potřeba věnovat pozornost specifickým cílům, které se nacházejí v pravém dolním poli - jde o cíle s vysokou důležitostí, avšak s nízkou absorpční kapacitou.</w:t>
      </w:r>
    </w:p>
    <w:p w:rsidR="00053B1D" w:rsidRPr="00E93AF0" w:rsidRDefault="00053B1D" w:rsidP="00254F4C">
      <w:pPr>
        <w:pStyle w:val="Nadpis1"/>
        <w:numPr>
          <w:ilvl w:val="0"/>
          <w:numId w:val="9"/>
        </w:numPr>
        <w:spacing w:line="240" w:lineRule="auto"/>
        <w:ind w:left="357" w:hanging="357"/>
        <w:jc w:val="left"/>
      </w:pPr>
      <w:bookmarkStart w:id="89" w:name="_Toc13828229"/>
      <w:r w:rsidRPr="00F41D0E">
        <w:rPr>
          <w:bCs w:val="0"/>
        </w:rPr>
        <w:t>NÁVRH A PRINCIPY IMPLEMENTACE</w:t>
      </w:r>
      <w:bookmarkEnd w:id="88"/>
      <w:bookmarkEnd w:id="89"/>
      <w:r w:rsidRPr="00E93AF0">
        <w:t xml:space="preserve"> </w:t>
      </w:r>
    </w:p>
    <w:p w:rsidR="001D3051" w:rsidRPr="008B44CF" w:rsidRDefault="001D3051" w:rsidP="00254F4C">
      <w:pPr>
        <w:pStyle w:val="Nadpis2"/>
        <w:numPr>
          <w:ilvl w:val="1"/>
          <w:numId w:val="9"/>
        </w:numPr>
        <w:spacing w:line="240" w:lineRule="auto"/>
        <w:ind w:left="425" w:hanging="431"/>
        <w:jc w:val="left"/>
      </w:pPr>
      <w:bookmarkStart w:id="90" w:name="_Toc529286576"/>
      <w:bookmarkStart w:id="91" w:name="_Toc7774237"/>
      <w:bookmarkStart w:id="92" w:name="_Toc13828230"/>
      <w:r w:rsidRPr="008B44CF">
        <w:t>Východiska implementační části</w:t>
      </w:r>
      <w:bookmarkEnd w:id="90"/>
      <w:bookmarkEnd w:id="91"/>
      <w:bookmarkEnd w:id="92"/>
    </w:p>
    <w:p w:rsidR="001D3051" w:rsidRDefault="001D3051" w:rsidP="00721A95">
      <w:pPr>
        <w:spacing w:before="0" w:after="120"/>
        <w:rPr>
          <w:sz w:val="22"/>
          <w:szCs w:val="22"/>
        </w:rPr>
      </w:pPr>
      <w:r w:rsidRPr="002C410B">
        <w:rPr>
          <w:sz w:val="22"/>
          <w:szCs w:val="22"/>
        </w:rPr>
        <w:t>Implementační návrh navazuje na analytickou část NKR a návrhy priorit a cílů (viz předchozí kapitoly)</w:t>
      </w:r>
      <w:r w:rsidR="00A61BFE">
        <w:rPr>
          <w:sz w:val="22"/>
          <w:szCs w:val="22"/>
        </w:rPr>
        <w:t xml:space="preserve"> a na schválené </w:t>
      </w:r>
      <w:r w:rsidR="00721A95">
        <w:rPr>
          <w:sz w:val="22"/>
          <w:szCs w:val="22"/>
        </w:rPr>
        <w:t>u</w:t>
      </w:r>
      <w:r w:rsidR="00A61BFE">
        <w:rPr>
          <w:sz w:val="22"/>
          <w:szCs w:val="22"/>
        </w:rPr>
        <w:t xml:space="preserve">snesení </w:t>
      </w:r>
      <w:r w:rsidR="00721A95">
        <w:rPr>
          <w:sz w:val="22"/>
          <w:szCs w:val="22"/>
        </w:rPr>
        <w:t>V</w:t>
      </w:r>
      <w:r w:rsidR="00A61BFE">
        <w:rPr>
          <w:sz w:val="22"/>
          <w:szCs w:val="22"/>
        </w:rPr>
        <w:t xml:space="preserve">lády </w:t>
      </w:r>
      <w:r w:rsidR="008978CB">
        <w:rPr>
          <w:sz w:val="22"/>
          <w:szCs w:val="22"/>
        </w:rPr>
        <w:t xml:space="preserve">ČR </w:t>
      </w:r>
      <w:r w:rsidR="00A61BFE">
        <w:rPr>
          <w:sz w:val="22"/>
          <w:szCs w:val="22"/>
        </w:rPr>
        <w:t xml:space="preserve">ze </w:t>
      </w:r>
      <w:r w:rsidR="00A61BFE" w:rsidRPr="00A61BFE">
        <w:rPr>
          <w:sz w:val="22"/>
          <w:szCs w:val="22"/>
        </w:rPr>
        <w:t>dne 4. února 2019</w:t>
      </w:r>
      <w:r w:rsidR="00721A95" w:rsidRPr="00721A95">
        <w:rPr>
          <w:sz w:val="22"/>
          <w:szCs w:val="22"/>
        </w:rPr>
        <w:t xml:space="preserve"> </w:t>
      </w:r>
      <w:r w:rsidR="00721A95">
        <w:rPr>
          <w:sz w:val="22"/>
          <w:szCs w:val="22"/>
        </w:rPr>
        <w:t>č. 94</w:t>
      </w:r>
    </w:p>
    <w:p w:rsidR="001D3051" w:rsidRPr="00ED51BB" w:rsidRDefault="00A61BFE" w:rsidP="001D3051">
      <w:pPr>
        <w:spacing w:before="0" w:after="120"/>
        <w:rPr>
          <w:sz w:val="22"/>
          <w:szCs w:val="22"/>
        </w:rPr>
      </w:pPr>
      <w:r>
        <w:rPr>
          <w:sz w:val="22"/>
          <w:szCs w:val="22"/>
        </w:rPr>
        <w:t xml:space="preserve">Schválená podoba implementační architektury byla stanovena </w:t>
      </w:r>
      <w:r w:rsidR="001D3051" w:rsidRPr="00ED51BB">
        <w:rPr>
          <w:sz w:val="22"/>
          <w:szCs w:val="22"/>
        </w:rPr>
        <w:t>zejména s</w:t>
      </w:r>
      <w:r>
        <w:rPr>
          <w:sz w:val="22"/>
          <w:szCs w:val="22"/>
        </w:rPr>
        <w:t> ohledem na</w:t>
      </w:r>
      <w:r w:rsidR="003F6159">
        <w:rPr>
          <w:sz w:val="22"/>
          <w:szCs w:val="22"/>
        </w:rPr>
        <w:t xml:space="preserve"> níže uvedené faktory a principy</w:t>
      </w:r>
      <w:r w:rsidR="001D3051" w:rsidRPr="00ED51BB">
        <w:rPr>
          <w:sz w:val="22"/>
          <w:szCs w:val="22"/>
        </w:rPr>
        <w:t>:</w:t>
      </w:r>
    </w:p>
    <w:p w:rsidR="001D3051" w:rsidRPr="00ED51BB" w:rsidRDefault="001D3051" w:rsidP="00254F4C">
      <w:pPr>
        <w:pStyle w:val="Odstavecseseznamem"/>
        <w:numPr>
          <w:ilvl w:val="0"/>
          <w:numId w:val="8"/>
        </w:numPr>
        <w:spacing w:before="40" w:after="40"/>
        <w:ind w:left="714" w:hanging="357"/>
        <w:contextualSpacing w:val="0"/>
        <w:rPr>
          <w:rFonts w:ascii="Arial" w:hAnsi="Arial"/>
          <w:sz w:val="22"/>
        </w:rPr>
      </w:pPr>
      <w:r w:rsidRPr="00ED51BB">
        <w:rPr>
          <w:rFonts w:ascii="Arial" w:hAnsi="Arial"/>
          <w:sz w:val="22"/>
        </w:rPr>
        <w:t>redukc</w:t>
      </w:r>
      <w:r w:rsidR="00A61BFE">
        <w:rPr>
          <w:rFonts w:ascii="Arial" w:hAnsi="Arial"/>
          <w:sz w:val="22"/>
        </w:rPr>
        <w:t>i</w:t>
      </w:r>
      <w:r w:rsidRPr="00ED51BB">
        <w:rPr>
          <w:rFonts w:ascii="Arial" w:hAnsi="Arial"/>
          <w:sz w:val="22"/>
        </w:rPr>
        <w:t xml:space="preserve"> finančních prostředků pro ČR (nižší </w:t>
      </w:r>
      <w:r>
        <w:rPr>
          <w:rFonts w:ascii="Arial" w:hAnsi="Arial"/>
          <w:sz w:val="22"/>
        </w:rPr>
        <w:t xml:space="preserve">národní </w:t>
      </w:r>
      <w:r w:rsidRPr="00ED51BB">
        <w:rPr>
          <w:rFonts w:ascii="Arial" w:hAnsi="Arial"/>
          <w:sz w:val="22"/>
        </w:rPr>
        <w:t>obálka)</w:t>
      </w:r>
      <w:r>
        <w:rPr>
          <w:rFonts w:ascii="Arial" w:hAnsi="Arial"/>
          <w:sz w:val="22"/>
        </w:rPr>
        <w:t>;</w:t>
      </w:r>
    </w:p>
    <w:p w:rsidR="001D3051" w:rsidRPr="00ED51BB" w:rsidRDefault="00A61BFE" w:rsidP="00254F4C">
      <w:pPr>
        <w:pStyle w:val="Odstavecseseznamem"/>
        <w:numPr>
          <w:ilvl w:val="0"/>
          <w:numId w:val="8"/>
        </w:numPr>
        <w:spacing w:before="40" w:after="40"/>
        <w:ind w:left="714" w:hanging="357"/>
        <w:contextualSpacing w:val="0"/>
        <w:rPr>
          <w:rFonts w:ascii="Arial" w:hAnsi="Arial"/>
          <w:sz w:val="22"/>
          <w:szCs w:val="22"/>
        </w:rPr>
      </w:pPr>
      <w:r>
        <w:rPr>
          <w:rFonts w:ascii="Arial" w:hAnsi="Arial"/>
          <w:sz w:val="22"/>
          <w:szCs w:val="22"/>
        </w:rPr>
        <w:t>zkušenosti</w:t>
      </w:r>
      <w:r w:rsidR="001D3051">
        <w:rPr>
          <w:rFonts w:ascii="Arial" w:hAnsi="Arial"/>
          <w:sz w:val="22"/>
          <w:szCs w:val="22"/>
        </w:rPr>
        <w:t xml:space="preserve"> z minulých programových období (již od období </w:t>
      </w:r>
      <w:r w:rsidR="00264394">
        <w:rPr>
          <w:rFonts w:ascii="Arial" w:hAnsi="Arial"/>
          <w:sz w:val="22"/>
          <w:szCs w:val="22"/>
        </w:rPr>
        <w:t>20</w:t>
      </w:r>
      <w:r w:rsidR="001D3051">
        <w:rPr>
          <w:rFonts w:ascii="Arial" w:hAnsi="Arial"/>
          <w:sz w:val="22"/>
          <w:szCs w:val="22"/>
        </w:rPr>
        <w:t>04-</w:t>
      </w:r>
      <w:r w:rsidR="00264394">
        <w:rPr>
          <w:rFonts w:ascii="Arial" w:hAnsi="Arial"/>
          <w:sz w:val="22"/>
          <w:szCs w:val="22"/>
        </w:rPr>
        <w:t>20</w:t>
      </w:r>
      <w:r w:rsidR="001D3051">
        <w:rPr>
          <w:rFonts w:ascii="Arial" w:hAnsi="Arial"/>
          <w:sz w:val="22"/>
          <w:szCs w:val="22"/>
        </w:rPr>
        <w:t>06);</w:t>
      </w:r>
    </w:p>
    <w:p w:rsidR="001D3051" w:rsidRPr="00ED51BB" w:rsidRDefault="001D3051" w:rsidP="00254F4C">
      <w:pPr>
        <w:pStyle w:val="Odstavecseseznamem"/>
        <w:numPr>
          <w:ilvl w:val="0"/>
          <w:numId w:val="8"/>
        </w:numPr>
        <w:spacing w:before="40" w:after="40"/>
        <w:ind w:left="714" w:hanging="357"/>
        <w:contextualSpacing w:val="0"/>
        <w:rPr>
          <w:rFonts w:ascii="Arial" w:hAnsi="Arial"/>
          <w:sz w:val="22"/>
          <w:szCs w:val="22"/>
        </w:rPr>
      </w:pPr>
      <w:r>
        <w:rPr>
          <w:rFonts w:ascii="Arial" w:hAnsi="Arial"/>
          <w:sz w:val="22"/>
          <w:szCs w:val="22"/>
        </w:rPr>
        <w:t>analýz</w:t>
      </w:r>
      <w:r w:rsidR="00A61BFE">
        <w:rPr>
          <w:rFonts w:ascii="Arial" w:hAnsi="Arial"/>
          <w:sz w:val="22"/>
          <w:szCs w:val="22"/>
        </w:rPr>
        <w:t>y</w:t>
      </w:r>
      <w:r>
        <w:rPr>
          <w:rFonts w:ascii="Arial" w:hAnsi="Arial"/>
          <w:sz w:val="22"/>
          <w:szCs w:val="22"/>
        </w:rPr>
        <w:t xml:space="preserve"> </w:t>
      </w:r>
      <w:r w:rsidRPr="00ED51BB">
        <w:rPr>
          <w:rFonts w:ascii="Arial" w:hAnsi="Arial"/>
          <w:sz w:val="22"/>
          <w:szCs w:val="22"/>
        </w:rPr>
        <w:t>za 2007-2013 i za 2014-2020</w:t>
      </w:r>
      <w:r>
        <w:rPr>
          <w:rFonts w:ascii="Arial" w:hAnsi="Arial"/>
          <w:sz w:val="22"/>
          <w:szCs w:val="22"/>
        </w:rPr>
        <w:t>, které přináší poznatky vhodné pro rozhodování o podobě architektury (věcné i procesní);</w:t>
      </w:r>
    </w:p>
    <w:p w:rsidR="001D3051" w:rsidRPr="00807AE4" w:rsidRDefault="001D3051" w:rsidP="00254F4C">
      <w:pPr>
        <w:pStyle w:val="Odstavecseseznamem"/>
        <w:numPr>
          <w:ilvl w:val="0"/>
          <w:numId w:val="8"/>
        </w:numPr>
        <w:spacing w:before="40" w:after="40"/>
        <w:ind w:left="714" w:hanging="357"/>
        <w:contextualSpacing w:val="0"/>
        <w:rPr>
          <w:rFonts w:ascii="Arial" w:hAnsi="Arial"/>
          <w:sz w:val="22"/>
          <w:szCs w:val="22"/>
        </w:rPr>
      </w:pPr>
      <w:r w:rsidRPr="0361799C">
        <w:rPr>
          <w:rFonts w:ascii="Arial" w:hAnsi="Arial"/>
          <w:sz w:val="22"/>
          <w:szCs w:val="22"/>
        </w:rPr>
        <w:t>analýz</w:t>
      </w:r>
      <w:r w:rsidR="00A61BFE">
        <w:rPr>
          <w:rFonts w:ascii="Arial" w:hAnsi="Arial"/>
          <w:sz w:val="22"/>
          <w:szCs w:val="22"/>
        </w:rPr>
        <w:t>y</w:t>
      </w:r>
      <w:r w:rsidRPr="0361799C">
        <w:rPr>
          <w:rFonts w:ascii="Arial" w:hAnsi="Arial"/>
          <w:sz w:val="22"/>
          <w:szCs w:val="22"/>
        </w:rPr>
        <w:t xml:space="preserve"> výstupů z auditů ohledně nastavení a funkčnosti systému řízení a kontroly za programová období (2007-2013, 2014-2020);</w:t>
      </w:r>
    </w:p>
    <w:p w:rsidR="001D3051" w:rsidRDefault="001D3051" w:rsidP="00254F4C">
      <w:pPr>
        <w:pStyle w:val="Odstavecseseznamem"/>
        <w:numPr>
          <w:ilvl w:val="0"/>
          <w:numId w:val="8"/>
        </w:numPr>
        <w:spacing w:before="40" w:after="40"/>
        <w:ind w:left="714" w:hanging="357"/>
        <w:contextualSpacing w:val="0"/>
        <w:rPr>
          <w:rFonts w:ascii="Arial" w:hAnsi="Arial"/>
          <w:sz w:val="22"/>
          <w:szCs w:val="22"/>
        </w:rPr>
      </w:pPr>
      <w:r w:rsidRPr="0361799C">
        <w:rPr>
          <w:rFonts w:ascii="Arial" w:hAnsi="Arial"/>
          <w:sz w:val="22"/>
          <w:szCs w:val="22"/>
        </w:rPr>
        <w:t>výstupy z evaluace architektury mapující různé systémy implementace napříč EU vč. důvodů/pohnutek změn mezi obdobími (za současného respektování specifik ČR);</w:t>
      </w:r>
    </w:p>
    <w:p w:rsidR="001D3051" w:rsidRPr="00ED51BB" w:rsidRDefault="001D3051" w:rsidP="00254F4C">
      <w:pPr>
        <w:pStyle w:val="Odstavecseseznamem"/>
        <w:numPr>
          <w:ilvl w:val="0"/>
          <w:numId w:val="8"/>
        </w:numPr>
        <w:spacing w:before="40" w:after="40"/>
        <w:ind w:left="714" w:hanging="357"/>
        <w:contextualSpacing w:val="0"/>
        <w:rPr>
          <w:rFonts w:ascii="Arial" w:hAnsi="Arial"/>
          <w:sz w:val="22"/>
          <w:szCs w:val="22"/>
        </w:rPr>
      </w:pPr>
      <w:r>
        <w:rPr>
          <w:rFonts w:ascii="Arial" w:hAnsi="Arial"/>
          <w:sz w:val="22"/>
          <w:szCs w:val="22"/>
        </w:rPr>
        <w:t>priorit</w:t>
      </w:r>
      <w:r w:rsidR="00A61BFE">
        <w:rPr>
          <w:rFonts w:ascii="Arial" w:hAnsi="Arial"/>
          <w:sz w:val="22"/>
          <w:szCs w:val="22"/>
        </w:rPr>
        <w:t>y</w:t>
      </w:r>
      <w:r>
        <w:rPr>
          <w:rFonts w:ascii="Arial" w:hAnsi="Arial"/>
          <w:sz w:val="22"/>
          <w:szCs w:val="22"/>
        </w:rPr>
        <w:t>, které bude ČR do budoucna prosazovat, a to vč. zohlednění územních potřeb (viz předchozí kapitoly NKR);</w:t>
      </w:r>
    </w:p>
    <w:p w:rsidR="001D3051" w:rsidRDefault="001D3051" w:rsidP="00254F4C">
      <w:pPr>
        <w:pStyle w:val="Odstavecseseznamem"/>
        <w:numPr>
          <w:ilvl w:val="0"/>
          <w:numId w:val="8"/>
        </w:numPr>
        <w:spacing w:before="40" w:after="40"/>
        <w:ind w:left="714" w:hanging="357"/>
        <w:contextualSpacing w:val="0"/>
        <w:rPr>
          <w:rFonts w:ascii="Arial" w:hAnsi="Arial"/>
          <w:sz w:val="22"/>
          <w:szCs w:val="22"/>
        </w:rPr>
      </w:pPr>
      <w:r w:rsidRPr="00ED51BB">
        <w:rPr>
          <w:rFonts w:ascii="Arial" w:hAnsi="Arial"/>
          <w:sz w:val="22"/>
          <w:szCs w:val="22"/>
        </w:rPr>
        <w:t>směry, limity</w:t>
      </w:r>
      <w:r>
        <w:rPr>
          <w:rFonts w:ascii="Arial" w:hAnsi="Arial"/>
          <w:sz w:val="22"/>
          <w:szCs w:val="22"/>
        </w:rPr>
        <w:t xml:space="preserve"> či</w:t>
      </w:r>
      <w:r w:rsidRPr="00ED51BB">
        <w:rPr>
          <w:rFonts w:ascii="Arial" w:hAnsi="Arial"/>
          <w:sz w:val="22"/>
          <w:szCs w:val="22"/>
        </w:rPr>
        <w:t xml:space="preserve"> podmínk</w:t>
      </w:r>
      <w:r w:rsidR="00A64535">
        <w:rPr>
          <w:rFonts w:ascii="Arial" w:hAnsi="Arial"/>
          <w:sz w:val="22"/>
          <w:szCs w:val="22"/>
        </w:rPr>
        <w:t>y</w:t>
      </w:r>
      <w:r>
        <w:rPr>
          <w:rFonts w:ascii="Arial" w:hAnsi="Arial"/>
          <w:sz w:val="22"/>
          <w:szCs w:val="22"/>
        </w:rPr>
        <w:t xml:space="preserve">, které navrhuje EK zejména v rámci </w:t>
      </w:r>
      <w:r w:rsidR="00A64535">
        <w:rPr>
          <w:rFonts w:ascii="Arial" w:hAnsi="Arial"/>
          <w:sz w:val="22"/>
          <w:szCs w:val="22"/>
        </w:rPr>
        <w:t xml:space="preserve">návrhů </w:t>
      </w:r>
      <w:r>
        <w:rPr>
          <w:rFonts w:ascii="Arial" w:hAnsi="Arial"/>
          <w:sz w:val="22"/>
          <w:szCs w:val="22"/>
        </w:rPr>
        <w:t>nařízení pro fondy (jde především o strukturu politických cílů, tematickou koncentrac</w:t>
      </w:r>
      <w:r w:rsidR="00A64535">
        <w:rPr>
          <w:rFonts w:ascii="Arial" w:hAnsi="Arial"/>
          <w:sz w:val="22"/>
          <w:szCs w:val="22"/>
        </w:rPr>
        <w:t>i</w:t>
      </w:r>
      <w:r>
        <w:rPr>
          <w:rFonts w:ascii="Arial" w:hAnsi="Arial"/>
          <w:sz w:val="22"/>
          <w:szCs w:val="22"/>
        </w:rPr>
        <w:t>, skupiny kategorií regionů, finanční aspekty ověření funkčnosti nastaveného systému na počátku období aj.);</w:t>
      </w:r>
    </w:p>
    <w:p w:rsidR="001D3051" w:rsidRPr="007A5331" w:rsidRDefault="001D3051" w:rsidP="00254F4C">
      <w:pPr>
        <w:pStyle w:val="Odstavecseseznamem"/>
        <w:numPr>
          <w:ilvl w:val="0"/>
          <w:numId w:val="8"/>
        </w:numPr>
        <w:spacing w:before="40" w:after="40"/>
        <w:ind w:left="714" w:hanging="357"/>
        <w:contextualSpacing w:val="0"/>
        <w:rPr>
          <w:rFonts w:ascii="Arial" w:hAnsi="Arial"/>
          <w:sz w:val="22"/>
          <w:szCs w:val="22"/>
        </w:rPr>
      </w:pPr>
      <w:r>
        <w:rPr>
          <w:rFonts w:ascii="Arial" w:hAnsi="Arial"/>
          <w:sz w:val="22"/>
          <w:szCs w:val="22"/>
        </w:rPr>
        <w:t>úvah</w:t>
      </w:r>
      <w:r w:rsidR="00A61BFE">
        <w:rPr>
          <w:rFonts w:ascii="Arial" w:hAnsi="Arial"/>
          <w:sz w:val="22"/>
          <w:szCs w:val="22"/>
        </w:rPr>
        <w:t>y</w:t>
      </w:r>
      <w:r>
        <w:rPr>
          <w:rFonts w:ascii="Arial" w:hAnsi="Arial"/>
          <w:sz w:val="22"/>
          <w:szCs w:val="22"/>
        </w:rPr>
        <w:t xml:space="preserve"> o systému řízení optikou vyváženosti mezi zkušenostmi, velkými a neřešitelnými problémy v čase či schopností uřídit/uhlídat program s více či méně složitějším základem (např. stran skupin příjemců, multifondovosti, roztříštěnosti aktivit, množství zapojených partnerů jako věcných garantů, atypickými prvky atd.);</w:t>
      </w:r>
    </w:p>
    <w:p w:rsidR="00F86EDB" w:rsidRDefault="001D3051" w:rsidP="00254F4C">
      <w:pPr>
        <w:pStyle w:val="Odstavecseseznamem"/>
        <w:numPr>
          <w:ilvl w:val="0"/>
          <w:numId w:val="8"/>
        </w:numPr>
        <w:spacing w:before="40" w:after="40"/>
        <w:ind w:left="714" w:hanging="357"/>
        <w:contextualSpacing w:val="0"/>
        <w:rPr>
          <w:rFonts w:ascii="Arial" w:hAnsi="Arial"/>
          <w:sz w:val="22"/>
          <w:szCs w:val="22"/>
        </w:rPr>
      </w:pPr>
      <w:r w:rsidRPr="172BAA7A">
        <w:rPr>
          <w:rFonts w:ascii="Arial" w:hAnsi="Arial"/>
          <w:sz w:val="22"/>
          <w:szCs w:val="22"/>
        </w:rPr>
        <w:t>vědomí nutnosti jít cestou evoluce nikoli radikální revoluce, neboť i přes některé problémy s implementací v minulosti systém jako takový funguje.</w:t>
      </w:r>
      <w:bookmarkStart w:id="93" w:name="_Toc529286577"/>
    </w:p>
    <w:p w:rsidR="00C90196" w:rsidRPr="008B44CF" w:rsidRDefault="009E3951" w:rsidP="009E3951">
      <w:pPr>
        <w:pStyle w:val="Nadpis2"/>
        <w:numPr>
          <w:ilvl w:val="1"/>
          <w:numId w:val="9"/>
        </w:numPr>
        <w:spacing w:line="240" w:lineRule="auto"/>
        <w:ind w:left="425" w:hanging="431"/>
      </w:pPr>
      <w:bookmarkStart w:id="94" w:name="_Toc13828231"/>
      <w:bookmarkEnd w:id="93"/>
      <w:r w:rsidRPr="008B44CF">
        <w:t>V</w:t>
      </w:r>
      <w:r w:rsidR="00053963" w:rsidRPr="008B44CF">
        <w:t>azba specifických cílů NKR na jednotlivé operační programy</w:t>
      </w:r>
      <w:bookmarkEnd w:id="94"/>
    </w:p>
    <w:p w:rsidR="001D3051" w:rsidRPr="00053963" w:rsidRDefault="00A11CFE" w:rsidP="00A9356E">
      <w:pPr>
        <w:spacing w:before="0" w:after="120"/>
        <w:rPr>
          <w:b/>
          <w:sz w:val="22"/>
        </w:rPr>
      </w:pPr>
      <w:r w:rsidRPr="00A9356E">
        <w:rPr>
          <w:sz w:val="22"/>
          <w:szCs w:val="22"/>
        </w:rPr>
        <w:t>Usnese</w:t>
      </w:r>
      <w:r>
        <w:rPr>
          <w:sz w:val="22"/>
          <w:szCs w:val="22"/>
        </w:rPr>
        <w:t xml:space="preserve">ním vlády </w:t>
      </w:r>
      <w:r w:rsidR="008978CB">
        <w:rPr>
          <w:sz w:val="22"/>
          <w:szCs w:val="22"/>
        </w:rPr>
        <w:t xml:space="preserve">ČR </w:t>
      </w:r>
      <w:r>
        <w:rPr>
          <w:sz w:val="22"/>
          <w:szCs w:val="22"/>
        </w:rPr>
        <w:t xml:space="preserve">ze </w:t>
      </w:r>
      <w:r w:rsidR="008978CB">
        <w:rPr>
          <w:sz w:val="22"/>
          <w:szCs w:val="22"/>
        </w:rPr>
        <w:t xml:space="preserve">dne </w:t>
      </w:r>
      <w:r>
        <w:rPr>
          <w:sz w:val="22"/>
          <w:szCs w:val="22"/>
        </w:rPr>
        <w:t xml:space="preserve">4. 2. 2019 </w:t>
      </w:r>
      <w:r w:rsidR="00721A95">
        <w:rPr>
          <w:sz w:val="22"/>
          <w:szCs w:val="22"/>
        </w:rPr>
        <w:t xml:space="preserve">č. 94 </w:t>
      </w:r>
      <w:r>
        <w:rPr>
          <w:sz w:val="22"/>
          <w:szCs w:val="22"/>
        </w:rPr>
        <w:t>byl schválen počet a základní struktura operačních programů, které budou realizovány v rámci politiky soudržnosti v budoucím programovém období. Schéma níže uvádí vazbu budoucích operačních programů na specifické cíle NKR.</w:t>
      </w:r>
      <w:r w:rsidR="009E083A">
        <w:rPr>
          <w:sz w:val="22"/>
          <w:szCs w:val="22"/>
        </w:rPr>
        <w:t xml:space="preserve"> Priority NKR mohou být naplňovány prostřednictvím jednoho či více operačních programů. Specifický cíl může být rovněž naplňován </w:t>
      </w:r>
      <w:r w:rsidR="00A64535">
        <w:rPr>
          <w:sz w:val="22"/>
          <w:szCs w:val="22"/>
        </w:rPr>
        <w:t xml:space="preserve">v některých </w:t>
      </w:r>
      <w:r w:rsidR="009E083A">
        <w:rPr>
          <w:sz w:val="22"/>
          <w:szCs w:val="22"/>
        </w:rPr>
        <w:t xml:space="preserve">případech prostřednictvím více operačních programů. </w:t>
      </w:r>
      <w:r w:rsidR="001D3051" w:rsidRPr="00053963">
        <w:rPr>
          <w:b/>
          <w:sz w:val="22"/>
        </w:rPr>
        <w:br w:type="page"/>
      </w:r>
    </w:p>
    <w:p w:rsidR="001D3051" w:rsidRDefault="001D3051" w:rsidP="001D3051">
      <w:pPr>
        <w:spacing w:before="40" w:after="80" w:line="259" w:lineRule="auto"/>
        <w:rPr>
          <w:sz w:val="22"/>
        </w:rPr>
        <w:sectPr w:rsidR="001D3051" w:rsidSect="00B720ED">
          <w:footerReference w:type="default" r:id="rId17"/>
          <w:headerReference w:type="first" r:id="rId18"/>
          <w:pgSz w:w="11906" w:h="16838" w:code="9"/>
          <w:pgMar w:top="1418" w:right="1418" w:bottom="1134" w:left="1418" w:header="709" w:footer="709" w:gutter="0"/>
          <w:cols w:space="708"/>
          <w:titlePg/>
          <w:docGrid w:linePitch="360"/>
        </w:sectPr>
      </w:pPr>
    </w:p>
    <w:p w:rsidR="00A85391" w:rsidRDefault="00816FE6" w:rsidP="001D3051">
      <w:pPr>
        <w:spacing w:before="240"/>
        <w:rPr>
          <w:sz w:val="26"/>
          <w:szCs w:val="26"/>
        </w:rPr>
        <w:sectPr w:rsidR="00A85391" w:rsidSect="00590FD1">
          <w:pgSz w:w="16838" w:h="11906" w:orient="landscape" w:code="9"/>
          <w:pgMar w:top="993" w:right="1418" w:bottom="1134" w:left="1418" w:header="709" w:footer="709" w:gutter="0"/>
          <w:cols w:space="708"/>
          <w:titlePg/>
          <w:docGrid w:linePitch="360"/>
        </w:sectPr>
      </w:pPr>
      <w:r w:rsidRPr="002523DF">
        <w:object w:dxaOrig="23385" w:dyaOrig="16095" w14:anchorId="43D74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74pt" o:ole="">
            <v:imagedata r:id="rId19" o:title=""/>
          </v:shape>
          <o:OLEObject Type="Embed" ProgID="Visio.Drawing.15" ShapeID="_x0000_i1025" DrawAspect="Content" ObjectID="_1628927741" r:id="rId20"/>
        </w:object>
      </w:r>
    </w:p>
    <w:p w:rsidR="00ED16AC" w:rsidRPr="008B44CF" w:rsidRDefault="00ED16AC" w:rsidP="00ED16AC">
      <w:pPr>
        <w:rPr>
          <w:rFonts w:eastAsia="Times New Roman"/>
          <w:b/>
          <w:bCs/>
          <w:color w:val="002060"/>
          <w:sz w:val="28"/>
          <w:szCs w:val="28"/>
        </w:rPr>
      </w:pPr>
      <w:bookmarkStart w:id="95" w:name="_Toc7774240"/>
      <w:bookmarkStart w:id="96" w:name="_Toc529286579"/>
      <w:r w:rsidRPr="008B44CF">
        <w:rPr>
          <w:rFonts w:eastAsia="Times New Roman"/>
          <w:b/>
          <w:bCs/>
          <w:color w:val="002060"/>
          <w:sz w:val="28"/>
          <w:szCs w:val="28"/>
        </w:rPr>
        <w:t>4.2.2. Navazující kroky</w:t>
      </w:r>
    </w:p>
    <w:p w:rsidR="00ED16AC" w:rsidRPr="008B44CF" w:rsidRDefault="00ED16AC" w:rsidP="009E3951">
      <w:pPr>
        <w:pStyle w:val="Odstavecseseznamem"/>
        <w:ind w:left="0" w:firstLine="0"/>
        <w:contextualSpacing w:val="0"/>
        <w:rPr>
          <w:rFonts w:ascii="Arial" w:eastAsia="Times New Roman" w:hAnsi="Arial"/>
          <w:b/>
          <w:bCs/>
          <w:color w:val="002060"/>
          <w:sz w:val="28"/>
          <w:szCs w:val="28"/>
        </w:rPr>
      </w:pPr>
      <w:r w:rsidRPr="008B44CF">
        <w:rPr>
          <w:rFonts w:ascii="Arial" w:eastAsia="Times New Roman" w:hAnsi="Arial"/>
          <w:b/>
          <w:bCs/>
          <w:color w:val="002060"/>
          <w:sz w:val="28"/>
          <w:szCs w:val="28"/>
        </w:rPr>
        <w:t xml:space="preserve">Dohoda o </w:t>
      </w:r>
      <w:r w:rsidR="00393220">
        <w:rPr>
          <w:rFonts w:ascii="Arial" w:eastAsia="Times New Roman" w:hAnsi="Arial"/>
          <w:b/>
          <w:bCs/>
          <w:color w:val="002060"/>
          <w:sz w:val="28"/>
          <w:szCs w:val="28"/>
        </w:rPr>
        <w:t>p</w:t>
      </w:r>
      <w:r w:rsidRPr="008B44CF">
        <w:rPr>
          <w:rFonts w:ascii="Arial" w:eastAsia="Times New Roman" w:hAnsi="Arial"/>
          <w:b/>
          <w:bCs/>
          <w:color w:val="002060"/>
          <w:sz w:val="28"/>
          <w:szCs w:val="28"/>
        </w:rPr>
        <w:t>artnerství</w:t>
      </w:r>
      <w:r w:rsidR="00F55929" w:rsidRPr="008B44CF">
        <w:rPr>
          <w:rFonts w:ascii="Arial" w:eastAsia="Times New Roman" w:hAnsi="Arial"/>
          <w:b/>
          <w:bCs/>
          <w:color w:val="002060"/>
          <w:sz w:val="28"/>
          <w:szCs w:val="28"/>
        </w:rPr>
        <w:t>, operační programy a intervenční logika</w:t>
      </w:r>
    </w:p>
    <w:p w:rsidR="00ED16AC" w:rsidRPr="00215993" w:rsidRDefault="00535003" w:rsidP="00A9356E">
      <w:pPr>
        <w:pStyle w:val="Odstavecseseznamem"/>
        <w:ind w:left="0" w:firstLine="0"/>
        <w:rPr>
          <w:rFonts w:ascii="Arial" w:hAnsi="Arial"/>
          <w:sz w:val="22"/>
        </w:rPr>
      </w:pPr>
      <w:r w:rsidRPr="00A9356E">
        <w:rPr>
          <w:rFonts w:ascii="Arial" w:hAnsi="Arial"/>
          <w:b/>
          <w:sz w:val="22"/>
        </w:rPr>
        <w:t xml:space="preserve">Dohoda o partnerství </w:t>
      </w:r>
      <w:r w:rsidR="00DB6C88" w:rsidRPr="00A9356E">
        <w:rPr>
          <w:rFonts w:ascii="Arial" w:hAnsi="Arial"/>
          <w:b/>
          <w:sz w:val="22"/>
        </w:rPr>
        <w:t xml:space="preserve">(dále </w:t>
      </w:r>
      <w:r w:rsidR="008978CB">
        <w:rPr>
          <w:rFonts w:ascii="Arial" w:hAnsi="Arial"/>
          <w:b/>
          <w:sz w:val="22"/>
        </w:rPr>
        <w:t>„</w:t>
      </w:r>
      <w:r w:rsidR="00DB6C88" w:rsidRPr="00A9356E">
        <w:rPr>
          <w:rFonts w:ascii="Arial" w:hAnsi="Arial"/>
          <w:b/>
          <w:sz w:val="22"/>
        </w:rPr>
        <w:t>DoP</w:t>
      </w:r>
      <w:r w:rsidR="008978CB">
        <w:rPr>
          <w:rFonts w:ascii="Arial" w:hAnsi="Arial"/>
          <w:b/>
          <w:sz w:val="22"/>
        </w:rPr>
        <w:t>“</w:t>
      </w:r>
      <w:r w:rsidR="00DB6C88" w:rsidRPr="00A9356E">
        <w:rPr>
          <w:rFonts w:ascii="Arial" w:hAnsi="Arial"/>
          <w:b/>
          <w:sz w:val="22"/>
        </w:rPr>
        <w:t>)</w:t>
      </w:r>
      <w:r w:rsidR="00DB6C88" w:rsidRPr="00A9356E">
        <w:rPr>
          <w:rFonts w:ascii="Arial" w:hAnsi="Arial"/>
          <w:sz w:val="22"/>
        </w:rPr>
        <w:t xml:space="preserve"> </w:t>
      </w:r>
      <w:r w:rsidRPr="00A9356E">
        <w:rPr>
          <w:rFonts w:ascii="Arial" w:hAnsi="Arial"/>
          <w:sz w:val="22"/>
        </w:rPr>
        <w:t xml:space="preserve">představuje </w:t>
      </w:r>
      <w:r w:rsidR="00DB6C88" w:rsidRPr="00A9356E">
        <w:rPr>
          <w:rFonts w:ascii="Arial" w:hAnsi="Arial"/>
          <w:sz w:val="22"/>
        </w:rPr>
        <w:t xml:space="preserve">základní zastřešující dokument stanovující celkovou strategii a opatření pro účinné a efektivní využívání </w:t>
      </w:r>
      <w:r w:rsidR="008C143C">
        <w:rPr>
          <w:rFonts w:ascii="Arial" w:hAnsi="Arial"/>
          <w:sz w:val="22"/>
        </w:rPr>
        <w:t>fondů EU</w:t>
      </w:r>
      <w:r w:rsidR="00DB6C88" w:rsidRPr="00A9356E">
        <w:rPr>
          <w:rFonts w:ascii="Arial" w:hAnsi="Arial"/>
          <w:sz w:val="22"/>
        </w:rPr>
        <w:t xml:space="preserve"> na úrovni členského státu. Hlavní částí DoP </w:t>
      </w:r>
      <w:r w:rsidR="00404349">
        <w:rPr>
          <w:rFonts w:ascii="Arial" w:hAnsi="Arial"/>
          <w:sz w:val="22"/>
        </w:rPr>
        <w:t>bude</w:t>
      </w:r>
      <w:r w:rsidR="00DB6C88" w:rsidRPr="00A9356E">
        <w:rPr>
          <w:rFonts w:ascii="Arial" w:hAnsi="Arial"/>
          <w:sz w:val="22"/>
        </w:rPr>
        <w:t xml:space="preserve"> strategie věcného zaměření podpory včetně stanovení tzv. očekávaných hlavních výsledků, kterých má být </w:t>
      </w:r>
      <w:r w:rsidR="005E6EBC">
        <w:rPr>
          <w:rFonts w:ascii="Arial" w:hAnsi="Arial"/>
          <w:sz w:val="22"/>
        </w:rPr>
        <w:t xml:space="preserve">s pomocí finančních prostředků EU </w:t>
      </w:r>
      <w:r w:rsidR="00DB6C88" w:rsidRPr="00A9356E">
        <w:rPr>
          <w:rFonts w:ascii="Arial" w:hAnsi="Arial"/>
          <w:sz w:val="22"/>
        </w:rPr>
        <w:t>v jednotlivých věcných oblastech v</w:t>
      </w:r>
      <w:r w:rsidR="00DB6C88" w:rsidRPr="00215993">
        <w:rPr>
          <w:rFonts w:ascii="Arial" w:hAnsi="Arial"/>
          <w:sz w:val="22"/>
        </w:rPr>
        <w:t> </w:t>
      </w:r>
      <w:r w:rsidR="00DB6C88" w:rsidRPr="00A9356E">
        <w:rPr>
          <w:rFonts w:ascii="Arial" w:hAnsi="Arial"/>
          <w:sz w:val="22"/>
        </w:rPr>
        <w:t>Č</w:t>
      </w:r>
      <w:r w:rsidR="005E6EBC">
        <w:rPr>
          <w:rFonts w:ascii="Arial" w:hAnsi="Arial"/>
          <w:sz w:val="22"/>
        </w:rPr>
        <w:t>eské republice</w:t>
      </w:r>
      <w:r w:rsidR="00DB6C88" w:rsidRPr="00215993">
        <w:rPr>
          <w:rFonts w:ascii="Arial" w:hAnsi="Arial"/>
          <w:sz w:val="22"/>
        </w:rPr>
        <w:t xml:space="preserve"> dosaženo</w:t>
      </w:r>
      <w:r w:rsidR="00DB6C88" w:rsidRPr="00A9356E">
        <w:rPr>
          <w:rFonts w:ascii="Arial" w:hAnsi="Arial"/>
          <w:sz w:val="22"/>
        </w:rPr>
        <w:t>. Při stanovení této strategie a očekávaných hlavních výsledků se</w:t>
      </w:r>
      <w:r w:rsidR="00ED16AC" w:rsidRPr="00A9356E">
        <w:rPr>
          <w:rFonts w:ascii="Arial" w:hAnsi="Arial"/>
          <w:sz w:val="22"/>
        </w:rPr>
        <w:t xml:space="preserve"> bude vycházet </w:t>
      </w:r>
      <w:r w:rsidR="005E6EBC">
        <w:rPr>
          <w:rFonts w:ascii="Arial" w:hAnsi="Arial"/>
          <w:sz w:val="22"/>
        </w:rPr>
        <w:t>jak z různých strategických dokumentů, tak z </w:t>
      </w:r>
      <w:r w:rsidR="00404349">
        <w:rPr>
          <w:rFonts w:ascii="Arial" w:hAnsi="Arial"/>
          <w:sz w:val="22"/>
        </w:rPr>
        <w:t>níže</w:t>
      </w:r>
      <w:r w:rsidR="005E6EBC">
        <w:rPr>
          <w:rFonts w:ascii="Arial" w:hAnsi="Arial"/>
          <w:sz w:val="22"/>
        </w:rPr>
        <w:t xml:space="preserve"> zmíněného konceptu intervenční logiky. Co se týče </w:t>
      </w:r>
      <w:r w:rsidR="003644B7">
        <w:rPr>
          <w:rFonts w:ascii="Arial" w:hAnsi="Arial"/>
          <w:sz w:val="22"/>
        </w:rPr>
        <w:t xml:space="preserve">výchozích </w:t>
      </w:r>
      <w:r w:rsidR="005E6EBC">
        <w:rPr>
          <w:rFonts w:ascii="Arial" w:hAnsi="Arial"/>
          <w:sz w:val="22"/>
        </w:rPr>
        <w:t xml:space="preserve">strategií, jedná se </w:t>
      </w:r>
      <w:r w:rsidR="00ED16AC" w:rsidRPr="00A9356E">
        <w:rPr>
          <w:rFonts w:ascii="Arial" w:hAnsi="Arial"/>
          <w:sz w:val="22"/>
        </w:rPr>
        <w:t xml:space="preserve">především </w:t>
      </w:r>
      <w:r w:rsidR="005E6EBC">
        <w:rPr>
          <w:rFonts w:ascii="Arial" w:hAnsi="Arial"/>
          <w:sz w:val="22"/>
        </w:rPr>
        <w:t>o</w:t>
      </w:r>
      <w:r w:rsidR="00DB6C88" w:rsidRPr="00A9356E">
        <w:rPr>
          <w:rFonts w:ascii="Arial" w:hAnsi="Arial"/>
          <w:sz w:val="22"/>
        </w:rPr>
        <w:t> </w:t>
      </w:r>
      <w:r w:rsidR="00ED16AC" w:rsidRPr="00A9356E">
        <w:rPr>
          <w:rFonts w:ascii="Arial" w:hAnsi="Arial"/>
          <w:sz w:val="22"/>
        </w:rPr>
        <w:t>NKR</w:t>
      </w:r>
      <w:r w:rsidR="00DB6C88" w:rsidRPr="00A9356E">
        <w:rPr>
          <w:rFonts w:ascii="Arial" w:hAnsi="Arial"/>
          <w:sz w:val="22"/>
        </w:rPr>
        <w:t>,</w:t>
      </w:r>
      <w:r w:rsidR="00ED16AC" w:rsidRPr="00A9356E">
        <w:rPr>
          <w:rFonts w:ascii="Arial" w:hAnsi="Arial"/>
          <w:sz w:val="22"/>
        </w:rPr>
        <w:t xml:space="preserve"> jakožto klíčov</w:t>
      </w:r>
      <w:r w:rsidR="00404349">
        <w:rPr>
          <w:rFonts w:ascii="Arial" w:hAnsi="Arial"/>
          <w:sz w:val="22"/>
        </w:rPr>
        <w:t>ý</w:t>
      </w:r>
      <w:r w:rsidR="00ED16AC" w:rsidRPr="00A9356E">
        <w:rPr>
          <w:rFonts w:ascii="Arial" w:hAnsi="Arial"/>
          <w:sz w:val="22"/>
        </w:rPr>
        <w:t xml:space="preserve"> strategick</w:t>
      </w:r>
      <w:r w:rsidR="00404349">
        <w:rPr>
          <w:rFonts w:ascii="Arial" w:hAnsi="Arial"/>
          <w:sz w:val="22"/>
        </w:rPr>
        <w:t>ý</w:t>
      </w:r>
      <w:r w:rsidR="00ED16AC" w:rsidRPr="00A9356E">
        <w:rPr>
          <w:rFonts w:ascii="Arial" w:hAnsi="Arial"/>
          <w:sz w:val="22"/>
        </w:rPr>
        <w:t xml:space="preserve"> dokument identifikující potřeby rozvoje ČR, </w:t>
      </w:r>
      <w:r w:rsidR="00DB6C88" w:rsidRPr="00A9356E">
        <w:rPr>
          <w:rFonts w:ascii="Arial" w:hAnsi="Arial"/>
          <w:sz w:val="22"/>
        </w:rPr>
        <w:t>dále pak</w:t>
      </w:r>
      <w:r w:rsidR="00EE0499">
        <w:rPr>
          <w:rFonts w:ascii="Arial" w:hAnsi="Arial"/>
          <w:sz w:val="22"/>
        </w:rPr>
        <w:t xml:space="preserve"> </w:t>
      </w:r>
      <w:r w:rsidR="00404349">
        <w:rPr>
          <w:rFonts w:ascii="Arial" w:hAnsi="Arial"/>
          <w:sz w:val="22"/>
        </w:rPr>
        <w:t>o</w:t>
      </w:r>
      <w:r w:rsidR="00DB6C88" w:rsidRPr="00A9356E">
        <w:rPr>
          <w:rFonts w:ascii="Arial" w:hAnsi="Arial"/>
          <w:sz w:val="22"/>
        </w:rPr>
        <w:t xml:space="preserve"> </w:t>
      </w:r>
      <w:r w:rsidR="00ED16AC" w:rsidRPr="00A9356E">
        <w:rPr>
          <w:rFonts w:ascii="Arial" w:hAnsi="Arial"/>
          <w:sz w:val="22"/>
        </w:rPr>
        <w:t>Strategi</w:t>
      </w:r>
      <w:r w:rsidR="00404349">
        <w:rPr>
          <w:rFonts w:ascii="Arial" w:hAnsi="Arial"/>
          <w:sz w:val="22"/>
        </w:rPr>
        <w:t>i</w:t>
      </w:r>
      <w:r w:rsidR="00ED16AC" w:rsidRPr="00A9356E">
        <w:rPr>
          <w:rFonts w:ascii="Arial" w:hAnsi="Arial"/>
          <w:sz w:val="22"/>
        </w:rPr>
        <w:t xml:space="preserve"> regionálního rozvoje, Digitální Česk</w:t>
      </w:r>
      <w:r w:rsidR="00404349">
        <w:rPr>
          <w:rFonts w:ascii="Arial" w:hAnsi="Arial"/>
          <w:sz w:val="22"/>
        </w:rPr>
        <w:t>o</w:t>
      </w:r>
      <w:r w:rsidR="00ED16AC" w:rsidRPr="00A9356E">
        <w:rPr>
          <w:rFonts w:ascii="Arial" w:hAnsi="Arial"/>
          <w:sz w:val="22"/>
        </w:rPr>
        <w:t>, Inovační strategi</w:t>
      </w:r>
      <w:r w:rsidR="00404349">
        <w:rPr>
          <w:rFonts w:ascii="Arial" w:hAnsi="Arial"/>
          <w:sz w:val="22"/>
        </w:rPr>
        <w:t>i</w:t>
      </w:r>
      <w:r w:rsidR="00ED16AC" w:rsidRPr="00A9356E">
        <w:rPr>
          <w:rFonts w:ascii="Arial" w:hAnsi="Arial"/>
          <w:sz w:val="22"/>
        </w:rPr>
        <w:t xml:space="preserve"> ČR</w:t>
      </w:r>
      <w:r w:rsidR="00A10096">
        <w:rPr>
          <w:rFonts w:ascii="Arial" w:hAnsi="Arial"/>
          <w:sz w:val="22"/>
        </w:rPr>
        <w:t>, Strategii inteligentní specializace</w:t>
      </w:r>
      <w:r w:rsidR="00ED16AC" w:rsidRPr="00A9356E">
        <w:rPr>
          <w:rFonts w:ascii="Arial" w:hAnsi="Arial"/>
          <w:sz w:val="22"/>
        </w:rPr>
        <w:t xml:space="preserve"> a další národní strategi</w:t>
      </w:r>
      <w:r w:rsidR="00404349">
        <w:rPr>
          <w:rFonts w:ascii="Arial" w:hAnsi="Arial"/>
          <w:sz w:val="22"/>
        </w:rPr>
        <w:t>e</w:t>
      </w:r>
      <w:r w:rsidR="00ED16AC" w:rsidRPr="00A9356E">
        <w:rPr>
          <w:rFonts w:ascii="Arial" w:hAnsi="Arial"/>
          <w:sz w:val="22"/>
        </w:rPr>
        <w:t>.</w:t>
      </w:r>
      <w:r w:rsidR="00DB6C88" w:rsidRPr="00A9356E">
        <w:rPr>
          <w:rFonts w:ascii="Arial" w:hAnsi="Arial"/>
          <w:sz w:val="22"/>
        </w:rPr>
        <w:t xml:space="preserve"> </w:t>
      </w:r>
      <w:r w:rsidR="0018626B" w:rsidRPr="00A9356E">
        <w:rPr>
          <w:rFonts w:ascii="Arial" w:hAnsi="Arial"/>
          <w:sz w:val="22"/>
        </w:rPr>
        <w:t xml:space="preserve">DoP bude </w:t>
      </w:r>
      <w:r w:rsidR="003644B7" w:rsidRPr="003E6CBD">
        <w:rPr>
          <w:rFonts w:ascii="Arial" w:hAnsi="Arial"/>
          <w:sz w:val="22"/>
        </w:rPr>
        <w:t>rovněž</w:t>
      </w:r>
      <w:r w:rsidR="003644B7" w:rsidRPr="003644B7">
        <w:rPr>
          <w:rFonts w:ascii="Arial" w:hAnsi="Arial"/>
          <w:sz w:val="22"/>
        </w:rPr>
        <w:t xml:space="preserve"> </w:t>
      </w:r>
      <w:r w:rsidR="0018626B" w:rsidRPr="00A9356E">
        <w:rPr>
          <w:rFonts w:ascii="Arial" w:hAnsi="Arial"/>
          <w:sz w:val="22"/>
        </w:rPr>
        <w:t xml:space="preserve">mimo jiné obsahovat rozdělení alokace </w:t>
      </w:r>
      <w:r w:rsidR="003644B7">
        <w:rPr>
          <w:rFonts w:ascii="Arial" w:hAnsi="Arial"/>
          <w:sz w:val="22"/>
        </w:rPr>
        <w:t>přidělené České republice</w:t>
      </w:r>
      <w:r w:rsidR="0018626B" w:rsidRPr="00215993">
        <w:rPr>
          <w:rFonts w:ascii="Arial" w:hAnsi="Arial"/>
          <w:sz w:val="22"/>
        </w:rPr>
        <w:t xml:space="preserve"> </w:t>
      </w:r>
      <w:r w:rsidR="0018626B" w:rsidRPr="00A9356E">
        <w:rPr>
          <w:rFonts w:ascii="Arial" w:hAnsi="Arial"/>
          <w:sz w:val="22"/>
        </w:rPr>
        <w:t xml:space="preserve">mezi jednotlivé operační programy a pět cílů politiky soudržnosti. </w:t>
      </w:r>
      <w:r w:rsidR="00393220">
        <w:rPr>
          <w:rFonts w:ascii="Arial" w:hAnsi="Arial"/>
          <w:sz w:val="22"/>
        </w:rPr>
        <w:t xml:space="preserve">DoP je připravována v těsné provázanosti s přípravou </w:t>
      </w:r>
      <w:r w:rsidR="00393220" w:rsidRPr="00590FD1">
        <w:rPr>
          <w:rFonts w:ascii="Arial" w:hAnsi="Arial"/>
          <w:b/>
          <w:sz w:val="22"/>
        </w:rPr>
        <w:t>operačních programů</w:t>
      </w:r>
      <w:r w:rsidR="00393220">
        <w:rPr>
          <w:rFonts w:ascii="Arial" w:hAnsi="Arial"/>
          <w:sz w:val="22"/>
        </w:rPr>
        <w:t xml:space="preserve">, které detailněji rozpracovávají věcné oblasti podpory, včetně nastavení implementačních mechanismů. </w:t>
      </w:r>
    </w:p>
    <w:p w:rsidR="00C554C4" w:rsidRPr="00065E03" w:rsidRDefault="00C554C4" w:rsidP="00C554C4">
      <w:pPr>
        <w:spacing w:after="120"/>
        <w:rPr>
          <w:sz w:val="22"/>
          <w:szCs w:val="22"/>
        </w:rPr>
      </w:pPr>
      <w:r>
        <w:rPr>
          <w:sz w:val="22"/>
        </w:rPr>
        <w:t xml:space="preserve">Pro správné nastavení strategie podpory, cílů a mechanismů dosažení těchto cílů v jednotlivých věcných oblastech je využit koncept tzv. </w:t>
      </w:r>
      <w:r w:rsidRPr="00A9356E">
        <w:rPr>
          <w:b/>
          <w:sz w:val="22"/>
        </w:rPr>
        <w:t>intervenční logiky</w:t>
      </w:r>
      <w:r>
        <w:rPr>
          <w:sz w:val="22"/>
        </w:rPr>
        <w:t xml:space="preserve">. Tím je </w:t>
      </w:r>
      <w:r w:rsidRPr="00065E03">
        <w:rPr>
          <w:sz w:val="22"/>
          <w:szCs w:val="22"/>
        </w:rPr>
        <w:t>pro tento účel chápána vzájemná provázanost identifikovaných problémů nebo příležitostí, definovaných cílů a navrhovaných opatření a aktivit k dosažení těchto cílů</w:t>
      </w:r>
      <w:r w:rsidR="00F55929">
        <w:rPr>
          <w:sz w:val="22"/>
          <w:szCs w:val="22"/>
        </w:rPr>
        <w:t>.</w:t>
      </w:r>
      <w:r w:rsidRPr="00065E03">
        <w:rPr>
          <w:sz w:val="22"/>
          <w:szCs w:val="22"/>
        </w:rPr>
        <w:t xml:space="preserve"> Intervenční logika je </w:t>
      </w:r>
      <w:r w:rsidR="00F55929">
        <w:rPr>
          <w:sz w:val="22"/>
          <w:szCs w:val="22"/>
        </w:rPr>
        <w:t>řešena</w:t>
      </w:r>
      <w:r w:rsidRPr="00065E03">
        <w:rPr>
          <w:sz w:val="22"/>
          <w:szCs w:val="22"/>
        </w:rPr>
        <w:t xml:space="preserve"> ze strany řídicích orgánů v rámci přípravy operačních programů na úrovni specifických cílů politiky soudržnosti obsažených v návrzích nařízení k politice soudržnosti pro programové období 2021–2027. </w:t>
      </w:r>
      <w:r w:rsidR="00F55929">
        <w:rPr>
          <w:sz w:val="22"/>
          <w:szCs w:val="22"/>
        </w:rPr>
        <w:t>Je intenzivně komunikována s MMR-NOK jako gestor</w:t>
      </w:r>
      <w:r w:rsidR="00DE4A37">
        <w:rPr>
          <w:sz w:val="22"/>
          <w:szCs w:val="22"/>
        </w:rPr>
        <w:t>em</w:t>
      </w:r>
      <w:r w:rsidR="00F55929">
        <w:rPr>
          <w:sz w:val="22"/>
          <w:szCs w:val="22"/>
        </w:rPr>
        <w:t xml:space="preserve"> DoP. </w:t>
      </w:r>
      <w:r w:rsidRPr="00065E03">
        <w:rPr>
          <w:sz w:val="22"/>
          <w:szCs w:val="22"/>
        </w:rPr>
        <w:t>Z intervenční logiky b</w:t>
      </w:r>
      <w:r w:rsidR="00F55929">
        <w:rPr>
          <w:sz w:val="22"/>
          <w:szCs w:val="22"/>
        </w:rPr>
        <w:t>ude</w:t>
      </w:r>
      <w:r w:rsidRPr="00065E03">
        <w:rPr>
          <w:sz w:val="22"/>
          <w:szCs w:val="22"/>
        </w:rPr>
        <w:t xml:space="preserve"> vycházet nastavení indikátorové soustavy, resp. </w:t>
      </w:r>
      <w:r w:rsidR="00EA739F">
        <w:rPr>
          <w:sz w:val="22"/>
          <w:szCs w:val="22"/>
        </w:rPr>
        <w:t>f</w:t>
      </w:r>
      <w:r w:rsidR="00DE4A37">
        <w:rPr>
          <w:sz w:val="22"/>
          <w:szCs w:val="22"/>
        </w:rPr>
        <w:t xml:space="preserve">inančních a věcných </w:t>
      </w:r>
      <w:r w:rsidRPr="00065E03">
        <w:rPr>
          <w:sz w:val="22"/>
          <w:szCs w:val="22"/>
        </w:rPr>
        <w:t xml:space="preserve">indikátorů jednotlivých SC OP. </w:t>
      </w:r>
      <w:r w:rsidR="00DE4A37">
        <w:rPr>
          <w:sz w:val="22"/>
          <w:szCs w:val="22"/>
        </w:rPr>
        <w:t xml:space="preserve">Indikátory budou obsahovat stanovení výchozích a především cílových hodnot, jichž má být prostřednictvím </w:t>
      </w:r>
      <w:r w:rsidR="008C143C">
        <w:rPr>
          <w:sz w:val="22"/>
          <w:szCs w:val="22"/>
        </w:rPr>
        <w:t>fondů EU</w:t>
      </w:r>
      <w:r w:rsidR="00DE4A37">
        <w:rPr>
          <w:sz w:val="22"/>
          <w:szCs w:val="22"/>
        </w:rPr>
        <w:t xml:space="preserve"> dosaženo.</w:t>
      </w:r>
      <w:r w:rsidRPr="00065E03">
        <w:rPr>
          <w:sz w:val="22"/>
          <w:szCs w:val="22"/>
        </w:rPr>
        <w:t xml:space="preserve"> Intervenční logika </w:t>
      </w:r>
      <w:r w:rsidR="00DE4A37">
        <w:rPr>
          <w:sz w:val="22"/>
          <w:szCs w:val="22"/>
        </w:rPr>
        <w:t xml:space="preserve">tak </w:t>
      </w:r>
      <w:r w:rsidRPr="00065E03">
        <w:rPr>
          <w:sz w:val="22"/>
          <w:szCs w:val="22"/>
        </w:rPr>
        <w:t>bude rovněž využita pro definování očekávaných hlavních výsledků Dohody o partnerství</w:t>
      </w:r>
      <w:r w:rsidR="00DE4A37">
        <w:rPr>
          <w:sz w:val="22"/>
          <w:szCs w:val="22"/>
        </w:rPr>
        <w:t xml:space="preserve"> ze strany MMR-NOK</w:t>
      </w:r>
      <w:r w:rsidRPr="00065E03">
        <w:rPr>
          <w:sz w:val="22"/>
          <w:szCs w:val="22"/>
        </w:rPr>
        <w:t>.</w:t>
      </w:r>
    </w:p>
    <w:p w:rsidR="00ED16AC" w:rsidRPr="008B44CF" w:rsidRDefault="009E3951" w:rsidP="00A9356E">
      <w:pPr>
        <w:pStyle w:val="Odstavecseseznamem"/>
        <w:ind w:left="0" w:firstLine="0"/>
        <w:rPr>
          <w:rFonts w:ascii="Arial" w:eastAsia="Times New Roman" w:hAnsi="Arial"/>
          <w:b/>
          <w:bCs/>
          <w:color w:val="002060"/>
          <w:sz w:val="28"/>
          <w:szCs w:val="28"/>
        </w:rPr>
      </w:pPr>
      <w:r w:rsidRPr="008B44CF">
        <w:rPr>
          <w:rFonts w:ascii="Arial" w:eastAsia="Times New Roman" w:hAnsi="Arial"/>
          <w:b/>
          <w:bCs/>
          <w:color w:val="002060"/>
          <w:sz w:val="28"/>
          <w:szCs w:val="28"/>
        </w:rPr>
        <w:t>Jednotný národní rámec pravidel</w:t>
      </w:r>
    </w:p>
    <w:p w:rsidR="00783821" w:rsidRPr="00A9356E" w:rsidRDefault="005E27BA" w:rsidP="00783821">
      <w:pPr>
        <w:spacing w:after="120"/>
        <w:rPr>
          <w:color w:val="000000"/>
          <w:sz w:val="22"/>
        </w:rPr>
      </w:pPr>
      <w:r w:rsidRPr="00BE32BD">
        <w:rPr>
          <w:sz w:val="22"/>
        </w:rPr>
        <w:t>Jednotný národní rámec pravidel a postupů</w:t>
      </w:r>
      <w:r w:rsidR="00783821" w:rsidRPr="00A9356E">
        <w:rPr>
          <w:sz w:val="22"/>
        </w:rPr>
        <w:t xml:space="preserve"> </w:t>
      </w:r>
      <w:r w:rsidR="00783821" w:rsidRPr="00BE32BD">
        <w:rPr>
          <w:rFonts w:eastAsia="Times New Roman"/>
          <w:color w:val="000000"/>
          <w:sz w:val="22"/>
          <w:lang w:eastAsia="cs-CZ"/>
        </w:rPr>
        <w:t>v rámci Evropského fondu pro regionální rozvoj, Evropského sociálního fondu</w:t>
      </w:r>
      <w:r w:rsidR="00EE0499">
        <w:rPr>
          <w:rFonts w:eastAsia="Times New Roman"/>
          <w:color w:val="000000"/>
          <w:sz w:val="22"/>
          <w:lang w:eastAsia="cs-CZ"/>
        </w:rPr>
        <w:t xml:space="preserve"> plus</w:t>
      </w:r>
      <w:r w:rsidR="00783821" w:rsidRPr="00BE32BD">
        <w:rPr>
          <w:rFonts w:eastAsia="Times New Roman"/>
          <w:color w:val="000000"/>
          <w:sz w:val="22"/>
          <w:lang w:eastAsia="cs-CZ"/>
        </w:rPr>
        <w:t>, Fondu soudržnosti a Evropského námořního a rybářského fondu v programovém období 2021-2027</w:t>
      </w:r>
      <w:r w:rsidR="00783821" w:rsidRPr="00A9356E">
        <w:rPr>
          <w:rFonts w:eastAsia="Times New Roman"/>
          <w:color w:val="000000"/>
          <w:sz w:val="22"/>
          <w:lang w:eastAsia="cs-CZ"/>
        </w:rPr>
        <w:t xml:space="preserve"> (JNR)</w:t>
      </w:r>
      <w:r w:rsidR="00783821" w:rsidRPr="00A9356E">
        <w:rPr>
          <w:sz w:val="22"/>
        </w:rPr>
        <w:t xml:space="preserve"> byl schválen </w:t>
      </w:r>
      <w:r w:rsidR="00721A95">
        <w:rPr>
          <w:sz w:val="22"/>
        </w:rPr>
        <w:t>u</w:t>
      </w:r>
      <w:r w:rsidR="00EE0499">
        <w:rPr>
          <w:sz w:val="22"/>
        </w:rPr>
        <w:t xml:space="preserve">snesením </w:t>
      </w:r>
      <w:r w:rsidR="00721A95">
        <w:rPr>
          <w:sz w:val="22"/>
        </w:rPr>
        <w:t>V</w:t>
      </w:r>
      <w:r w:rsidR="000C0066">
        <w:rPr>
          <w:sz w:val="22"/>
        </w:rPr>
        <w:t xml:space="preserve">lády </w:t>
      </w:r>
      <w:r w:rsidR="00EE0499">
        <w:rPr>
          <w:sz w:val="22"/>
        </w:rPr>
        <w:t>ČR ze dne</w:t>
      </w:r>
      <w:r w:rsidR="00EE0499" w:rsidRPr="00A9356E">
        <w:rPr>
          <w:sz w:val="22"/>
        </w:rPr>
        <w:t xml:space="preserve"> </w:t>
      </w:r>
      <w:r w:rsidR="00783821" w:rsidRPr="00A9356E">
        <w:rPr>
          <w:sz w:val="22"/>
        </w:rPr>
        <w:t>29. 4. 2019</w:t>
      </w:r>
      <w:r w:rsidR="00721A95" w:rsidRPr="00721A95">
        <w:rPr>
          <w:sz w:val="22"/>
        </w:rPr>
        <w:t xml:space="preserve"> </w:t>
      </w:r>
      <w:r w:rsidR="00721A95">
        <w:rPr>
          <w:sz w:val="22"/>
        </w:rPr>
        <w:t>č. 284</w:t>
      </w:r>
      <w:r w:rsidR="00783821" w:rsidRPr="00A9356E">
        <w:rPr>
          <w:sz w:val="22"/>
        </w:rPr>
        <w:t xml:space="preserve">. Cílem JNR je vytvoření souboru pravidel, který přispěje k efektivnímu systému podpory z EU fondů v období 2021-2027 </w:t>
      </w:r>
      <w:r w:rsidR="00783821" w:rsidRPr="00A9356E">
        <w:rPr>
          <w:color w:val="000000"/>
          <w:sz w:val="22"/>
        </w:rPr>
        <w:t xml:space="preserve">a který se zaměří na problematické oblasti systému implementace identifikované v rámci programového období 2014-2020. Zásadní důraz je kladen na zajištění kontinuity a tím stability celého systému v procesech, kde je to odůvodněné (požadavky nařízení EU a národní legislativy, zjednodušení pro příjemce apod.). </w:t>
      </w:r>
    </w:p>
    <w:p w:rsidR="00125B11" w:rsidRDefault="00967DE6" w:rsidP="00783821">
      <w:pPr>
        <w:spacing w:after="120"/>
        <w:rPr>
          <w:color w:val="000000"/>
          <w:sz w:val="22"/>
        </w:rPr>
      </w:pPr>
      <w:r w:rsidRPr="00A9356E">
        <w:rPr>
          <w:color w:val="000000"/>
          <w:sz w:val="22"/>
        </w:rPr>
        <w:t xml:space="preserve">Jednotná pravidla by měla napomoci </w:t>
      </w:r>
      <w:r w:rsidRPr="00A9356E">
        <w:rPr>
          <w:rFonts w:eastAsia="Arial"/>
          <w:sz w:val="22"/>
        </w:rPr>
        <w:t>odklonu od „prostého“ čerpání ke kvalitě a přidané hodnotě výstupů a výsledků, s důrazem na strategické plánování a vyhodnocování, zefektivnění systému řízení, včetně jeho zjednodušení, posílení principu partnerství a dosažení předem stanovených cílů</w:t>
      </w:r>
      <w:r w:rsidR="00125B11">
        <w:rPr>
          <w:rFonts w:eastAsia="Arial"/>
          <w:sz w:val="22"/>
        </w:rPr>
        <w:t>.</w:t>
      </w:r>
      <w:r w:rsidR="00125B11" w:rsidRPr="00125B11">
        <w:rPr>
          <w:color w:val="000000"/>
          <w:sz w:val="22"/>
        </w:rPr>
        <w:t xml:space="preserve"> </w:t>
      </w:r>
    </w:p>
    <w:p w:rsidR="00967DE6" w:rsidRPr="00A9356E" w:rsidRDefault="00125B11" w:rsidP="00783821">
      <w:pPr>
        <w:spacing w:after="120"/>
        <w:rPr>
          <w:color w:val="000000"/>
          <w:sz w:val="22"/>
        </w:rPr>
      </w:pPr>
      <w:r w:rsidRPr="00A9356E">
        <w:rPr>
          <w:color w:val="000000"/>
          <w:sz w:val="22"/>
        </w:rPr>
        <w:t>Metodické dokumenty budou rozděleny na závazné metodické pokyny a doporučující příručky. Rozsah závazných metodických pokynů bude optimalizován s cílem pokrytí pouze klíčových a zásadních pravidel nezbytných pro zajištění řádné implementace EU fondů. Doporučující příručky budou obsahovat nezávazná doporučení, návody a příklady dobré praxe.</w:t>
      </w:r>
    </w:p>
    <w:p w:rsidR="00EB49DF" w:rsidRDefault="00A9356E" w:rsidP="00254F4C">
      <w:pPr>
        <w:pStyle w:val="Nadpis2"/>
        <w:numPr>
          <w:ilvl w:val="1"/>
          <w:numId w:val="9"/>
        </w:numPr>
        <w:spacing w:line="240" w:lineRule="auto"/>
        <w:ind w:left="425" w:hanging="431"/>
        <w:jc w:val="left"/>
      </w:pPr>
      <w:bookmarkStart w:id="97" w:name="_Toc13828232"/>
      <w:r>
        <w:t>Územně-specifický přístup</w:t>
      </w:r>
      <w:bookmarkEnd w:id="97"/>
      <w:r w:rsidRPr="00A9356E">
        <w:rPr>
          <w:color w:val="000000"/>
          <w:sz w:val="22"/>
        </w:rPr>
        <w:t xml:space="preserve"> </w:t>
      </w:r>
      <w:bookmarkEnd w:id="95"/>
    </w:p>
    <w:p w:rsidR="00B90CA5" w:rsidRPr="009E3951" w:rsidRDefault="00B90CA5" w:rsidP="00B90CA5">
      <w:pPr>
        <w:rPr>
          <w:sz w:val="22"/>
          <w:szCs w:val="22"/>
        </w:rPr>
      </w:pPr>
      <w:r w:rsidRPr="009E3951">
        <w:rPr>
          <w:sz w:val="22"/>
          <w:szCs w:val="22"/>
        </w:rPr>
        <w:t xml:space="preserve">Tam, kde bude identifikována u jednotlivých témat, resp. SC návrhu OP, potřeba zohlednit územní rozměr pro jednotlivá opatření, tam zvolí ŘO nástroj nebo více nástrojů </w:t>
      </w:r>
      <w:r w:rsidR="005E008C" w:rsidRPr="009E3951">
        <w:rPr>
          <w:sz w:val="22"/>
          <w:szCs w:val="22"/>
        </w:rPr>
        <w:t xml:space="preserve">pro </w:t>
      </w:r>
      <w:r w:rsidRPr="009E3951">
        <w:rPr>
          <w:sz w:val="22"/>
          <w:szCs w:val="22"/>
        </w:rPr>
        <w:t xml:space="preserve">uplatnění </w:t>
      </w:r>
      <w:r w:rsidR="005E008C" w:rsidRPr="009E3951">
        <w:rPr>
          <w:sz w:val="22"/>
          <w:szCs w:val="22"/>
        </w:rPr>
        <w:t>územně-specifického přístupu</w:t>
      </w:r>
      <w:r w:rsidRPr="009E3951">
        <w:rPr>
          <w:sz w:val="22"/>
          <w:szCs w:val="22"/>
        </w:rPr>
        <w:t>.</w:t>
      </w:r>
    </w:p>
    <w:p w:rsidR="00B90CA5" w:rsidRPr="009E3951" w:rsidRDefault="00B90CA5" w:rsidP="00B90CA5">
      <w:pPr>
        <w:rPr>
          <w:sz w:val="22"/>
          <w:szCs w:val="22"/>
        </w:rPr>
      </w:pPr>
      <w:r w:rsidRPr="009E3951">
        <w:rPr>
          <w:sz w:val="22"/>
          <w:szCs w:val="22"/>
        </w:rPr>
        <w:t xml:space="preserve">K uplatnění </w:t>
      </w:r>
      <w:r w:rsidR="005E008C" w:rsidRPr="009E3951">
        <w:rPr>
          <w:sz w:val="22"/>
          <w:szCs w:val="22"/>
        </w:rPr>
        <w:t>takového přístupu</w:t>
      </w:r>
      <w:r w:rsidRPr="009E3951">
        <w:rPr>
          <w:sz w:val="22"/>
          <w:szCs w:val="22"/>
        </w:rPr>
        <w:t xml:space="preserve"> v OP má ŘO na výběr z několika přístupů (řazených dle úrovně komplexnosti):</w:t>
      </w:r>
    </w:p>
    <w:p w:rsidR="00B90CA5" w:rsidRPr="009E3951" w:rsidRDefault="00B90CA5" w:rsidP="00254F4C">
      <w:pPr>
        <w:pStyle w:val="Odstavecseseznamem"/>
        <w:numPr>
          <w:ilvl w:val="0"/>
          <w:numId w:val="22"/>
        </w:numPr>
        <w:rPr>
          <w:rFonts w:ascii="Arial" w:hAnsi="Arial"/>
          <w:sz w:val="22"/>
          <w:szCs w:val="22"/>
        </w:rPr>
      </w:pPr>
      <w:r w:rsidRPr="009E3951">
        <w:rPr>
          <w:rFonts w:ascii="Arial" w:hAnsi="Arial"/>
          <w:sz w:val="22"/>
          <w:szCs w:val="22"/>
        </w:rPr>
        <w:t>RE:START (nástroj pro strukturálně postižené regiony)</w:t>
      </w:r>
    </w:p>
    <w:p w:rsidR="00B223F4" w:rsidRPr="009E3951" w:rsidRDefault="00B223F4" w:rsidP="00A9356E">
      <w:pPr>
        <w:rPr>
          <w:sz w:val="22"/>
          <w:szCs w:val="22"/>
        </w:rPr>
      </w:pPr>
      <w:r w:rsidRPr="009E3951">
        <w:rPr>
          <w:sz w:val="22"/>
          <w:szCs w:val="22"/>
        </w:rPr>
        <w:t>Jedná se především o velká restrukturalizační opatření iniciovaná zejména z národní úrovně za spolupráce dotčených krajů (Karlovarský, Moravskoslezský, Ústecký) zahrnutých do programu sociální a hospodářské restrukturalizace RE:START. Případně realizovaných také za pomocí specifických výzev.</w:t>
      </w:r>
    </w:p>
    <w:p w:rsidR="00B90CA5" w:rsidRPr="009E3951" w:rsidRDefault="00B90CA5" w:rsidP="00254F4C">
      <w:pPr>
        <w:pStyle w:val="Odstavecseseznamem"/>
        <w:numPr>
          <w:ilvl w:val="0"/>
          <w:numId w:val="22"/>
        </w:numPr>
        <w:rPr>
          <w:rFonts w:ascii="Arial" w:hAnsi="Arial"/>
          <w:sz w:val="22"/>
          <w:szCs w:val="22"/>
        </w:rPr>
      </w:pPr>
      <w:r w:rsidRPr="009E3951">
        <w:rPr>
          <w:rFonts w:ascii="Arial" w:hAnsi="Arial"/>
          <w:sz w:val="22"/>
          <w:szCs w:val="22"/>
        </w:rPr>
        <w:t>INTEGROVANÉ NÁSTROJE (ITI a CLLD)</w:t>
      </w:r>
    </w:p>
    <w:p w:rsidR="00B223F4" w:rsidRPr="009E3951" w:rsidRDefault="00B223F4" w:rsidP="00A9356E">
      <w:pPr>
        <w:rPr>
          <w:sz w:val="22"/>
          <w:szCs w:val="22"/>
        </w:rPr>
      </w:pPr>
      <w:r w:rsidRPr="009E3951">
        <w:rPr>
          <w:sz w:val="22"/>
          <w:szCs w:val="22"/>
        </w:rPr>
        <w:t>Jedná se o územní nástroje dle nařízení EK, realizované na základě tzv. integrovaných strategií, jejichž implementace může být podpořena z více fondů a OP. V případě nástroje ITI jde také o zdroje ze zapojených městských samospráv z daného funkčního území. Integrované projekty mají vytvořit prostor pro synergické působení intervencí na území ITI. Nástroj CLLD má komunitní charakter, který je zohledněn při tvorbě strategie CLLD i výběru konkrétních operací/projektů. Je realizován na územích místních akčních skupin.</w:t>
      </w:r>
    </w:p>
    <w:p w:rsidR="00A602E2" w:rsidRDefault="00A602E2" w:rsidP="00A602E2">
      <w:pPr>
        <w:pStyle w:val="Odstavecseseznamem"/>
        <w:numPr>
          <w:ilvl w:val="0"/>
          <w:numId w:val="22"/>
        </w:numPr>
        <w:rPr>
          <w:rFonts w:ascii="Arial" w:hAnsi="Arial"/>
          <w:sz w:val="22"/>
          <w:szCs w:val="22"/>
        </w:rPr>
      </w:pPr>
      <w:r w:rsidRPr="00C433C6">
        <w:rPr>
          <w:rFonts w:ascii="Arial" w:hAnsi="Arial"/>
          <w:sz w:val="22"/>
          <w:szCs w:val="22"/>
        </w:rPr>
        <w:t xml:space="preserve">REGIONÁLNÍ AKČNÍ PLÁNY </w:t>
      </w:r>
      <w:r w:rsidR="00C433C6" w:rsidRPr="00F41D0E">
        <w:rPr>
          <w:rFonts w:ascii="Arial" w:hAnsi="Arial"/>
          <w:sz w:val="22"/>
          <w:szCs w:val="22"/>
        </w:rPr>
        <w:t xml:space="preserve">(RAP) </w:t>
      </w:r>
    </w:p>
    <w:p w:rsidR="00A602E2" w:rsidRDefault="00A602E2" w:rsidP="00A602E2">
      <w:pPr>
        <w:rPr>
          <w:sz w:val="22"/>
          <w:szCs w:val="22"/>
        </w:rPr>
      </w:pPr>
      <w:r w:rsidRPr="00F41D0E">
        <w:rPr>
          <w:sz w:val="22"/>
          <w:szCs w:val="22"/>
        </w:rPr>
        <w:t xml:space="preserve">Regionální akční plány jsou na národní úrovni jedním z intervenčních nástrojů pro využití </w:t>
      </w:r>
      <w:r w:rsidRPr="00595B5C">
        <w:rPr>
          <w:sz w:val="22"/>
          <w:szCs w:val="22"/>
        </w:rPr>
        <w:t>fondů</w:t>
      </w:r>
      <w:r w:rsidRPr="00A602E2">
        <w:rPr>
          <w:sz w:val="22"/>
          <w:szCs w:val="22"/>
        </w:rPr>
        <w:t xml:space="preserve"> </w:t>
      </w:r>
      <w:r w:rsidRPr="00F41D0E">
        <w:rPr>
          <w:sz w:val="22"/>
          <w:szCs w:val="22"/>
        </w:rPr>
        <w:t xml:space="preserve">EU v území. </w:t>
      </w:r>
      <w:r w:rsidR="00CF1C26" w:rsidRPr="005F6918">
        <w:rPr>
          <w:sz w:val="22"/>
          <w:szCs w:val="22"/>
        </w:rPr>
        <w:t xml:space="preserve">RAP zároveň </w:t>
      </w:r>
      <w:r w:rsidR="00FE1A3B">
        <w:rPr>
          <w:sz w:val="22"/>
          <w:szCs w:val="22"/>
        </w:rPr>
        <w:t>představují možnost</w:t>
      </w:r>
      <w:r w:rsidR="00CF1C26" w:rsidRPr="005F6918">
        <w:rPr>
          <w:sz w:val="22"/>
          <w:szCs w:val="22"/>
        </w:rPr>
        <w:t xml:space="preserve"> sjednotit územní přístupy jednotlivých ŘO OP.</w:t>
      </w:r>
      <w:r w:rsidR="00CF1C26">
        <w:rPr>
          <w:sz w:val="22"/>
          <w:szCs w:val="22"/>
        </w:rPr>
        <w:t xml:space="preserve"> </w:t>
      </w:r>
      <w:r w:rsidRPr="00F41D0E">
        <w:rPr>
          <w:sz w:val="22"/>
          <w:szCs w:val="22"/>
        </w:rPr>
        <w:t>Slouží k územnímu zacílení alokace na vybraná témata začleněná pod jednotlivými OP, v nichž jsou kraje vhodnou územní jednotkou pro aktivity přispívající k vyváženému rozvoj</w:t>
      </w:r>
      <w:r w:rsidR="001B1F4C">
        <w:rPr>
          <w:sz w:val="22"/>
          <w:szCs w:val="22"/>
        </w:rPr>
        <w:t>i</w:t>
      </w:r>
      <w:r w:rsidRPr="00F41D0E">
        <w:rPr>
          <w:sz w:val="22"/>
          <w:szCs w:val="22"/>
        </w:rPr>
        <w:t xml:space="preserve"> území </w:t>
      </w:r>
      <w:r w:rsidRPr="003F1658">
        <w:rPr>
          <w:sz w:val="22"/>
          <w:szCs w:val="22"/>
        </w:rPr>
        <w:t xml:space="preserve">dle zákona </w:t>
      </w:r>
      <w:r w:rsidR="003F1658" w:rsidRPr="00F15286">
        <w:rPr>
          <w:sz w:val="22"/>
          <w:szCs w:val="22"/>
        </w:rPr>
        <w:t>č. 248/2000 Sb., o podpoře regionálního rozvoje, ve znění pozdějších předpisů</w:t>
      </w:r>
      <w:r w:rsidRPr="00F41D0E">
        <w:rPr>
          <w:sz w:val="22"/>
          <w:szCs w:val="22"/>
        </w:rPr>
        <w:t xml:space="preserve"> a na základě SRR 21+ (zejména k řešení vybraných problémů regionálních center a hospodářsky a sociálně ohrožených území, rozvoj venkova, rozvoj měst).  Dále se jedná o rozvojová témata, za jejichž řešení je krajská samospráva přímo odpovědná ze zákona (regionální doprava, střední školství, zdravotnictví a </w:t>
      </w:r>
      <w:r w:rsidR="009B78CD">
        <w:rPr>
          <w:sz w:val="22"/>
          <w:szCs w:val="22"/>
        </w:rPr>
        <w:t xml:space="preserve">infrastruktura pro </w:t>
      </w:r>
      <w:r w:rsidRPr="00F41D0E">
        <w:rPr>
          <w:sz w:val="22"/>
          <w:szCs w:val="22"/>
        </w:rPr>
        <w:t>soc. služby).</w:t>
      </w:r>
      <w:r w:rsidR="00964476">
        <w:rPr>
          <w:sz w:val="22"/>
          <w:szCs w:val="22"/>
        </w:rPr>
        <w:t xml:space="preserve"> </w:t>
      </w:r>
      <w:r w:rsidR="00964476" w:rsidRPr="007430B2">
        <w:rPr>
          <w:sz w:val="22"/>
          <w:szCs w:val="22"/>
        </w:rPr>
        <w:t>V rámci platforem jednotlivých Regionálních stálých konferencí (RSK), kde jsou zastoupeni hlavní aktéři regionálního rozvoje na území daného kraje, musí nejprve dojít ke shodě na tématu k</w:t>
      </w:r>
      <w:r w:rsidR="00964476">
        <w:rPr>
          <w:sz w:val="22"/>
          <w:szCs w:val="22"/>
        </w:rPr>
        <w:t> </w:t>
      </w:r>
      <w:r w:rsidR="00964476" w:rsidRPr="007430B2">
        <w:rPr>
          <w:sz w:val="22"/>
          <w:szCs w:val="22"/>
        </w:rPr>
        <w:t>řešení</w:t>
      </w:r>
      <w:r w:rsidR="00964476">
        <w:rPr>
          <w:sz w:val="22"/>
          <w:szCs w:val="22"/>
        </w:rPr>
        <w:t xml:space="preserve"> v dané oblasti.</w:t>
      </w:r>
      <w:r w:rsidRPr="00F41D0E">
        <w:rPr>
          <w:sz w:val="22"/>
          <w:szCs w:val="22"/>
        </w:rPr>
        <w:t xml:space="preserve"> </w:t>
      </w:r>
    </w:p>
    <w:p w:rsidR="007430B2" w:rsidRPr="009E3951" w:rsidRDefault="007430B2" w:rsidP="007430B2">
      <w:pPr>
        <w:pStyle w:val="Odstavecseseznamem"/>
        <w:numPr>
          <w:ilvl w:val="0"/>
          <w:numId w:val="22"/>
        </w:numPr>
        <w:ind w:left="709"/>
        <w:rPr>
          <w:rFonts w:ascii="Arial" w:hAnsi="Arial"/>
          <w:sz w:val="22"/>
          <w:szCs w:val="22"/>
        </w:rPr>
      </w:pPr>
      <w:r w:rsidRPr="009E3951">
        <w:rPr>
          <w:rFonts w:ascii="Arial" w:hAnsi="Arial"/>
          <w:sz w:val="22"/>
          <w:szCs w:val="22"/>
        </w:rPr>
        <w:t>SPECIFICKÉ VÝZVY (výzvy, které jsou zaměřené specificky za dané téma pro určité typy území)</w:t>
      </w:r>
    </w:p>
    <w:p w:rsidR="00B223F4" w:rsidRPr="007430B2" w:rsidRDefault="00B223F4" w:rsidP="007430B2">
      <w:pPr>
        <w:rPr>
          <w:sz w:val="22"/>
          <w:szCs w:val="22"/>
        </w:rPr>
      </w:pPr>
      <w:r w:rsidRPr="007430B2">
        <w:rPr>
          <w:sz w:val="22"/>
          <w:szCs w:val="22"/>
        </w:rPr>
        <w:t>Specifické výzvy jsou pružným nástrojem, jak zareagovat na poptávku po specificky nastavených parametrech ve prospěch vybraného území. Například to může být zohlednění různých potřeb mezi jednotlivými kraji (viz např. různá rozvinutost regionálních inovačních systémů).</w:t>
      </w:r>
      <w:r w:rsidR="00CF1C26">
        <w:rPr>
          <w:sz w:val="22"/>
          <w:szCs w:val="22"/>
        </w:rPr>
        <w:t xml:space="preserve"> </w:t>
      </w:r>
      <w:r w:rsidR="00CF1C26" w:rsidRPr="005F6918">
        <w:rPr>
          <w:sz w:val="22"/>
          <w:szCs w:val="22"/>
        </w:rPr>
        <w:t>Pro projedn</w:t>
      </w:r>
      <w:r w:rsidR="00A87FC2">
        <w:rPr>
          <w:sz w:val="22"/>
          <w:szCs w:val="22"/>
        </w:rPr>
        <w:t>á</w:t>
      </w:r>
      <w:r w:rsidR="00CF1C26" w:rsidRPr="005F6918">
        <w:rPr>
          <w:sz w:val="22"/>
          <w:szCs w:val="22"/>
        </w:rPr>
        <w:t>ní specifických výzev zaměřených na konkrétní území</w:t>
      </w:r>
      <w:r w:rsidR="00CF1C26">
        <w:rPr>
          <w:sz w:val="22"/>
          <w:szCs w:val="22"/>
        </w:rPr>
        <w:t>,</w:t>
      </w:r>
      <w:r w:rsidR="00CF1C26" w:rsidRPr="005F6918">
        <w:rPr>
          <w:sz w:val="22"/>
          <w:szCs w:val="22"/>
        </w:rPr>
        <w:t xml:space="preserve"> ŘO projedná obsah a zacílení výzev s územními partnery v rámci RSK/NSK nebo v rámci Platformy pro přípravu výzev.</w:t>
      </w:r>
      <w:r w:rsidR="00CF1C26">
        <w:rPr>
          <w:sz w:val="22"/>
          <w:szCs w:val="22"/>
        </w:rPr>
        <w:t xml:space="preserve"> </w:t>
      </w:r>
    </w:p>
    <w:p w:rsidR="00B90CA5" w:rsidRPr="009E3951" w:rsidRDefault="00B90CA5" w:rsidP="007430B2">
      <w:pPr>
        <w:pStyle w:val="Odstavecseseznamem"/>
        <w:numPr>
          <w:ilvl w:val="0"/>
          <w:numId w:val="22"/>
        </w:numPr>
        <w:rPr>
          <w:rFonts w:ascii="Arial" w:hAnsi="Arial"/>
          <w:sz w:val="22"/>
          <w:szCs w:val="22"/>
        </w:rPr>
      </w:pPr>
      <w:r w:rsidRPr="009E3951">
        <w:rPr>
          <w:rFonts w:ascii="Arial" w:hAnsi="Arial"/>
          <w:sz w:val="22"/>
          <w:szCs w:val="22"/>
        </w:rPr>
        <w:t>BONIFIKACE PROJEKTŮ (zvýhodnění projektů z určitého typu území)</w:t>
      </w:r>
    </w:p>
    <w:p w:rsidR="00B223F4" w:rsidRPr="009E3951" w:rsidRDefault="00B223F4" w:rsidP="00A9356E">
      <w:pPr>
        <w:rPr>
          <w:sz w:val="22"/>
          <w:szCs w:val="22"/>
        </w:rPr>
      </w:pPr>
      <w:r w:rsidRPr="009E3951">
        <w:rPr>
          <w:sz w:val="22"/>
          <w:szCs w:val="22"/>
        </w:rPr>
        <w:t>Bonifikace jednotlivých projektů dle místa realizace projektu může být jeden z nejméně náročných způsobů zohlednění územních specifik. Jedná se ale také o způsob omezený, co do hledání řešení (systémového, výzvy, integrovaného, dohody krajů apod.). Nastavení bonifikace zvýhodňuje žadatele v některých územích, může být vhodným řešením v</w:t>
      </w:r>
      <w:r w:rsidR="00A10096">
        <w:rPr>
          <w:sz w:val="22"/>
          <w:szCs w:val="22"/>
        </w:rPr>
        <w:t> </w:t>
      </w:r>
      <w:r w:rsidRPr="009E3951">
        <w:rPr>
          <w:sz w:val="22"/>
          <w:szCs w:val="22"/>
        </w:rPr>
        <w:t>odůvodněných případech, ale ve srovnání s ostatními územními nástroji jde o méně komplexní přístup ke konkrétním územím.</w:t>
      </w:r>
    </w:p>
    <w:p w:rsidR="00B90CA5" w:rsidRPr="009E3951" w:rsidRDefault="00B90CA5" w:rsidP="00B90CA5">
      <w:pPr>
        <w:rPr>
          <w:sz w:val="22"/>
          <w:szCs w:val="22"/>
        </w:rPr>
      </w:pPr>
      <w:r w:rsidRPr="009E3951">
        <w:rPr>
          <w:sz w:val="22"/>
          <w:szCs w:val="22"/>
        </w:rPr>
        <w:t>ŘO budoucího OP nejprve musí popsat, jaký přístup k územní dimenzi zvolí, vč. zdůvodnění volby příslušných nástrojů, a to také s náležitým odůvodněním. Tento přístup k územní dimenzi by měl být následně promítnut do Národního dokumentu k územní dimenzi nebo jeho obdobě.</w:t>
      </w:r>
    </w:p>
    <w:p w:rsidR="00B90CA5" w:rsidRPr="009E3951" w:rsidRDefault="00B90CA5" w:rsidP="00B90CA5">
      <w:pPr>
        <w:rPr>
          <w:sz w:val="22"/>
          <w:szCs w:val="22"/>
        </w:rPr>
      </w:pPr>
      <w:r w:rsidRPr="009E3951">
        <w:rPr>
          <w:sz w:val="22"/>
          <w:szCs w:val="22"/>
        </w:rPr>
        <w:t>Použití jednotlivých nástrojů, jejich vymezení, případným překryvům, vazbě k jednotlivým OP se bude věnovat samostatný dokument k územní dimenzi na národní úrovni.</w:t>
      </w:r>
      <w:r w:rsidR="00125B11" w:rsidRPr="009E3951">
        <w:rPr>
          <w:sz w:val="22"/>
          <w:szCs w:val="22"/>
        </w:rPr>
        <w:t xml:space="preserve"> K zajištění celkové podpory regionálního rozvoje (včetně národních zdrojů) a jeho monitorování by měla sloužit především nová Strategie regionálního rozvoje ČR 2021+.</w:t>
      </w:r>
    </w:p>
    <w:p w:rsidR="005A76FB" w:rsidRDefault="005A76FB" w:rsidP="00254F4C">
      <w:pPr>
        <w:pStyle w:val="Nadpis2"/>
        <w:numPr>
          <w:ilvl w:val="1"/>
          <w:numId w:val="9"/>
        </w:numPr>
        <w:spacing w:line="240" w:lineRule="auto"/>
        <w:ind w:left="425" w:hanging="431"/>
        <w:jc w:val="left"/>
      </w:pPr>
      <w:bookmarkStart w:id="98" w:name="_Toc9441694"/>
      <w:bookmarkStart w:id="99" w:name="_Toc7774241"/>
      <w:bookmarkStart w:id="100" w:name="_Toc13828233"/>
      <w:bookmarkEnd w:id="98"/>
      <w:r>
        <w:t>Rýsující se hraniční oblasti</w:t>
      </w:r>
      <w:bookmarkEnd w:id="99"/>
      <w:bookmarkEnd w:id="100"/>
    </w:p>
    <w:p w:rsidR="00BB0638" w:rsidRPr="00A9356E" w:rsidRDefault="00FD13F8" w:rsidP="00A9356E">
      <w:pPr>
        <w:rPr>
          <w:sz w:val="22"/>
          <w:szCs w:val="22"/>
        </w:rPr>
      </w:pPr>
      <w:r w:rsidRPr="00A9356E">
        <w:rPr>
          <w:sz w:val="22"/>
          <w:szCs w:val="22"/>
        </w:rPr>
        <w:t xml:space="preserve">Hraniční oblasti jsou </w:t>
      </w:r>
      <w:r w:rsidR="00BB0638" w:rsidRPr="00A9356E">
        <w:rPr>
          <w:sz w:val="22"/>
          <w:szCs w:val="22"/>
        </w:rPr>
        <w:t xml:space="preserve">zde </w:t>
      </w:r>
      <w:r w:rsidRPr="00A9356E">
        <w:rPr>
          <w:sz w:val="22"/>
          <w:szCs w:val="22"/>
        </w:rPr>
        <w:t xml:space="preserve">definovány </w:t>
      </w:r>
      <w:r w:rsidR="00BB0638" w:rsidRPr="00A9356E">
        <w:rPr>
          <w:sz w:val="22"/>
          <w:szCs w:val="22"/>
        </w:rPr>
        <w:t>zejména</w:t>
      </w:r>
      <w:r w:rsidRPr="00A9356E">
        <w:rPr>
          <w:sz w:val="22"/>
          <w:szCs w:val="22"/>
        </w:rPr>
        <w:t xml:space="preserve"> jako </w:t>
      </w:r>
      <w:r w:rsidR="00BB0638" w:rsidRPr="00A9356E">
        <w:rPr>
          <w:sz w:val="22"/>
          <w:szCs w:val="22"/>
        </w:rPr>
        <w:t xml:space="preserve">potenciální </w:t>
      </w:r>
      <w:r w:rsidRPr="00A9356E">
        <w:rPr>
          <w:sz w:val="22"/>
          <w:szCs w:val="22"/>
        </w:rPr>
        <w:t xml:space="preserve">překryvy či přesahy mezi operačními programy, tedy témata, která na sebe navazují nebo se doplňují. K dalšímu typu překryvů, návazností nebo doplňkovosti </w:t>
      </w:r>
      <w:r w:rsidR="00BB0638" w:rsidRPr="00A9356E">
        <w:rPr>
          <w:sz w:val="22"/>
          <w:szCs w:val="22"/>
        </w:rPr>
        <w:t>bude docházet</w:t>
      </w:r>
      <w:r w:rsidRPr="00A9356E">
        <w:rPr>
          <w:sz w:val="22"/>
          <w:szCs w:val="22"/>
        </w:rPr>
        <w:t xml:space="preserve"> mezi implementací národních a územních priorit, realizovaných prostřednictvím integrovaných nástrojů. </w:t>
      </w:r>
    </w:p>
    <w:p w:rsidR="00FD13F8" w:rsidRPr="00A9356E" w:rsidRDefault="00FD13F8" w:rsidP="00A9356E">
      <w:pPr>
        <w:rPr>
          <w:sz w:val="22"/>
          <w:szCs w:val="22"/>
        </w:rPr>
      </w:pPr>
      <w:r w:rsidRPr="00A9356E">
        <w:rPr>
          <w:sz w:val="22"/>
          <w:szCs w:val="22"/>
        </w:rPr>
        <w:t xml:space="preserve">Dalším typem hraničních oblastí jsou vazby mezi fondy v rámci politiky soudržnosti a jinými politikami (například </w:t>
      </w:r>
      <w:r w:rsidR="00331FC4">
        <w:rPr>
          <w:sz w:val="22"/>
          <w:szCs w:val="22"/>
        </w:rPr>
        <w:t>S</w:t>
      </w:r>
      <w:r w:rsidRPr="00A9356E">
        <w:rPr>
          <w:sz w:val="22"/>
          <w:szCs w:val="22"/>
        </w:rPr>
        <w:t xml:space="preserve">polečná zemědělská politika, unijní programy, národní dotační programy). </w:t>
      </w:r>
      <w:r w:rsidR="00D3561F" w:rsidRPr="00A9356E">
        <w:rPr>
          <w:sz w:val="22"/>
          <w:szCs w:val="22"/>
        </w:rPr>
        <w:t xml:space="preserve">Hraniční oblasti často vznikají z důvodu rozdělení kompetencí mezi více </w:t>
      </w:r>
      <w:r w:rsidR="00BB0638" w:rsidRPr="00A9356E">
        <w:rPr>
          <w:sz w:val="22"/>
          <w:szCs w:val="22"/>
        </w:rPr>
        <w:t xml:space="preserve">rezortů, potažmo </w:t>
      </w:r>
      <w:r w:rsidR="00D3561F" w:rsidRPr="00A9356E">
        <w:rPr>
          <w:sz w:val="22"/>
          <w:szCs w:val="22"/>
        </w:rPr>
        <w:t xml:space="preserve">řídicích orgánů. </w:t>
      </w:r>
      <w:r w:rsidRPr="00A9356E">
        <w:rPr>
          <w:sz w:val="22"/>
          <w:szCs w:val="22"/>
        </w:rPr>
        <w:t xml:space="preserve">Níže uvedená </w:t>
      </w:r>
      <w:r w:rsidR="00BB0638" w:rsidRPr="00A9356E">
        <w:rPr>
          <w:sz w:val="22"/>
          <w:szCs w:val="22"/>
        </w:rPr>
        <w:t>pasáž</w:t>
      </w:r>
      <w:r w:rsidRPr="00A9356E">
        <w:rPr>
          <w:sz w:val="22"/>
          <w:szCs w:val="22"/>
        </w:rPr>
        <w:t xml:space="preserve"> se zabývá </w:t>
      </w:r>
      <w:r w:rsidR="00BB0638" w:rsidRPr="00A9356E">
        <w:rPr>
          <w:sz w:val="22"/>
          <w:szCs w:val="22"/>
        </w:rPr>
        <w:t xml:space="preserve">rýsujícími se </w:t>
      </w:r>
      <w:r w:rsidRPr="00A9356E">
        <w:rPr>
          <w:sz w:val="22"/>
          <w:szCs w:val="22"/>
        </w:rPr>
        <w:t>hraničními oblastmi v rámci politiky soudržnosti</w:t>
      </w:r>
      <w:r w:rsidR="00BB0638" w:rsidRPr="00A9356E">
        <w:rPr>
          <w:sz w:val="22"/>
          <w:szCs w:val="22"/>
        </w:rPr>
        <w:t>, identifikovanými na základě zpracování a hodnocení specifických cílů NKR</w:t>
      </w:r>
      <w:r w:rsidRPr="00A9356E">
        <w:rPr>
          <w:sz w:val="22"/>
          <w:szCs w:val="22"/>
        </w:rPr>
        <w:t xml:space="preserve">. </w:t>
      </w:r>
    </w:p>
    <w:p w:rsidR="006F2566" w:rsidRPr="00A9356E" w:rsidRDefault="006F2566" w:rsidP="00A9356E">
      <w:pPr>
        <w:rPr>
          <w:sz w:val="22"/>
          <w:szCs w:val="22"/>
        </w:rPr>
      </w:pPr>
      <w:r w:rsidRPr="00A9356E">
        <w:rPr>
          <w:sz w:val="22"/>
          <w:szCs w:val="22"/>
        </w:rPr>
        <w:t xml:space="preserve">V oblasti </w:t>
      </w:r>
      <w:r w:rsidRPr="00A9356E">
        <w:rPr>
          <w:b/>
          <w:sz w:val="22"/>
          <w:szCs w:val="22"/>
        </w:rPr>
        <w:t>Doprava</w:t>
      </w:r>
      <w:r w:rsidRPr="00A9356E">
        <w:rPr>
          <w:sz w:val="22"/>
          <w:szCs w:val="22"/>
        </w:rPr>
        <w:t xml:space="preserve"> jsou témata, která spadají spíše pod integrovaný způsob řešení ve vztahu k provázanosti módů dopravy na území měst (kombinování silniční, železniční a městské veřejné hromadné dopravy). </w:t>
      </w:r>
      <w:r w:rsidR="00A10096">
        <w:rPr>
          <w:sz w:val="22"/>
          <w:szCs w:val="22"/>
        </w:rPr>
        <w:t>U t</w:t>
      </w:r>
      <w:r w:rsidRPr="00A9356E">
        <w:rPr>
          <w:sz w:val="22"/>
          <w:szCs w:val="22"/>
        </w:rPr>
        <w:t>ěchto SC bude zapotřebí nalézt shodu mezi vymezením konkrétních obsahů OP zaměřený</w:t>
      </w:r>
      <w:r w:rsidR="00A10096">
        <w:rPr>
          <w:sz w:val="22"/>
          <w:szCs w:val="22"/>
        </w:rPr>
        <w:t>ch</w:t>
      </w:r>
      <w:r w:rsidRPr="00A9356E">
        <w:rPr>
          <w:sz w:val="22"/>
          <w:szCs w:val="22"/>
        </w:rPr>
        <w:t xml:space="preserve"> na dopravu a </w:t>
      </w:r>
      <w:r w:rsidR="009A6D5A">
        <w:rPr>
          <w:sz w:val="22"/>
          <w:szCs w:val="22"/>
        </w:rPr>
        <w:t>IR</w:t>
      </w:r>
      <w:r w:rsidRPr="00A9356E">
        <w:rPr>
          <w:sz w:val="22"/>
          <w:szCs w:val="22"/>
        </w:rPr>
        <w:t>OP.</w:t>
      </w:r>
    </w:p>
    <w:p w:rsidR="006F2566" w:rsidRPr="00A9356E" w:rsidRDefault="006F2566" w:rsidP="00A9356E">
      <w:pPr>
        <w:rPr>
          <w:sz w:val="22"/>
          <w:szCs w:val="22"/>
        </w:rPr>
      </w:pPr>
      <w:r w:rsidRPr="00A9356E">
        <w:rPr>
          <w:sz w:val="22"/>
          <w:szCs w:val="22"/>
        </w:rPr>
        <w:t xml:space="preserve">V oblasti </w:t>
      </w:r>
      <w:r w:rsidRPr="00A9356E">
        <w:rPr>
          <w:b/>
          <w:sz w:val="22"/>
          <w:szCs w:val="22"/>
        </w:rPr>
        <w:t>Výzkumného a inovačního systému</w:t>
      </w:r>
      <w:r w:rsidRPr="00A9356E">
        <w:rPr>
          <w:sz w:val="22"/>
          <w:szCs w:val="22"/>
        </w:rPr>
        <w:t xml:space="preserve"> je hraniční oblastí mezi podporou výzkumu a podnikáním SC Podpora inovac</w:t>
      </w:r>
      <w:r w:rsidR="00BE4B04">
        <w:rPr>
          <w:sz w:val="22"/>
          <w:szCs w:val="22"/>
        </w:rPr>
        <w:t>í</w:t>
      </w:r>
      <w:r w:rsidRPr="00A9356E">
        <w:rPr>
          <w:sz w:val="22"/>
          <w:szCs w:val="22"/>
        </w:rPr>
        <w:t xml:space="preserve"> prostřednictvím aplikovaného výzkumu a experimentálního vývoje, stejně jako v ostatních SC v </w:t>
      </w:r>
      <w:r w:rsidRPr="00A9356E">
        <w:rPr>
          <w:b/>
          <w:sz w:val="22"/>
          <w:szCs w:val="22"/>
        </w:rPr>
        <w:t>Podpoře podnikání a průmyslu</w:t>
      </w:r>
      <w:r w:rsidRPr="00A9356E">
        <w:rPr>
          <w:sz w:val="22"/>
          <w:szCs w:val="22"/>
        </w:rPr>
        <w:t>, kde jsou inovace navázány primárně na vlastní výzkum podniků.</w:t>
      </w:r>
    </w:p>
    <w:p w:rsidR="00E32882" w:rsidRPr="00A9356E" w:rsidRDefault="00E32882" w:rsidP="00A9356E">
      <w:pPr>
        <w:rPr>
          <w:sz w:val="22"/>
          <w:szCs w:val="22"/>
        </w:rPr>
      </w:pPr>
      <w:r w:rsidRPr="00A9356E">
        <w:rPr>
          <w:sz w:val="22"/>
          <w:szCs w:val="22"/>
        </w:rPr>
        <w:t xml:space="preserve">Mezi oblastmi </w:t>
      </w:r>
      <w:r w:rsidRPr="00A9356E">
        <w:rPr>
          <w:b/>
          <w:sz w:val="22"/>
          <w:szCs w:val="22"/>
        </w:rPr>
        <w:t>Kultury</w:t>
      </w:r>
      <w:r w:rsidRPr="00A9356E">
        <w:rPr>
          <w:sz w:val="22"/>
          <w:szCs w:val="22"/>
        </w:rPr>
        <w:t xml:space="preserve"> a </w:t>
      </w:r>
      <w:r w:rsidRPr="00A9356E">
        <w:rPr>
          <w:b/>
          <w:sz w:val="22"/>
          <w:szCs w:val="22"/>
        </w:rPr>
        <w:t>Cestovního ruchu</w:t>
      </w:r>
      <w:r w:rsidRPr="00A9356E">
        <w:rPr>
          <w:sz w:val="22"/>
          <w:szCs w:val="22"/>
        </w:rPr>
        <w:t xml:space="preserve"> jsou hraniční oblasti nebo spíše synergie mezi podporou obnovy kulturního dědictví a rozvojem udržitelného cestovního ruchu. Zároveň udržitelný cestovní ruch je závislý na udržitelných formách dopravy</w:t>
      </w:r>
      <w:r w:rsidR="005D422F">
        <w:rPr>
          <w:sz w:val="22"/>
          <w:szCs w:val="22"/>
        </w:rPr>
        <w:t>, kvalitě životního prostředí a veřejných prostranství</w:t>
      </w:r>
      <w:r w:rsidRPr="00A9356E">
        <w:rPr>
          <w:sz w:val="22"/>
          <w:szCs w:val="22"/>
        </w:rPr>
        <w:t>.</w:t>
      </w:r>
      <w:r w:rsidR="00016284" w:rsidRPr="00016284">
        <w:rPr>
          <w:b/>
        </w:rPr>
        <w:t xml:space="preserve"> </w:t>
      </w:r>
      <w:r w:rsidR="00016284" w:rsidRPr="00F15286">
        <w:rPr>
          <w:sz w:val="22"/>
          <w:szCs w:val="22"/>
        </w:rPr>
        <w:t>Cestovní ruch už z principu však také závisí na kvalitní, konkurenceschopné a udržitelné podnikatelské infrastruktuře.</w:t>
      </w:r>
    </w:p>
    <w:p w:rsidR="00E32882" w:rsidRPr="00A9356E" w:rsidRDefault="00E32882" w:rsidP="00A9356E">
      <w:pPr>
        <w:rPr>
          <w:sz w:val="22"/>
          <w:szCs w:val="22"/>
        </w:rPr>
      </w:pPr>
      <w:r w:rsidRPr="00A9356E">
        <w:rPr>
          <w:sz w:val="22"/>
          <w:szCs w:val="22"/>
        </w:rPr>
        <w:t xml:space="preserve">Oblast </w:t>
      </w:r>
      <w:r w:rsidRPr="00A9356E">
        <w:rPr>
          <w:b/>
          <w:sz w:val="22"/>
          <w:szCs w:val="22"/>
        </w:rPr>
        <w:t>Veřejných prostranství</w:t>
      </w:r>
      <w:r w:rsidRPr="00A9356E">
        <w:rPr>
          <w:sz w:val="22"/>
          <w:szCs w:val="22"/>
        </w:rPr>
        <w:t xml:space="preserve"> je skrze rozvoj zelené infrastruktury přímo spojena s oblastí Ochrana životního prostředí a oběhové hospodářství, konkrétně SC Ochrana a péče o přírodu a krajinu.</w:t>
      </w:r>
      <w:r w:rsidR="00D4159A" w:rsidRPr="00A9356E">
        <w:rPr>
          <w:sz w:val="22"/>
          <w:szCs w:val="22"/>
        </w:rPr>
        <w:t xml:space="preserve"> V této souvislosti bude</w:t>
      </w:r>
      <w:r w:rsidR="00CB6EF3" w:rsidRPr="00A9356E">
        <w:rPr>
          <w:sz w:val="22"/>
          <w:szCs w:val="22"/>
        </w:rPr>
        <w:t xml:space="preserve"> rovněž</w:t>
      </w:r>
      <w:r w:rsidR="00D4159A" w:rsidRPr="00A9356E">
        <w:rPr>
          <w:sz w:val="22"/>
          <w:szCs w:val="22"/>
        </w:rPr>
        <w:t xml:space="preserve"> potřeba </w:t>
      </w:r>
      <w:r w:rsidR="00CB6EF3" w:rsidRPr="00A9356E">
        <w:rPr>
          <w:sz w:val="22"/>
          <w:szCs w:val="22"/>
        </w:rPr>
        <w:t>vyjasnit</w:t>
      </w:r>
      <w:r w:rsidR="00B6703B" w:rsidRPr="00A9356E">
        <w:rPr>
          <w:sz w:val="22"/>
          <w:szCs w:val="22"/>
        </w:rPr>
        <w:t xml:space="preserve"> </w:t>
      </w:r>
      <w:r w:rsidR="00D4159A" w:rsidRPr="00A9356E">
        <w:rPr>
          <w:sz w:val="22"/>
          <w:szCs w:val="22"/>
        </w:rPr>
        <w:t>zaměření podpory v SC Zkvalitňování veřejných prostranství a rozvoj zelené infrastruktury, stanovení hranic v území pro zelenou infrastrukturu (intravilán x extravilán).</w:t>
      </w:r>
    </w:p>
    <w:p w:rsidR="00BF6BAA" w:rsidRPr="00A9356E" w:rsidRDefault="00BF6BAA" w:rsidP="00A9356E">
      <w:pPr>
        <w:rPr>
          <w:sz w:val="22"/>
          <w:szCs w:val="22"/>
        </w:rPr>
      </w:pPr>
      <w:r w:rsidRPr="00A9356E">
        <w:rPr>
          <w:sz w:val="22"/>
          <w:szCs w:val="22"/>
        </w:rPr>
        <w:t xml:space="preserve">V oblasti </w:t>
      </w:r>
      <w:r w:rsidRPr="00A9356E">
        <w:rPr>
          <w:b/>
          <w:sz w:val="22"/>
          <w:szCs w:val="22"/>
        </w:rPr>
        <w:t>Sociální začleňování, boj s chudobou a péče o zdraví</w:t>
      </w:r>
      <w:r w:rsidRPr="00A9356E">
        <w:rPr>
          <w:sz w:val="22"/>
          <w:szCs w:val="22"/>
        </w:rPr>
        <w:t xml:space="preserve"> je řada hraničních oblastí s těmi tématy, které zásadním způsobem podporují sociální začleňování - jde především o oblast Vzdělávání </w:t>
      </w:r>
      <w:r w:rsidR="00B70DB1" w:rsidRPr="00A9356E">
        <w:rPr>
          <w:sz w:val="22"/>
          <w:szCs w:val="22"/>
        </w:rPr>
        <w:t>(SC Zajištění rovného přístupu ke vzdělání)</w:t>
      </w:r>
      <w:r w:rsidRPr="00A9356E">
        <w:rPr>
          <w:sz w:val="22"/>
          <w:szCs w:val="22"/>
        </w:rPr>
        <w:t xml:space="preserve"> a </w:t>
      </w:r>
      <w:r w:rsidRPr="00A9356E">
        <w:rPr>
          <w:b/>
          <w:sz w:val="22"/>
          <w:szCs w:val="22"/>
        </w:rPr>
        <w:t>Trh práce a zaměstnanost.</w:t>
      </w:r>
    </w:p>
    <w:p w:rsidR="00B70DB1" w:rsidRPr="00A9356E" w:rsidRDefault="00B70DB1" w:rsidP="00A9356E">
      <w:pPr>
        <w:rPr>
          <w:sz w:val="22"/>
          <w:szCs w:val="22"/>
        </w:rPr>
      </w:pPr>
      <w:r w:rsidRPr="00A9356E">
        <w:rPr>
          <w:sz w:val="22"/>
          <w:szCs w:val="22"/>
        </w:rPr>
        <w:t xml:space="preserve">Významné hraniční oblasti a synergie jsou mezi oblastmi </w:t>
      </w:r>
      <w:r w:rsidRPr="00A9356E">
        <w:rPr>
          <w:b/>
          <w:sz w:val="22"/>
          <w:szCs w:val="22"/>
        </w:rPr>
        <w:t>Vzdělávání</w:t>
      </w:r>
      <w:r w:rsidRPr="00A9356E">
        <w:rPr>
          <w:sz w:val="22"/>
          <w:szCs w:val="22"/>
        </w:rPr>
        <w:t xml:space="preserve"> (Zlepšení vzdělávacího systému s ohledem na moderní kompetence a potřeby trhu práce) a </w:t>
      </w:r>
      <w:r w:rsidRPr="00A9356E">
        <w:rPr>
          <w:b/>
          <w:sz w:val="22"/>
          <w:szCs w:val="22"/>
        </w:rPr>
        <w:t>Trh práce a zaměstnanost</w:t>
      </w:r>
      <w:r w:rsidR="00D3561F" w:rsidRPr="00A9356E">
        <w:rPr>
          <w:b/>
          <w:sz w:val="22"/>
          <w:szCs w:val="22"/>
        </w:rPr>
        <w:t xml:space="preserve"> </w:t>
      </w:r>
      <w:r w:rsidR="00D3561F" w:rsidRPr="00A9356E">
        <w:rPr>
          <w:sz w:val="22"/>
          <w:szCs w:val="22"/>
        </w:rPr>
        <w:t>(Fungující systém dalšího profesního vzdělávání)</w:t>
      </w:r>
      <w:r w:rsidRPr="00A9356E">
        <w:rPr>
          <w:sz w:val="22"/>
          <w:szCs w:val="22"/>
        </w:rPr>
        <w:t xml:space="preserve">. </w:t>
      </w:r>
    </w:p>
    <w:p w:rsidR="003E76B5" w:rsidRPr="00A9356E" w:rsidRDefault="00CB6EF3" w:rsidP="00A9356E">
      <w:pPr>
        <w:rPr>
          <w:sz w:val="22"/>
          <w:szCs w:val="22"/>
        </w:rPr>
      </w:pPr>
      <w:r w:rsidRPr="00A9356E">
        <w:rPr>
          <w:sz w:val="22"/>
          <w:szCs w:val="22"/>
        </w:rPr>
        <w:t>Dalšími</w:t>
      </w:r>
      <w:r w:rsidR="00D3561F" w:rsidRPr="00A9356E">
        <w:rPr>
          <w:sz w:val="22"/>
          <w:szCs w:val="22"/>
        </w:rPr>
        <w:t xml:space="preserve"> hraniční</w:t>
      </w:r>
      <w:r w:rsidRPr="00A9356E">
        <w:rPr>
          <w:sz w:val="22"/>
          <w:szCs w:val="22"/>
        </w:rPr>
        <w:t>mi oblastmi</w:t>
      </w:r>
      <w:r w:rsidR="00D3561F" w:rsidRPr="00A9356E">
        <w:rPr>
          <w:sz w:val="22"/>
          <w:szCs w:val="22"/>
        </w:rPr>
        <w:t xml:space="preserve"> </w:t>
      </w:r>
      <w:r w:rsidR="003E76B5" w:rsidRPr="00A9356E">
        <w:rPr>
          <w:sz w:val="22"/>
          <w:szCs w:val="22"/>
        </w:rPr>
        <w:t>jsou</w:t>
      </w:r>
      <w:r w:rsidR="00D3561F" w:rsidRPr="00A9356E">
        <w:rPr>
          <w:sz w:val="22"/>
          <w:szCs w:val="22"/>
        </w:rPr>
        <w:t xml:space="preserve"> téma</w:t>
      </w:r>
      <w:r w:rsidRPr="00A9356E">
        <w:rPr>
          <w:sz w:val="22"/>
          <w:szCs w:val="22"/>
        </w:rPr>
        <w:t>ta</w:t>
      </w:r>
      <w:r w:rsidR="00D3561F" w:rsidRPr="00A9356E">
        <w:rPr>
          <w:sz w:val="22"/>
          <w:szCs w:val="22"/>
        </w:rPr>
        <w:t xml:space="preserve"> </w:t>
      </w:r>
      <w:r w:rsidR="00D3561F" w:rsidRPr="00A9356E">
        <w:rPr>
          <w:b/>
          <w:sz w:val="22"/>
          <w:szCs w:val="22"/>
        </w:rPr>
        <w:t>energetické účinnosti a úspor energie a využívání obnovitelných zdrojů energie</w:t>
      </w:r>
      <w:r w:rsidR="00D3561F" w:rsidRPr="00A9356E">
        <w:rPr>
          <w:sz w:val="22"/>
          <w:szCs w:val="22"/>
        </w:rPr>
        <w:t xml:space="preserve">, kdy </w:t>
      </w:r>
      <w:r w:rsidRPr="00A9356E">
        <w:rPr>
          <w:sz w:val="22"/>
          <w:szCs w:val="22"/>
        </w:rPr>
        <w:t>patrně bude snaha o</w:t>
      </w:r>
      <w:r w:rsidR="00D3561F" w:rsidRPr="00A9356E">
        <w:rPr>
          <w:sz w:val="22"/>
          <w:szCs w:val="22"/>
        </w:rPr>
        <w:t xml:space="preserve"> rozdělení zaměření podle podporované cílové skupiny na podnikatelské objekty v případě MPO a veřejné a rezidenční budovy v případě MŽP. </w:t>
      </w:r>
      <w:r w:rsidR="003E76B5" w:rsidRPr="00A9356E">
        <w:rPr>
          <w:sz w:val="22"/>
          <w:szCs w:val="22"/>
        </w:rPr>
        <w:t xml:space="preserve">Dalším hlediskem rozdělení mezi operační programy MPO a MŽP jak v případě OZE, tak akumulace energie je hledisko centralizovaného či decentralizovaného přístupu. </w:t>
      </w:r>
    </w:p>
    <w:p w:rsidR="003E76B5" w:rsidRPr="00A9356E" w:rsidRDefault="003E76B5" w:rsidP="00A9356E">
      <w:pPr>
        <w:rPr>
          <w:sz w:val="22"/>
          <w:szCs w:val="22"/>
        </w:rPr>
      </w:pPr>
      <w:r w:rsidRPr="00A9356E">
        <w:rPr>
          <w:sz w:val="22"/>
          <w:szCs w:val="22"/>
        </w:rPr>
        <w:t xml:space="preserve">Významnou hraniční oblastí bude stále více aktuální téma </w:t>
      </w:r>
      <w:r w:rsidRPr="00A9356E">
        <w:rPr>
          <w:b/>
          <w:sz w:val="22"/>
          <w:szCs w:val="22"/>
        </w:rPr>
        <w:t>oběhového hospodářství, nakládání s odpady a efektivního využívání zdrojů</w:t>
      </w:r>
      <w:r w:rsidRPr="00A9356E">
        <w:rPr>
          <w:sz w:val="22"/>
          <w:szCs w:val="22"/>
        </w:rPr>
        <w:t>.</w:t>
      </w:r>
      <w:r w:rsidR="001A6F70" w:rsidRPr="00A9356E">
        <w:rPr>
          <w:sz w:val="22"/>
          <w:szCs w:val="22"/>
        </w:rPr>
        <w:t xml:space="preserve"> Otázky </w:t>
      </w:r>
      <w:r w:rsidR="001A6F70" w:rsidRPr="00A9356E">
        <w:rPr>
          <w:b/>
          <w:sz w:val="22"/>
          <w:szCs w:val="22"/>
        </w:rPr>
        <w:t>materiálového využití odpadu</w:t>
      </w:r>
      <w:r w:rsidR="001A6F70" w:rsidRPr="00A9356E">
        <w:rPr>
          <w:sz w:val="22"/>
          <w:szCs w:val="22"/>
        </w:rPr>
        <w:t xml:space="preserve"> jsou průřezové a budou řešeny v rámci intervencí jak OP </w:t>
      </w:r>
      <w:r w:rsidR="00B17AB4" w:rsidRPr="00A9356E">
        <w:rPr>
          <w:sz w:val="22"/>
          <w:szCs w:val="22"/>
        </w:rPr>
        <w:t xml:space="preserve">v gesci </w:t>
      </w:r>
      <w:r w:rsidR="001A6F70" w:rsidRPr="00A9356E">
        <w:rPr>
          <w:sz w:val="22"/>
          <w:szCs w:val="22"/>
        </w:rPr>
        <w:t xml:space="preserve">MŽP, tak MPO. </w:t>
      </w:r>
      <w:r w:rsidRPr="00A9356E">
        <w:rPr>
          <w:sz w:val="22"/>
          <w:szCs w:val="22"/>
        </w:rPr>
        <w:t xml:space="preserve">Nakládaní s bioodpadem a odpadem </w:t>
      </w:r>
      <w:r w:rsidR="001A6F70" w:rsidRPr="00A9356E">
        <w:rPr>
          <w:sz w:val="22"/>
          <w:szCs w:val="22"/>
        </w:rPr>
        <w:t xml:space="preserve">z čistíren odpadních vod </w:t>
      </w:r>
      <w:r w:rsidRPr="00A9356E">
        <w:rPr>
          <w:sz w:val="22"/>
          <w:szCs w:val="22"/>
        </w:rPr>
        <w:t xml:space="preserve">a jejich využití v bioplynových stanicích souvisí s tématem </w:t>
      </w:r>
      <w:r w:rsidRPr="00A9356E">
        <w:rPr>
          <w:b/>
          <w:sz w:val="22"/>
          <w:szCs w:val="22"/>
        </w:rPr>
        <w:t>obnovitelných zdrojů energie</w:t>
      </w:r>
      <w:r w:rsidRPr="00A9356E">
        <w:rPr>
          <w:sz w:val="22"/>
          <w:szCs w:val="22"/>
        </w:rPr>
        <w:t>, stejně jako využití odpadních tuků při výrobě biopaliv</w:t>
      </w:r>
      <w:r w:rsidR="005A2EBE">
        <w:rPr>
          <w:sz w:val="22"/>
          <w:szCs w:val="22"/>
        </w:rPr>
        <w:t xml:space="preserve">. </w:t>
      </w:r>
      <w:r w:rsidR="00727377" w:rsidRPr="00A9356E">
        <w:rPr>
          <w:sz w:val="22"/>
          <w:szCs w:val="22"/>
        </w:rPr>
        <w:t>Zav</w:t>
      </w:r>
      <w:r w:rsidR="005A2EBE">
        <w:rPr>
          <w:sz w:val="22"/>
          <w:szCs w:val="22"/>
        </w:rPr>
        <w:t>e</w:t>
      </w:r>
      <w:r w:rsidR="00727377" w:rsidRPr="00A9356E">
        <w:rPr>
          <w:sz w:val="22"/>
          <w:szCs w:val="22"/>
        </w:rPr>
        <w:t>d</w:t>
      </w:r>
      <w:r w:rsidR="005A2EBE">
        <w:rPr>
          <w:sz w:val="22"/>
          <w:szCs w:val="22"/>
        </w:rPr>
        <w:t>e</w:t>
      </w:r>
      <w:r w:rsidR="00994DD9">
        <w:rPr>
          <w:sz w:val="22"/>
          <w:szCs w:val="22"/>
        </w:rPr>
        <w:t xml:space="preserve">ní </w:t>
      </w:r>
      <w:r w:rsidR="00727377" w:rsidRPr="00A9356E">
        <w:rPr>
          <w:sz w:val="22"/>
          <w:szCs w:val="22"/>
        </w:rPr>
        <w:t>principů</w:t>
      </w:r>
      <w:r w:rsidR="00C33DCB" w:rsidRPr="00A9356E">
        <w:rPr>
          <w:sz w:val="22"/>
          <w:szCs w:val="22"/>
        </w:rPr>
        <w:t xml:space="preserve"> oběhového hospodářství</w:t>
      </w:r>
      <w:r w:rsidR="001A6F70" w:rsidRPr="00A9356E">
        <w:rPr>
          <w:sz w:val="22"/>
          <w:szCs w:val="22"/>
        </w:rPr>
        <w:t xml:space="preserve"> </w:t>
      </w:r>
      <w:r w:rsidR="00727377" w:rsidRPr="00A9356E">
        <w:rPr>
          <w:sz w:val="22"/>
          <w:szCs w:val="22"/>
        </w:rPr>
        <w:t xml:space="preserve">nabízí </w:t>
      </w:r>
      <w:r w:rsidR="001A6F70" w:rsidRPr="00A9356E">
        <w:rPr>
          <w:sz w:val="22"/>
          <w:szCs w:val="22"/>
        </w:rPr>
        <w:t xml:space="preserve">značný prostor pro </w:t>
      </w:r>
      <w:r w:rsidR="001A6F70" w:rsidRPr="00A9356E">
        <w:rPr>
          <w:b/>
          <w:sz w:val="22"/>
          <w:szCs w:val="22"/>
        </w:rPr>
        <w:t>inovace</w:t>
      </w:r>
      <w:r w:rsidR="001A6F70" w:rsidRPr="00A9356E">
        <w:rPr>
          <w:sz w:val="22"/>
          <w:szCs w:val="22"/>
        </w:rPr>
        <w:t>, které možné řešit jak samostatně v rámci příslušných os či v rámci tématu</w:t>
      </w:r>
      <w:r w:rsidR="00994DD9">
        <w:rPr>
          <w:sz w:val="22"/>
          <w:szCs w:val="22"/>
        </w:rPr>
        <w:t xml:space="preserve"> </w:t>
      </w:r>
      <w:r w:rsidR="001A6F70" w:rsidRPr="00A9356E">
        <w:rPr>
          <w:sz w:val="22"/>
          <w:szCs w:val="22"/>
        </w:rPr>
        <w:t>inovací</w:t>
      </w:r>
      <w:r w:rsidR="00994DD9">
        <w:rPr>
          <w:sz w:val="22"/>
          <w:szCs w:val="22"/>
        </w:rPr>
        <w:t>.</w:t>
      </w:r>
    </w:p>
    <w:p w:rsidR="001A6F70" w:rsidRPr="00A9356E" w:rsidRDefault="003E76B5" w:rsidP="00A9356E">
      <w:pPr>
        <w:rPr>
          <w:sz w:val="22"/>
          <w:szCs w:val="22"/>
        </w:rPr>
      </w:pPr>
      <w:r w:rsidRPr="00A9356E">
        <w:rPr>
          <w:sz w:val="22"/>
          <w:szCs w:val="22"/>
        </w:rPr>
        <w:t>Z ostatních témat z ochrany životn</w:t>
      </w:r>
      <w:r w:rsidR="00A10096">
        <w:rPr>
          <w:sz w:val="22"/>
          <w:szCs w:val="22"/>
        </w:rPr>
        <w:t>í</w:t>
      </w:r>
      <w:r w:rsidRPr="00A9356E">
        <w:rPr>
          <w:sz w:val="22"/>
          <w:szCs w:val="22"/>
        </w:rPr>
        <w:t xml:space="preserve">ho prostředí bude v budoucnu hraniční oblastí </w:t>
      </w:r>
      <w:r w:rsidRPr="00A9356E">
        <w:rPr>
          <w:b/>
          <w:sz w:val="22"/>
          <w:szCs w:val="22"/>
        </w:rPr>
        <w:t>ochrana vod a vodní hospodářství.</w:t>
      </w:r>
      <w:r w:rsidRPr="00A9356E">
        <w:rPr>
          <w:sz w:val="22"/>
          <w:szCs w:val="22"/>
        </w:rPr>
        <w:t xml:space="preserve"> V souvislosti se stále častějšími dlouhotrvajícími suchy je již nyní aktuální nejen otázka zásobování</w:t>
      </w:r>
      <w:r w:rsidR="001A6F70" w:rsidRPr="00A9356E">
        <w:rPr>
          <w:sz w:val="22"/>
          <w:szCs w:val="22"/>
        </w:rPr>
        <w:t xml:space="preserve"> obcí</w:t>
      </w:r>
      <w:r w:rsidRPr="00A9356E">
        <w:rPr>
          <w:sz w:val="22"/>
          <w:szCs w:val="22"/>
        </w:rPr>
        <w:t xml:space="preserve"> pitnou vodou a </w:t>
      </w:r>
      <w:r w:rsidR="00EE0499">
        <w:rPr>
          <w:sz w:val="22"/>
          <w:szCs w:val="22"/>
        </w:rPr>
        <w:t>do</w:t>
      </w:r>
      <w:r w:rsidR="001A6F70" w:rsidRPr="00A9356E">
        <w:rPr>
          <w:sz w:val="22"/>
          <w:szCs w:val="22"/>
        </w:rPr>
        <w:t xml:space="preserve">budování </w:t>
      </w:r>
      <w:r w:rsidRPr="00A9356E">
        <w:rPr>
          <w:sz w:val="22"/>
          <w:szCs w:val="22"/>
        </w:rPr>
        <w:t>čistíren odpadních vod</w:t>
      </w:r>
      <w:r w:rsidR="001A6F70" w:rsidRPr="00A9356E">
        <w:rPr>
          <w:sz w:val="22"/>
          <w:szCs w:val="22"/>
        </w:rPr>
        <w:t xml:space="preserve"> či zadržování vody v krajině</w:t>
      </w:r>
      <w:r w:rsidRPr="00A9356E">
        <w:rPr>
          <w:sz w:val="22"/>
          <w:szCs w:val="22"/>
        </w:rPr>
        <w:t>, ale</w:t>
      </w:r>
      <w:r w:rsidR="001A6F70" w:rsidRPr="00A9356E">
        <w:rPr>
          <w:sz w:val="22"/>
          <w:szCs w:val="22"/>
        </w:rPr>
        <w:t xml:space="preserve"> také </w:t>
      </w:r>
      <w:r w:rsidR="001A6F70" w:rsidRPr="00A9356E">
        <w:rPr>
          <w:b/>
          <w:sz w:val="22"/>
          <w:szCs w:val="22"/>
        </w:rPr>
        <w:t>šetrné nakládání s vodou ve výrobních procesech.</w:t>
      </w:r>
    </w:p>
    <w:p w:rsidR="005A53B5" w:rsidRPr="00A9356E" w:rsidRDefault="001A6F70" w:rsidP="00A9356E">
      <w:pPr>
        <w:rPr>
          <w:sz w:val="22"/>
          <w:szCs w:val="22"/>
        </w:rPr>
      </w:pPr>
      <w:r w:rsidRPr="00A9356E">
        <w:rPr>
          <w:sz w:val="22"/>
          <w:szCs w:val="22"/>
        </w:rPr>
        <w:t>Stejně jako</w:t>
      </w:r>
      <w:r w:rsidRPr="00A9356E">
        <w:rPr>
          <w:b/>
          <w:sz w:val="22"/>
          <w:szCs w:val="22"/>
        </w:rPr>
        <w:t xml:space="preserve"> voda,</w:t>
      </w:r>
      <w:r w:rsidRPr="00A9356E">
        <w:rPr>
          <w:sz w:val="22"/>
          <w:szCs w:val="22"/>
        </w:rPr>
        <w:t xml:space="preserve"> i oblast</w:t>
      </w:r>
      <w:r w:rsidRPr="00A9356E">
        <w:rPr>
          <w:b/>
          <w:sz w:val="22"/>
          <w:szCs w:val="22"/>
        </w:rPr>
        <w:t xml:space="preserve"> biodiverzity</w:t>
      </w:r>
      <w:r w:rsidRPr="00A9356E">
        <w:rPr>
          <w:sz w:val="22"/>
          <w:szCs w:val="22"/>
        </w:rPr>
        <w:t xml:space="preserve"> má významné hraniční oblasti se společnou zemědělskou politikou. Druhově rozmanitá výsadba plodin či tvorba remízků a mezí </w:t>
      </w:r>
      <w:r w:rsidR="00574D91" w:rsidRPr="00A9356E">
        <w:rPr>
          <w:sz w:val="22"/>
          <w:szCs w:val="22"/>
        </w:rPr>
        <w:t xml:space="preserve">na polích může bránit větrné či vodní erozi půdy a udržovat vodu v krajině, podobně jako podpora trvale travních porostů, přičemž na příslušných intervencích se budou podílet MŽP a </w:t>
      </w:r>
      <w:r w:rsidR="003866C7">
        <w:rPr>
          <w:sz w:val="22"/>
          <w:szCs w:val="22"/>
        </w:rPr>
        <w:t>MZe</w:t>
      </w:r>
      <w:r w:rsidR="00574D91" w:rsidRPr="00A9356E">
        <w:rPr>
          <w:sz w:val="22"/>
          <w:szCs w:val="22"/>
        </w:rPr>
        <w:t>. Oblast</w:t>
      </w:r>
      <w:r w:rsidR="005A53B5" w:rsidRPr="00A9356E">
        <w:rPr>
          <w:sz w:val="22"/>
          <w:szCs w:val="22"/>
        </w:rPr>
        <w:t>í</w:t>
      </w:r>
      <w:r w:rsidR="00574D91" w:rsidRPr="00A9356E">
        <w:rPr>
          <w:sz w:val="22"/>
          <w:szCs w:val="22"/>
        </w:rPr>
        <w:t>, která je</w:t>
      </w:r>
      <w:r w:rsidR="005A53B5" w:rsidRPr="00A9356E">
        <w:rPr>
          <w:sz w:val="22"/>
          <w:szCs w:val="22"/>
        </w:rPr>
        <w:t>,</w:t>
      </w:r>
      <w:r w:rsidR="00574D91" w:rsidRPr="00A9356E">
        <w:rPr>
          <w:sz w:val="22"/>
          <w:szCs w:val="22"/>
        </w:rPr>
        <w:t xml:space="preserve"> z hlediska </w:t>
      </w:r>
      <w:r w:rsidR="005A53B5" w:rsidRPr="00A9356E">
        <w:rPr>
          <w:sz w:val="22"/>
          <w:szCs w:val="22"/>
        </w:rPr>
        <w:t xml:space="preserve">politiky soudržnosti nedostatečně podporována, je </w:t>
      </w:r>
      <w:r w:rsidR="005A53B5" w:rsidRPr="00A9356E">
        <w:rPr>
          <w:b/>
          <w:sz w:val="22"/>
          <w:szCs w:val="22"/>
        </w:rPr>
        <w:t>lesní hospodářství</w:t>
      </w:r>
      <w:r w:rsidR="005A53B5" w:rsidRPr="00A9356E">
        <w:rPr>
          <w:sz w:val="22"/>
          <w:szCs w:val="22"/>
        </w:rPr>
        <w:t xml:space="preserve"> a především řešení aktuálních kalamitních stavů napadení kůrovcem v souvislosti se suchem. Lesní hospodářství spadá převážně do působnosti </w:t>
      </w:r>
      <w:r w:rsidR="003866C7">
        <w:rPr>
          <w:sz w:val="22"/>
          <w:szCs w:val="22"/>
        </w:rPr>
        <w:t>MZe</w:t>
      </w:r>
      <w:r w:rsidR="005A53B5" w:rsidRPr="00A9356E">
        <w:rPr>
          <w:sz w:val="22"/>
          <w:szCs w:val="22"/>
        </w:rPr>
        <w:t xml:space="preserve">, v určité míře se na opatřeních v rámci biodiverzity podílí také MŽP. Dobré vyhlídky do budoucna nedává ani zaměření budoucích specifických cílů z nařízení k EZFRV, které se rovněž otázce lesů věnuje okrajově. </w:t>
      </w:r>
    </w:p>
    <w:p w:rsidR="005A53B5" w:rsidRPr="00125B11" w:rsidRDefault="005A53B5" w:rsidP="00125B11">
      <w:pPr>
        <w:rPr>
          <w:sz w:val="22"/>
          <w:szCs w:val="22"/>
        </w:rPr>
      </w:pPr>
      <w:r w:rsidRPr="00A9356E">
        <w:rPr>
          <w:sz w:val="22"/>
          <w:szCs w:val="22"/>
        </w:rPr>
        <w:t xml:space="preserve">Hraniční oblasti mezi </w:t>
      </w:r>
      <w:r w:rsidR="00D4159A" w:rsidRPr="00A9356E">
        <w:rPr>
          <w:sz w:val="22"/>
          <w:szCs w:val="22"/>
        </w:rPr>
        <w:t xml:space="preserve">tématy řešenými </w:t>
      </w:r>
      <w:r w:rsidRPr="00A9356E">
        <w:rPr>
          <w:sz w:val="22"/>
          <w:szCs w:val="22"/>
        </w:rPr>
        <w:t xml:space="preserve">MŽP a MPO jsou také v oblasti </w:t>
      </w:r>
      <w:r w:rsidRPr="00A9356E">
        <w:rPr>
          <w:b/>
          <w:sz w:val="22"/>
          <w:szCs w:val="22"/>
        </w:rPr>
        <w:t>odstraňování ekologických zátěží, včetně brownfieldů</w:t>
      </w:r>
      <w:r w:rsidRPr="00A9356E">
        <w:rPr>
          <w:sz w:val="22"/>
          <w:szCs w:val="22"/>
        </w:rPr>
        <w:t>, kde se nabízí kromě samotné sanace také návazná podpora pro další využití těchto lokalit.</w:t>
      </w:r>
      <w:r w:rsidR="00A10096">
        <w:rPr>
          <w:sz w:val="22"/>
          <w:szCs w:val="22"/>
        </w:rPr>
        <w:t xml:space="preserve"> </w:t>
      </w:r>
      <w:r w:rsidR="00D4159A" w:rsidRPr="00A9356E">
        <w:rPr>
          <w:sz w:val="22"/>
          <w:szCs w:val="22"/>
        </w:rPr>
        <w:t>V této souvislosti by bylo vhodné</w:t>
      </w:r>
      <w:r w:rsidR="005A2EBE">
        <w:rPr>
          <w:sz w:val="22"/>
          <w:szCs w:val="22"/>
        </w:rPr>
        <w:t xml:space="preserve"> </w:t>
      </w:r>
      <w:r w:rsidR="00D4159A" w:rsidRPr="00A9356E">
        <w:rPr>
          <w:sz w:val="22"/>
          <w:szCs w:val="22"/>
        </w:rPr>
        <w:t>sanaci brownfieldů více provázat s jejich dalším využitím ve variantách využití podnikateli, obcemi a neziskovými organizacemi.</w:t>
      </w:r>
      <w:r w:rsidR="00125B11" w:rsidRPr="00125B11">
        <w:rPr>
          <w:b/>
          <w:bCs/>
          <w:sz w:val="22"/>
          <w:szCs w:val="22"/>
        </w:rPr>
        <w:t xml:space="preserve"> </w:t>
      </w:r>
      <w:r w:rsidR="00125B11" w:rsidRPr="00125B11">
        <w:rPr>
          <w:bCs/>
          <w:sz w:val="22"/>
          <w:szCs w:val="22"/>
        </w:rPr>
        <w:t>Očekáváme, že vymezením hraničních oblastí se budou i nadále relevantní resorty intenzivně zabývat a v rámci přípravy operačních programů a s tím souvisejících jednání si přesněji vzájemně vymezí oblasti intervencí za účelem snadnější realizace intervencí, účelného propojení podpory, zjednodušení administrativní zátěže, ale i</w:t>
      </w:r>
      <w:r w:rsidR="00A10096">
        <w:rPr>
          <w:bCs/>
          <w:sz w:val="22"/>
          <w:szCs w:val="22"/>
        </w:rPr>
        <w:t> </w:t>
      </w:r>
      <w:r w:rsidR="00125B11" w:rsidRPr="00125B11">
        <w:rPr>
          <w:bCs/>
          <w:sz w:val="22"/>
          <w:szCs w:val="22"/>
        </w:rPr>
        <w:t>přehlednosti pro příjemce, eliminace případných duplicit či naopak pokrytí hluchých míst.</w:t>
      </w:r>
    </w:p>
    <w:p w:rsidR="0033007E" w:rsidRPr="00125B11" w:rsidRDefault="0033007E" w:rsidP="00125B11">
      <w:pPr>
        <w:rPr>
          <w:sz w:val="22"/>
          <w:szCs w:val="22"/>
        </w:rPr>
      </w:pPr>
      <w:r>
        <w:rPr>
          <w:sz w:val="22"/>
          <w:szCs w:val="22"/>
        </w:rPr>
        <w:t xml:space="preserve">Významnou hraniční oblastí je </w:t>
      </w:r>
      <w:r w:rsidR="00194C9B">
        <w:rPr>
          <w:sz w:val="22"/>
          <w:szCs w:val="22"/>
        </w:rPr>
        <w:t xml:space="preserve">oblast Veřejné správy, a to ve vztahu ke všem dalším oblastem NKR. Veřejná správa </w:t>
      </w:r>
      <w:r w:rsidR="00194C9B" w:rsidRPr="00194C9B">
        <w:rPr>
          <w:sz w:val="22"/>
          <w:szCs w:val="22"/>
        </w:rPr>
        <w:t>významně determinuje výsledky všech sektorových politik, jelikož stanovuje samotný systém efektivního fungování veřejné správy a jejích institucí, a to včetně lidských kapacit, které jsou pro realizaci cílů NKR nezbytné.</w:t>
      </w:r>
    </w:p>
    <w:p w:rsidR="00C4383C" w:rsidRPr="00362FA7" w:rsidRDefault="00C4383C" w:rsidP="00254F4C">
      <w:pPr>
        <w:pStyle w:val="Nadpis2"/>
        <w:numPr>
          <w:ilvl w:val="1"/>
          <w:numId w:val="9"/>
        </w:numPr>
        <w:spacing w:line="240" w:lineRule="auto"/>
        <w:ind w:left="425" w:hanging="431"/>
        <w:jc w:val="left"/>
      </w:pPr>
      <w:bookmarkStart w:id="101" w:name="_Toc13828234"/>
      <w:r w:rsidRPr="00362FA7">
        <w:t>Doplňkovost s programy EU</w:t>
      </w:r>
      <w:bookmarkEnd w:id="101"/>
    </w:p>
    <w:p w:rsidR="00C4383C" w:rsidRDefault="00C4383C" w:rsidP="00C4383C">
      <w:pPr>
        <w:spacing w:after="120"/>
        <w:rPr>
          <w:sz w:val="22"/>
          <w:szCs w:val="22"/>
        </w:rPr>
      </w:pPr>
      <w:r>
        <w:rPr>
          <w:sz w:val="22"/>
          <w:szCs w:val="22"/>
        </w:rPr>
        <w:t>Z návrhů V</w:t>
      </w:r>
      <w:r w:rsidRPr="2D57A07C">
        <w:rPr>
          <w:sz w:val="22"/>
          <w:szCs w:val="22"/>
        </w:rPr>
        <w:t>íceletého finančního rámce i obecných nařízení je zřejmé, že příští programové období 2021+ přinese nárůst významu unijních programů</w:t>
      </w:r>
      <w:r>
        <w:rPr>
          <w:sz w:val="22"/>
          <w:szCs w:val="22"/>
        </w:rPr>
        <w:t xml:space="preserve"> </w:t>
      </w:r>
      <w:r w:rsidRPr="008D7A67">
        <w:rPr>
          <w:sz w:val="22"/>
          <w:szCs w:val="22"/>
        </w:rPr>
        <w:t xml:space="preserve">(zejména </w:t>
      </w:r>
      <w:r w:rsidRPr="008D7A67">
        <w:rPr>
          <w:sz w:val="22"/>
          <w:szCs w:val="22"/>
        </w:rPr>
        <w:br/>
        <w:t>v oblastech výzkumu, vývoje, inovací a vzdělávání) a tím i příležitosti, které unijní programy nabízí. Zároveň s tím je již nyní ze strany Evropské komise zdůrazňována potřeba synergického propojení unijních programů s</w:t>
      </w:r>
      <w:r w:rsidR="00C76B2B">
        <w:rPr>
          <w:sz w:val="22"/>
          <w:szCs w:val="22"/>
        </w:rPr>
        <w:t> fondy EU</w:t>
      </w:r>
      <w:r w:rsidRPr="008D7A67">
        <w:rPr>
          <w:sz w:val="22"/>
          <w:szCs w:val="22"/>
        </w:rPr>
        <w:t xml:space="preserve">, ať již formou doplňkovosti či např. iniciativy Seal of Excellence, která by nově měla najít širší uplatnění než pouze ve vztahu k programu Horizont </w:t>
      </w:r>
      <w:r w:rsidR="008F03E5">
        <w:rPr>
          <w:sz w:val="22"/>
          <w:szCs w:val="22"/>
        </w:rPr>
        <w:t>Evropa</w:t>
      </w:r>
      <w:r w:rsidRPr="008D7A67">
        <w:rPr>
          <w:sz w:val="22"/>
          <w:szCs w:val="22"/>
        </w:rPr>
        <w:t xml:space="preserve"> (</w:t>
      </w:r>
      <w:r>
        <w:rPr>
          <w:sz w:val="22"/>
          <w:szCs w:val="22"/>
        </w:rPr>
        <w:t xml:space="preserve">EK hovoří o </w:t>
      </w:r>
      <w:r w:rsidRPr="008D7A67">
        <w:rPr>
          <w:sz w:val="22"/>
          <w:szCs w:val="22"/>
        </w:rPr>
        <w:t xml:space="preserve">cca v 10 unijních programech). </w:t>
      </w:r>
    </w:p>
    <w:p w:rsidR="00C4383C" w:rsidRPr="00024144" w:rsidRDefault="00C4383C" w:rsidP="00C4383C">
      <w:pPr>
        <w:spacing w:after="120"/>
        <w:rPr>
          <w:sz w:val="22"/>
          <w:szCs w:val="22"/>
        </w:rPr>
      </w:pPr>
      <w:r w:rsidRPr="008D7A67">
        <w:rPr>
          <w:bCs/>
          <w:iCs/>
          <w:sz w:val="22"/>
          <w:szCs w:val="22"/>
        </w:rPr>
        <w:t>Je velmi žádoucí, aby ČR včas aktivizovala své zapojení do unijních programů a zajistila tak efektivní využívání finančních zdrojů EU, poněvadž do unijních programů směřuje v každém dalším období výrazně více finančních prostředků, zatímco se celkový rozpočet na politiku soudržnosti snižuje.</w:t>
      </w:r>
      <w:r w:rsidRPr="008D7A67">
        <w:rPr>
          <w:sz w:val="22"/>
          <w:szCs w:val="22"/>
        </w:rPr>
        <w:t xml:space="preserve"> ČR zatím z mnoha důvodů není na jejich využití dostatečně připravena.</w:t>
      </w:r>
      <w:r>
        <w:rPr>
          <w:sz w:val="22"/>
          <w:szCs w:val="22"/>
        </w:rPr>
        <w:t xml:space="preserve"> </w:t>
      </w:r>
      <w:r w:rsidR="005E1438">
        <w:rPr>
          <w:bCs/>
          <w:iCs/>
          <w:sz w:val="22"/>
          <w:szCs w:val="22"/>
        </w:rPr>
        <w:t>Důležitá</w:t>
      </w:r>
      <w:r w:rsidR="005E1438" w:rsidRPr="008D7A67">
        <w:rPr>
          <w:bCs/>
          <w:iCs/>
          <w:sz w:val="22"/>
          <w:szCs w:val="22"/>
        </w:rPr>
        <w:t xml:space="preserve"> </w:t>
      </w:r>
      <w:r w:rsidRPr="008D7A67">
        <w:rPr>
          <w:bCs/>
          <w:iCs/>
          <w:sz w:val="22"/>
          <w:szCs w:val="22"/>
        </w:rPr>
        <w:t>je proto užší a efektivnější spolupráce</w:t>
      </w:r>
      <w:r>
        <w:rPr>
          <w:bCs/>
          <w:iCs/>
          <w:sz w:val="22"/>
          <w:szCs w:val="22"/>
        </w:rPr>
        <w:t>, která by usnadnila překlenutí deficitu v této oblasti</w:t>
      </w:r>
      <w:r w:rsidRPr="008D7A67">
        <w:rPr>
          <w:bCs/>
          <w:iCs/>
          <w:sz w:val="22"/>
          <w:szCs w:val="22"/>
        </w:rPr>
        <w:t xml:space="preserve">. </w:t>
      </w:r>
      <w:r>
        <w:rPr>
          <w:bCs/>
          <w:iCs/>
          <w:sz w:val="22"/>
          <w:szCs w:val="22"/>
        </w:rPr>
        <w:t>Vhodné je rovněž již nyní zmapovat možné překryvy či naopak synergický potenciál unijních programů s</w:t>
      </w:r>
      <w:r w:rsidR="00C76B2B">
        <w:rPr>
          <w:bCs/>
          <w:iCs/>
          <w:sz w:val="22"/>
          <w:szCs w:val="22"/>
        </w:rPr>
        <w:t> fondy EU</w:t>
      </w:r>
      <w:r>
        <w:rPr>
          <w:bCs/>
          <w:iCs/>
          <w:sz w:val="22"/>
          <w:szCs w:val="22"/>
        </w:rPr>
        <w:t xml:space="preserve"> a začlenit vzájemnou spolupráci již do příprav jednotlivých OP, aby byla doplňkovost maximálně využita. </w:t>
      </w:r>
    </w:p>
    <w:p w:rsidR="00C4383C" w:rsidRDefault="00C4383C" w:rsidP="00C4383C">
      <w:pPr>
        <w:spacing w:after="120"/>
        <w:rPr>
          <w:sz w:val="22"/>
          <w:szCs w:val="22"/>
        </w:rPr>
      </w:pPr>
      <w:r>
        <w:rPr>
          <w:sz w:val="22"/>
          <w:szCs w:val="22"/>
        </w:rPr>
        <w:t xml:space="preserve">V rámci přípravy NKR byly v kartách SC a </w:t>
      </w:r>
      <w:r w:rsidR="005E1438" w:rsidRPr="005E1438">
        <w:rPr>
          <w:sz w:val="22"/>
          <w:szCs w:val="22"/>
        </w:rPr>
        <w:t>po verifikaci s NKM</w:t>
      </w:r>
      <w:r>
        <w:rPr>
          <w:sz w:val="22"/>
          <w:szCs w:val="22"/>
        </w:rPr>
        <w:t xml:space="preserve"> s národními kontaktními místy jednotlivých unijních programů identifikovány k jednotlivým specifickým cílům NKR potenciálně vhodné věcně související unijní programy (pozn. j</w:t>
      </w:r>
      <w:r w:rsidRPr="008D7A67">
        <w:rPr>
          <w:sz w:val="22"/>
          <w:szCs w:val="22"/>
        </w:rPr>
        <w:t>de o unijní programy reflektující budoucí programové období 2021+</w:t>
      </w:r>
      <w:r w:rsidRPr="008D7A67">
        <w:rPr>
          <w:sz w:val="22"/>
          <w:szCs w:val="22"/>
          <w:vertAlign w:val="superscript"/>
        </w:rPr>
        <w:footnoteReference w:id="10"/>
      </w:r>
      <w:r>
        <w:rPr>
          <w:sz w:val="22"/>
          <w:szCs w:val="22"/>
        </w:rPr>
        <w:t xml:space="preserve">). Tabulku s takto identifikovanými programy uvádíme níže. Souhrnná tabulka, obsahující přehled SC NKR a k nim doplňkových unijních programů, vč. detailnějšího upřesnění možnosti využití podle jednotlivých SC NKR, je pak přílohou tohoto materiálu. </w:t>
      </w:r>
    </w:p>
    <w:p w:rsidR="00C4383C" w:rsidRDefault="00C4383C" w:rsidP="00C4383C">
      <w:pPr>
        <w:spacing w:after="120"/>
        <w:rPr>
          <w:sz w:val="22"/>
          <w:szCs w:val="22"/>
        </w:rPr>
      </w:pPr>
      <w:r>
        <w:rPr>
          <w:sz w:val="22"/>
          <w:szCs w:val="22"/>
        </w:rPr>
        <w:t>Je potřeba upozornit, že u</w:t>
      </w:r>
      <w:r w:rsidRPr="54923E25">
        <w:rPr>
          <w:sz w:val="22"/>
          <w:szCs w:val="22"/>
        </w:rPr>
        <w:t xml:space="preserve">nijní programy </w:t>
      </w:r>
      <w:r w:rsidR="005E1438">
        <w:rPr>
          <w:sz w:val="22"/>
          <w:szCs w:val="22"/>
        </w:rPr>
        <w:t xml:space="preserve">a fondy EU </w:t>
      </w:r>
      <w:r w:rsidRPr="54923E25">
        <w:rPr>
          <w:sz w:val="22"/>
          <w:szCs w:val="22"/>
        </w:rPr>
        <w:t xml:space="preserve">nelze </w:t>
      </w:r>
      <w:r>
        <w:rPr>
          <w:sz w:val="22"/>
          <w:szCs w:val="22"/>
        </w:rPr>
        <w:t xml:space="preserve">jednoduše </w:t>
      </w:r>
      <w:r w:rsidRPr="54923E25">
        <w:rPr>
          <w:sz w:val="22"/>
          <w:szCs w:val="22"/>
        </w:rPr>
        <w:t>vnímat jako plnohodnotn</w:t>
      </w:r>
      <w:r w:rsidR="005E1438">
        <w:rPr>
          <w:sz w:val="22"/>
          <w:szCs w:val="22"/>
        </w:rPr>
        <w:t>é</w:t>
      </w:r>
      <w:r w:rsidRPr="54923E25">
        <w:rPr>
          <w:sz w:val="22"/>
          <w:szCs w:val="22"/>
        </w:rPr>
        <w:t xml:space="preserve"> alternativ</w:t>
      </w:r>
      <w:r w:rsidR="005E1438">
        <w:rPr>
          <w:sz w:val="22"/>
          <w:szCs w:val="22"/>
        </w:rPr>
        <w:t>y</w:t>
      </w:r>
      <w:r w:rsidRPr="54923E25">
        <w:rPr>
          <w:sz w:val="22"/>
          <w:szCs w:val="22"/>
        </w:rPr>
        <w:t>, svým rozsahem a zaměřením se v řadě podporovaných oblastí liší od podpory poskytované v rámci jednotlivých operačních programů. V mnoh</w:t>
      </w:r>
      <w:r>
        <w:rPr>
          <w:sz w:val="22"/>
          <w:szCs w:val="22"/>
        </w:rPr>
        <w:t>a</w:t>
      </w:r>
      <w:r w:rsidRPr="54923E25">
        <w:rPr>
          <w:sz w:val="22"/>
          <w:szCs w:val="22"/>
        </w:rPr>
        <w:t xml:space="preserve"> případech jsou z nich financovány především aktivity inovativního či pilotního charakteru (např. EaSI, LIFE aj.).</w:t>
      </w:r>
      <w:r w:rsidDel="008D7A67">
        <w:rPr>
          <w:sz w:val="22"/>
          <w:szCs w:val="22"/>
        </w:rPr>
        <w:t xml:space="preserve"> </w:t>
      </w:r>
      <w:r>
        <w:rPr>
          <w:sz w:val="22"/>
          <w:szCs w:val="22"/>
        </w:rPr>
        <w:t xml:space="preserve">Na druhou stranu u všech SC NKR lze identifikovat alespoň jeden unijní program, jehož aktivity věcně souvisejí alespoň s částí daného cíle a lze je proto považovat za doplňkové. To opět podtrhuje potřebu vzájemné koordinace a spolupráce. </w:t>
      </w:r>
    </w:p>
    <w:p w:rsidR="00C4383C" w:rsidRDefault="00C4383C" w:rsidP="00C4383C">
      <w:pPr>
        <w:spacing w:after="120"/>
        <w:rPr>
          <w:sz w:val="22"/>
          <w:szCs w:val="22"/>
        </w:rPr>
      </w:pPr>
      <w:r>
        <w:rPr>
          <w:sz w:val="22"/>
          <w:szCs w:val="22"/>
        </w:rPr>
        <w:t xml:space="preserve">Relativně největší potenciál využití unijních programů k financování alespoň některých aktivit byl v rámci hodnocení identifikován u specifických cílů </w:t>
      </w:r>
      <w:r w:rsidRPr="00AE315B">
        <w:rPr>
          <w:i/>
          <w:sz w:val="22"/>
          <w:szCs w:val="22"/>
        </w:rPr>
        <w:t>ochrana obyvatelstva</w:t>
      </w:r>
      <w:r>
        <w:rPr>
          <w:sz w:val="22"/>
          <w:szCs w:val="22"/>
        </w:rPr>
        <w:t xml:space="preserve"> (zejména AMF či ISF pro části věnované migraci či policejním aktivitám; Digitální Evropa pro kybernetickou bezpečnost); </w:t>
      </w:r>
      <w:r w:rsidRPr="00AE315B">
        <w:rPr>
          <w:i/>
          <w:sz w:val="22"/>
          <w:szCs w:val="22"/>
        </w:rPr>
        <w:t>zavedení moderních technologií pro organizaci dopravy a snížení dopravní zátěže</w:t>
      </w:r>
      <w:r>
        <w:rPr>
          <w:sz w:val="22"/>
          <w:szCs w:val="22"/>
        </w:rPr>
        <w:t xml:space="preserve"> (zejména CEF, ale i Horizont Evropa či Digitální Evropa); </w:t>
      </w:r>
      <w:r w:rsidRPr="00AE315B">
        <w:rPr>
          <w:i/>
          <w:sz w:val="22"/>
          <w:szCs w:val="22"/>
        </w:rPr>
        <w:t xml:space="preserve">Efektivní využití multimodální nákladní dopravy </w:t>
      </w:r>
      <w:r>
        <w:rPr>
          <w:sz w:val="22"/>
          <w:szCs w:val="22"/>
        </w:rPr>
        <w:t xml:space="preserve">(CEF, Horizont Evropa); </w:t>
      </w:r>
      <w:r w:rsidRPr="00AE315B">
        <w:rPr>
          <w:i/>
          <w:sz w:val="22"/>
          <w:szCs w:val="22"/>
        </w:rPr>
        <w:t>Ochrana, rozvoj a podpora kulturního dědictví</w:t>
      </w:r>
      <w:r>
        <w:rPr>
          <w:sz w:val="22"/>
          <w:szCs w:val="22"/>
        </w:rPr>
        <w:t xml:space="preserve"> (Kreativní Evropa, Erasmus+, ale i InvestEU, Horizont Evropa či Digitální Evropa); </w:t>
      </w:r>
      <w:r w:rsidRPr="00AE315B">
        <w:rPr>
          <w:i/>
          <w:sz w:val="22"/>
          <w:szCs w:val="22"/>
        </w:rPr>
        <w:t>digitalizace územního plánování</w:t>
      </w:r>
      <w:r>
        <w:rPr>
          <w:sz w:val="22"/>
          <w:szCs w:val="22"/>
        </w:rPr>
        <w:t xml:space="preserve"> (Digitální Evropa, Program na podporu reforem).</w:t>
      </w:r>
    </w:p>
    <w:p w:rsidR="00C4383C" w:rsidRDefault="00C4383C" w:rsidP="00C4383C">
      <w:pPr>
        <w:spacing w:after="120"/>
        <w:rPr>
          <w:sz w:val="22"/>
          <w:szCs w:val="22"/>
        </w:rPr>
      </w:pPr>
      <w:r>
        <w:rPr>
          <w:sz w:val="22"/>
          <w:szCs w:val="22"/>
        </w:rPr>
        <w:t xml:space="preserve">Naopak mezi specifické cíle, u nichž je potenciál využití unijních programů nejmenší, patří </w:t>
      </w:r>
      <w:r w:rsidRPr="00AE315B">
        <w:rPr>
          <w:i/>
          <w:sz w:val="22"/>
          <w:szCs w:val="22"/>
        </w:rPr>
        <w:t xml:space="preserve">zkvalitňování veřejných prostranství a rozvoj zelené infrastruktury; Rozvoj bezmotorové dopravy; Rozvoj a zlepšení integrace dopravy; </w:t>
      </w:r>
      <w:r w:rsidR="00DC5C56" w:rsidRPr="00AE315B">
        <w:rPr>
          <w:i/>
          <w:sz w:val="22"/>
          <w:szCs w:val="22"/>
        </w:rPr>
        <w:t xml:space="preserve">Podpora </w:t>
      </w:r>
      <w:r w:rsidR="00DC5C56" w:rsidRPr="00590FD1">
        <w:rPr>
          <w:i/>
          <w:sz w:val="22"/>
          <w:szCs w:val="22"/>
        </w:rPr>
        <w:t>rovnosti žen a mužů</w:t>
      </w:r>
      <w:r w:rsidR="00DC5C56" w:rsidRPr="00590FD1" w:rsidDel="00DC5C56">
        <w:rPr>
          <w:i/>
          <w:sz w:val="22"/>
          <w:szCs w:val="22"/>
        </w:rPr>
        <w:t xml:space="preserve"> </w:t>
      </w:r>
      <w:r w:rsidRPr="00AE315B">
        <w:rPr>
          <w:i/>
          <w:sz w:val="22"/>
          <w:szCs w:val="22"/>
        </w:rPr>
        <w:t>a slaďování pracovního a osobního života; využívání vozidel s alternativním pohonem ve veřejné dopravě; elektronizace výkonu veřejné správy a zavedení související infrastruktury</w:t>
      </w:r>
      <w:r w:rsidR="005F18C0">
        <w:rPr>
          <w:i/>
          <w:sz w:val="22"/>
          <w:szCs w:val="22"/>
        </w:rPr>
        <w:t xml:space="preserve">, </w:t>
      </w:r>
      <w:r w:rsidR="005F18C0" w:rsidRPr="00590FD1">
        <w:rPr>
          <w:i/>
          <w:sz w:val="22"/>
          <w:szCs w:val="22"/>
        </w:rPr>
        <w:t>Zefektivnění veřejné správy pro poskytování kvalitních služeb</w:t>
      </w:r>
      <w:r w:rsidRPr="00AE315B">
        <w:rPr>
          <w:i/>
          <w:sz w:val="22"/>
          <w:szCs w:val="22"/>
        </w:rPr>
        <w:t xml:space="preserve">; </w:t>
      </w:r>
      <w:r>
        <w:rPr>
          <w:sz w:val="22"/>
          <w:szCs w:val="22"/>
        </w:rPr>
        <w:t xml:space="preserve">a </w:t>
      </w:r>
      <w:r w:rsidRPr="00AE315B">
        <w:rPr>
          <w:i/>
          <w:sz w:val="22"/>
          <w:szCs w:val="22"/>
        </w:rPr>
        <w:t>vytvoření zázemí pro vzdělávání pro udržitelný rozvoj</w:t>
      </w:r>
      <w:r w:rsidR="006B26D5">
        <w:rPr>
          <w:i/>
          <w:sz w:val="22"/>
          <w:szCs w:val="22"/>
        </w:rPr>
        <w:t>; Udržitelný cestovní ruch</w:t>
      </w:r>
      <w:r>
        <w:rPr>
          <w:sz w:val="22"/>
          <w:szCs w:val="22"/>
        </w:rPr>
        <w:t>.</w:t>
      </w:r>
    </w:p>
    <w:p w:rsidR="00816FE6" w:rsidRPr="00590FD1" w:rsidRDefault="00B65759" w:rsidP="00590FD1">
      <w:pPr>
        <w:rPr>
          <w:i/>
          <w:sz w:val="22"/>
          <w:szCs w:val="22"/>
        </w:rPr>
      </w:pPr>
      <w:r>
        <w:rPr>
          <w:i/>
          <w:sz w:val="22"/>
          <w:szCs w:val="22"/>
        </w:rPr>
        <w:t xml:space="preserve">Tabulka: </w:t>
      </w:r>
      <w:r w:rsidR="00816FE6" w:rsidRPr="00590FD1">
        <w:rPr>
          <w:i/>
          <w:sz w:val="22"/>
          <w:szCs w:val="22"/>
        </w:rPr>
        <w:t>Vztah specifických cílů NKR a unijních programů</w:t>
      </w:r>
    </w:p>
    <w:tbl>
      <w:tblPr>
        <w:tblStyle w:val="Mkatabulky"/>
        <w:tblW w:w="8959" w:type="dxa"/>
        <w:tblInd w:w="108" w:type="dxa"/>
        <w:tblLook w:val="04A0" w:firstRow="1" w:lastRow="0" w:firstColumn="1" w:lastColumn="0" w:noHBand="0" w:noVBand="1"/>
      </w:tblPr>
      <w:tblGrid>
        <w:gridCol w:w="3969"/>
        <w:gridCol w:w="4990"/>
      </w:tblGrid>
      <w:tr w:rsidR="00C4383C" w:rsidRPr="0071194D" w:rsidTr="00994DD9">
        <w:trPr>
          <w:cantSplit/>
          <w:trHeight w:val="425"/>
          <w:tblHeader/>
        </w:trPr>
        <w:tc>
          <w:tcPr>
            <w:tcW w:w="3969" w:type="dxa"/>
            <w:tcBorders>
              <w:bottom w:val="single" w:sz="4" w:space="0" w:color="auto"/>
            </w:tcBorders>
            <w:shd w:val="clear" w:color="auto" w:fill="B8CCE4" w:themeFill="accent1" w:themeFillTint="66"/>
            <w:vAlign w:val="center"/>
          </w:tcPr>
          <w:p w:rsidR="00C4383C" w:rsidRPr="0071194D" w:rsidRDefault="00C4383C" w:rsidP="00A12DA5">
            <w:pPr>
              <w:spacing w:before="0" w:line="240" w:lineRule="auto"/>
              <w:jc w:val="center"/>
              <w:rPr>
                <w:b/>
              </w:rPr>
            </w:pPr>
            <w:r w:rsidRPr="0071194D">
              <w:rPr>
                <w:b/>
              </w:rPr>
              <w:t>SPECIFICKÝ CÍL NKR</w:t>
            </w:r>
          </w:p>
        </w:tc>
        <w:tc>
          <w:tcPr>
            <w:tcW w:w="4990" w:type="dxa"/>
            <w:tcBorders>
              <w:bottom w:val="single" w:sz="4" w:space="0" w:color="auto"/>
            </w:tcBorders>
            <w:shd w:val="clear" w:color="auto" w:fill="B8CCE4" w:themeFill="accent1" w:themeFillTint="66"/>
            <w:vAlign w:val="center"/>
          </w:tcPr>
          <w:p w:rsidR="00C4383C" w:rsidRPr="0071194D" w:rsidRDefault="00C4383C" w:rsidP="00A12DA5">
            <w:pPr>
              <w:spacing w:before="0" w:line="240" w:lineRule="auto"/>
              <w:jc w:val="left"/>
              <w:rPr>
                <w:b/>
              </w:rPr>
            </w:pPr>
            <w:r>
              <w:rPr>
                <w:b/>
              </w:rPr>
              <w:t>VĚCNĚ SOUVISEJÍCÍ</w:t>
            </w:r>
            <w:r w:rsidRPr="0071194D">
              <w:rPr>
                <w:b/>
              </w:rPr>
              <w:t xml:space="preserve"> UNIJNÍ PROGRAMY</w:t>
            </w:r>
          </w:p>
        </w:tc>
      </w:tr>
      <w:tr w:rsidR="00C4383C" w:rsidRPr="0071194D" w:rsidTr="00994DD9">
        <w:trPr>
          <w:cantSplit/>
          <w:trHeight w:val="277"/>
        </w:trPr>
        <w:tc>
          <w:tcPr>
            <w:tcW w:w="3969" w:type="dxa"/>
            <w:vMerge w:val="restart"/>
            <w:tcBorders>
              <w:top w:val="single" w:sz="4" w:space="0" w:color="auto"/>
              <w:left w:val="single" w:sz="4" w:space="0" w:color="auto"/>
            </w:tcBorders>
            <w:vAlign w:val="center"/>
          </w:tcPr>
          <w:p w:rsidR="00C4383C" w:rsidRPr="0071194D" w:rsidRDefault="00C4383C" w:rsidP="00A12DA5">
            <w:pPr>
              <w:spacing w:before="0" w:after="60" w:line="240" w:lineRule="auto"/>
              <w:jc w:val="left"/>
            </w:pPr>
            <w:r w:rsidRPr="0071194D">
              <w:t>Ochrana a péče o přírodu a krajinu</w:t>
            </w:r>
          </w:p>
        </w:tc>
        <w:tc>
          <w:tcPr>
            <w:tcW w:w="4990" w:type="dxa"/>
            <w:tcBorders>
              <w:top w:val="single" w:sz="4" w:space="0" w:color="auto"/>
            </w:tcBorders>
            <w:vAlign w:val="center"/>
          </w:tcPr>
          <w:p w:rsidR="00C4383C" w:rsidRPr="0071194D" w:rsidRDefault="00C4383C" w:rsidP="00A12DA5">
            <w:pPr>
              <w:spacing w:before="0" w:line="240" w:lineRule="auto"/>
              <w:jc w:val="left"/>
            </w:pPr>
            <w:r w:rsidRPr="0071194D">
              <w:t>Program pro životní prostředí a oblast klimatu (LIFE)</w:t>
            </w:r>
          </w:p>
        </w:tc>
      </w:tr>
      <w:tr w:rsidR="00C4383C" w:rsidRPr="0071194D" w:rsidTr="00994DD9">
        <w:trPr>
          <w:cantSplit/>
        </w:trPr>
        <w:tc>
          <w:tcPr>
            <w:tcW w:w="3969" w:type="dxa"/>
            <w:vMerge/>
            <w:tcBorders>
              <w:left w:val="single" w:sz="4" w:space="0" w:color="auto"/>
              <w:bottom w:val="single" w:sz="4" w:space="0" w:color="auto"/>
            </w:tcBorders>
            <w:vAlign w:val="center"/>
          </w:tcPr>
          <w:p w:rsidR="00C4383C" w:rsidRPr="0071194D" w:rsidRDefault="00C4383C" w:rsidP="00A12DA5">
            <w:pPr>
              <w:spacing w:before="0" w:line="240" w:lineRule="auto"/>
              <w:jc w:val="left"/>
            </w:pPr>
          </w:p>
        </w:tc>
        <w:tc>
          <w:tcPr>
            <w:tcW w:w="4990" w:type="dxa"/>
            <w:tcBorders>
              <w:bottom w:val="single" w:sz="4" w:space="0" w:color="auto"/>
            </w:tcBorders>
            <w:vAlign w:val="center"/>
          </w:tcPr>
          <w:p w:rsidR="00C4383C" w:rsidRPr="0071194D" w:rsidRDefault="00C4383C" w:rsidP="00A12DA5">
            <w:pPr>
              <w:spacing w:before="0" w:line="240" w:lineRule="auto"/>
              <w:jc w:val="left"/>
            </w:pPr>
            <w:r w:rsidRPr="0071194D">
              <w:t>Horizont Evropa</w:t>
            </w:r>
            <w:r w:rsidRPr="0071194D">
              <w:rPr>
                <w:bCs/>
              </w:rPr>
              <w:t xml:space="preserve"> </w:t>
            </w:r>
          </w:p>
        </w:tc>
      </w:tr>
      <w:tr w:rsidR="00C4383C" w:rsidRPr="0071194D" w:rsidTr="00994DD9">
        <w:trPr>
          <w:cantSplit/>
        </w:trPr>
        <w:tc>
          <w:tcPr>
            <w:tcW w:w="3969" w:type="dxa"/>
            <w:vMerge w:val="restart"/>
            <w:tcBorders>
              <w:top w:val="single" w:sz="4" w:space="0" w:color="auto"/>
              <w:left w:val="single" w:sz="4" w:space="0" w:color="auto"/>
            </w:tcBorders>
            <w:shd w:val="clear" w:color="auto" w:fill="DBE5F1" w:themeFill="accent1" w:themeFillTint="33"/>
            <w:vAlign w:val="center"/>
          </w:tcPr>
          <w:p w:rsidR="00C4383C" w:rsidRPr="0071194D" w:rsidRDefault="00C4383C" w:rsidP="00A12DA5">
            <w:pPr>
              <w:spacing w:before="0" w:after="60" w:line="240" w:lineRule="auto"/>
              <w:jc w:val="left"/>
              <w:rPr>
                <w:u w:val="single"/>
              </w:rPr>
            </w:pPr>
            <w:r w:rsidRPr="0071194D">
              <w:t>Zlepšení kvality ovzduší</w:t>
            </w:r>
          </w:p>
        </w:tc>
        <w:tc>
          <w:tcPr>
            <w:tcW w:w="4990" w:type="dxa"/>
            <w:tcBorders>
              <w:top w:val="single" w:sz="4" w:space="0" w:color="auto"/>
            </w:tcBorders>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Program pro životní prostředí a oblast klimatu (LIFE)</w:t>
            </w:r>
          </w:p>
        </w:tc>
      </w:tr>
      <w:tr w:rsidR="00C4383C" w:rsidRPr="0071194D" w:rsidTr="00994DD9">
        <w:trPr>
          <w:cantSplit/>
        </w:trPr>
        <w:tc>
          <w:tcPr>
            <w:tcW w:w="3969" w:type="dxa"/>
            <w:vMerge/>
            <w:tcBorders>
              <w:left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b/>
                <w:iCs/>
              </w:rPr>
            </w:pPr>
            <w:r w:rsidRPr="0071194D">
              <w:rPr>
                <w:iCs/>
              </w:rPr>
              <w:t>Horizont Evropa</w:t>
            </w:r>
            <w:r w:rsidRPr="0071194D">
              <w:rPr>
                <w:b/>
                <w:iCs/>
              </w:rPr>
              <w:t xml:space="preserve"> </w:t>
            </w:r>
          </w:p>
        </w:tc>
      </w:tr>
      <w:tr w:rsidR="00C4383C" w:rsidRPr="0071194D" w:rsidTr="00994DD9">
        <w:trPr>
          <w:cantSplit/>
        </w:trPr>
        <w:tc>
          <w:tcPr>
            <w:tcW w:w="3969" w:type="dxa"/>
            <w:vMerge/>
            <w:tcBorders>
              <w:left w:val="single" w:sz="4" w:space="0" w:color="auto"/>
              <w:bottom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p>
        </w:tc>
        <w:tc>
          <w:tcPr>
            <w:tcW w:w="4990" w:type="dxa"/>
            <w:tcBorders>
              <w:bottom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Pr>
        <w:tc>
          <w:tcPr>
            <w:tcW w:w="3969" w:type="dxa"/>
            <w:vMerge w:val="restart"/>
            <w:tcBorders>
              <w:top w:val="single" w:sz="4" w:space="0" w:color="auto"/>
              <w:left w:val="single" w:sz="4" w:space="0" w:color="auto"/>
              <w:bottom w:val="single" w:sz="4" w:space="0" w:color="auto"/>
            </w:tcBorders>
            <w:vAlign w:val="center"/>
          </w:tcPr>
          <w:p w:rsidR="00C4383C" w:rsidRPr="0071194D" w:rsidRDefault="00C4383C" w:rsidP="00A12DA5">
            <w:pPr>
              <w:spacing w:before="0" w:after="60" w:line="240" w:lineRule="auto"/>
              <w:jc w:val="left"/>
              <w:rPr>
                <w:u w:val="single"/>
              </w:rPr>
            </w:pPr>
            <w:r w:rsidRPr="0071194D">
              <w:t>Ochrana a zlepšení stavu vody a vodního hospodářství</w:t>
            </w:r>
          </w:p>
        </w:tc>
        <w:tc>
          <w:tcPr>
            <w:tcW w:w="4990" w:type="dxa"/>
            <w:tcBorders>
              <w:top w:val="single" w:sz="4" w:space="0" w:color="auto"/>
              <w:bottom w:val="single" w:sz="4" w:space="0" w:color="auto"/>
            </w:tcBorders>
            <w:vAlign w:val="center"/>
          </w:tcPr>
          <w:p w:rsidR="00C4383C" w:rsidRPr="0071194D" w:rsidRDefault="00C4383C" w:rsidP="00A12DA5">
            <w:pPr>
              <w:spacing w:before="0" w:line="240" w:lineRule="auto"/>
              <w:jc w:val="left"/>
              <w:rPr>
                <w:iCs/>
              </w:rPr>
            </w:pPr>
            <w:r w:rsidRPr="0071194D">
              <w:rPr>
                <w:iCs/>
              </w:rPr>
              <w:t>Program pro životní prostředí a oblast klimatu (LIFE)</w:t>
            </w:r>
          </w:p>
        </w:tc>
      </w:tr>
      <w:tr w:rsidR="00C4383C" w:rsidRPr="0071194D" w:rsidTr="00994DD9">
        <w:trPr>
          <w:cantSplit/>
        </w:trPr>
        <w:tc>
          <w:tcPr>
            <w:tcW w:w="3969" w:type="dxa"/>
            <w:vMerge/>
            <w:tcBorders>
              <w:left w:val="single" w:sz="4" w:space="0" w:color="auto"/>
              <w:bottom w:val="single" w:sz="4" w:space="0" w:color="auto"/>
            </w:tcBorders>
            <w:vAlign w:val="center"/>
          </w:tcPr>
          <w:p w:rsidR="00C4383C" w:rsidRPr="0071194D" w:rsidRDefault="00C4383C" w:rsidP="00A12DA5">
            <w:pPr>
              <w:spacing w:before="0" w:line="240" w:lineRule="auto"/>
              <w:jc w:val="left"/>
            </w:pPr>
          </w:p>
        </w:tc>
        <w:tc>
          <w:tcPr>
            <w:tcW w:w="4990" w:type="dxa"/>
            <w:tcBorders>
              <w:bottom w:val="single" w:sz="4" w:space="0" w:color="auto"/>
            </w:tcBorders>
            <w:vAlign w:val="center"/>
          </w:tcPr>
          <w:p w:rsidR="00C4383C" w:rsidRPr="0071194D" w:rsidRDefault="00C4383C" w:rsidP="00A12DA5">
            <w:pPr>
              <w:spacing w:before="0" w:line="240" w:lineRule="auto"/>
              <w:jc w:val="left"/>
              <w:rPr>
                <w:iCs/>
              </w:rPr>
            </w:pPr>
            <w:r w:rsidRPr="0071194D">
              <w:rPr>
                <w:iCs/>
              </w:rPr>
              <w:t>Horizont Evropa</w:t>
            </w:r>
            <w:r w:rsidRPr="0071194D">
              <w:rPr>
                <w:b/>
                <w:iCs/>
              </w:rPr>
              <w:t xml:space="preserve"> </w:t>
            </w:r>
          </w:p>
        </w:tc>
      </w:tr>
      <w:tr w:rsidR="00C4383C" w:rsidRPr="0071194D" w:rsidTr="00994DD9">
        <w:trPr>
          <w:cantSplit/>
        </w:trPr>
        <w:tc>
          <w:tcPr>
            <w:tcW w:w="3969" w:type="dxa"/>
            <w:vMerge/>
            <w:tcBorders>
              <w:left w:val="single" w:sz="4" w:space="0" w:color="auto"/>
              <w:bottom w:val="single" w:sz="4" w:space="0" w:color="auto"/>
            </w:tcBorders>
            <w:vAlign w:val="center"/>
          </w:tcPr>
          <w:p w:rsidR="00C4383C" w:rsidRPr="0071194D" w:rsidRDefault="00C4383C" w:rsidP="00A12DA5">
            <w:pPr>
              <w:spacing w:before="0" w:line="240" w:lineRule="auto"/>
              <w:jc w:val="left"/>
            </w:pPr>
          </w:p>
        </w:tc>
        <w:tc>
          <w:tcPr>
            <w:tcW w:w="4990" w:type="dxa"/>
            <w:tcBorders>
              <w:bottom w:val="single" w:sz="4" w:space="0" w:color="auto"/>
            </w:tcBorders>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Pr>
        <w:tc>
          <w:tcPr>
            <w:tcW w:w="3969" w:type="dxa"/>
            <w:vMerge w:val="restart"/>
            <w:tcBorders>
              <w:top w:val="single" w:sz="4" w:space="0" w:color="auto"/>
              <w:left w:val="single" w:sz="4" w:space="0" w:color="auto"/>
            </w:tcBorders>
            <w:shd w:val="clear" w:color="auto" w:fill="DBE5F1" w:themeFill="accent1" w:themeFillTint="33"/>
            <w:vAlign w:val="center"/>
          </w:tcPr>
          <w:p w:rsidR="00C4383C" w:rsidRPr="0071194D" w:rsidRDefault="00C4383C" w:rsidP="00A12DA5">
            <w:pPr>
              <w:spacing w:before="0" w:line="240" w:lineRule="auto"/>
              <w:jc w:val="left"/>
              <w:rPr>
                <w:u w:val="single"/>
              </w:rPr>
            </w:pPr>
            <w:r w:rsidRPr="0071194D">
              <w:t xml:space="preserve">Sanace míst s ekologickou zátěží </w:t>
            </w:r>
            <w:r w:rsidRPr="0071194D">
              <w:br/>
              <w:t>a revitalizace brownfieldů</w:t>
            </w:r>
          </w:p>
        </w:tc>
        <w:tc>
          <w:tcPr>
            <w:tcW w:w="4990" w:type="dxa"/>
            <w:tcBorders>
              <w:top w:val="single" w:sz="4" w:space="0" w:color="auto"/>
            </w:tcBorders>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Program pro životní prostředí a oblast klimatu (LIFE)</w:t>
            </w:r>
          </w:p>
        </w:tc>
      </w:tr>
      <w:tr w:rsidR="00C4383C" w:rsidRPr="0071194D" w:rsidTr="00994DD9">
        <w:trPr>
          <w:cantSplit/>
        </w:trPr>
        <w:tc>
          <w:tcPr>
            <w:tcW w:w="3969" w:type="dxa"/>
            <w:vMerge/>
            <w:tcBorders>
              <w:left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Horizont Evropa</w:t>
            </w:r>
            <w:r w:rsidRPr="0071194D">
              <w:rPr>
                <w:b/>
                <w:iCs/>
              </w:rPr>
              <w:t xml:space="preserve"> </w:t>
            </w:r>
          </w:p>
        </w:tc>
      </w:tr>
      <w:tr w:rsidR="00C4383C" w:rsidRPr="0071194D" w:rsidTr="00994DD9">
        <w:trPr>
          <w:cantSplit/>
        </w:trPr>
        <w:tc>
          <w:tcPr>
            <w:tcW w:w="3969" w:type="dxa"/>
            <w:vMerge/>
            <w:tcBorders>
              <w:left w:val="single" w:sz="4" w:space="0" w:color="auto"/>
              <w:bottom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p>
        </w:tc>
        <w:tc>
          <w:tcPr>
            <w:tcW w:w="4990" w:type="dxa"/>
            <w:tcBorders>
              <w:bottom w:val="single" w:sz="4" w:space="0" w:color="auto"/>
            </w:tcBorders>
            <w:shd w:val="clear" w:color="auto" w:fill="DBE5F1" w:themeFill="accent1" w:themeFillTint="33"/>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Height w:val="299"/>
        </w:trPr>
        <w:tc>
          <w:tcPr>
            <w:tcW w:w="3969" w:type="dxa"/>
            <w:tcBorders>
              <w:top w:val="single" w:sz="4" w:space="0" w:color="auto"/>
            </w:tcBorders>
            <w:vAlign w:val="center"/>
          </w:tcPr>
          <w:p w:rsidR="00C4383C" w:rsidRPr="0071194D" w:rsidRDefault="00C4383C" w:rsidP="00A12DA5">
            <w:pPr>
              <w:spacing w:before="0" w:line="240" w:lineRule="auto"/>
              <w:jc w:val="left"/>
              <w:rPr>
                <w:u w:val="single"/>
              </w:rPr>
            </w:pPr>
            <w:r w:rsidRPr="0071194D">
              <w:t>Vytvoření zázemí pro vzdělávání pro udržitelný rozvoj</w:t>
            </w:r>
          </w:p>
        </w:tc>
        <w:tc>
          <w:tcPr>
            <w:tcW w:w="4990" w:type="dxa"/>
            <w:tcBorders>
              <w:top w:val="single" w:sz="4" w:space="0" w:color="auto"/>
            </w:tcBorders>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rPr>
                <w:u w:val="single"/>
              </w:rPr>
            </w:pPr>
            <w:r w:rsidRPr="0071194D">
              <w:t>Oběhové hospodářství, odpady a účinné využívání zdrojů</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Program pro životní prostředí a oblast klimatu (LIFE)</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 xml:space="preserve">InvestEU  </w:t>
            </w:r>
          </w:p>
        </w:tc>
      </w:tr>
      <w:tr w:rsidR="00C4383C" w:rsidRPr="0071194D" w:rsidTr="00994DD9">
        <w:trPr>
          <w:cantSplit/>
          <w:trHeight w:val="230"/>
        </w:trPr>
        <w:tc>
          <w:tcPr>
            <w:tcW w:w="3969" w:type="dxa"/>
            <w:vMerge w:val="restart"/>
            <w:vAlign w:val="center"/>
          </w:tcPr>
          <w:p w:rsidR="00C4383C" w:rsidRPr="0071194D" w:rsidRDefault="00C4383C" w:rsidP="00A12DA5">
            <w:pPr>
              <w:spacing w:before="0" w:line="240" w:lineRule="auto"/>
              <w:jc w:val="left"/>
            </w:pPr>
            <w:r w:rsidRPr="0071194D">
              <w:t>Modernizace a zefektivnění výroby, přenosu, přepravy, distribuce a akumulace energie</w:t>
            </w:r>
          </w:p>
        </w:tc>
        <w:tc>
          <w:tcPr>
            <w:tcW w:w="4990" w:type="dxa"/>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vAlign w:val="center"/>
          </w:tcPr>
          <w:p w:rsidR="00C4383C" w:rsidRPr="0071194D" w:rsidRDefault="00C4383C" w:rsidP="00A12DA5">
            <w:pPr>
              <w:spacing w:before="0" w:line="240" w:lineRule="auto"/>
              <w:jc w:val="left"/>
            </w:pPr>
          </w:p>
        </w:tc>
        <w:tc>
          <w:tcPr>
            <w:tcW w:w="4990" w:type="dxa"/>
            <w:vAlign w:val="center"/>
          </w:tcPr>
          <w:p w:rsidR="00C4383C" w:rsidRPr="0071194D" w:rsidRDefault="00C4383C" w:rsidP="00A12DA5">
            <w:pPr>
              <w:spacing w:before="0" w:line="240" w:lineRule="auto"/>
              <w:jc w:val="left"/>
            </w:pPr>
            <w:r w:rsidRPr="0071194D">
              <w:t>Nástroj pro propojení Evropy (CEF) – odvětví energetiky</w:t>
            </w:r>
          </w:p>
        </w:tc>
      </w:tr>
      <w:tr w:rsidR="00C4383C" w:rsidRPr="0071194D" w:rsidTr="00994DD9">
        <w:trPr>
          <w:cantSplit/>
          <w:trHeight w:val="180"/>
        </w:trPr>
        <w:tc>
          <w:tcPr>
            <w:tcW w:w="3969" w:type="dxa"/>
            <w:vMerge/>
            <w:vAlign w:val="center"/>
          </w:tcPr>
          <w:p w:rsidR="00C4383C" w:rsidRPr="0071194D" w:rsidRDefault="00C4383C" w:rsidP="00A12DA5">
            <w:pPr>
              <w:spacing w:before="0" w:line="240" w:lineRule="auto"/>
              <w:jc w:val="left"/>
            </w:pPr>
          </w:p>
        </w:tc>
        <w:tc>
          <w:tcPr>
            <w:tcW w:w="4990" w:type="dxa"/>
            <w:vAlign w:val="center"/>
          </w:tcPr>
          <w:p w:rsidR="00C4383C" w:rsidRPr="0071194D" w:rsidRDefault="00C4383C" w:rsidP="00A12DA5">
            <w:pPr>
              <w:spacing w:before="0" w:line="240" w:lineRule="auto"/>
              <w:jc w:val="left"/>
            </w:pPr>
            <w:r w:rsidRPr="0071194D">
              <w:t>InvestEU</w:t>
            </w:r>
          </w:p>
        </w:tc>
      </w:tr>
      <w:tr w:rsidR="00C4383C" w:rsidRPr="0071194D" w:rsidTr="00994DD9">
        <w:trPr>
          <w:cantSplit/>
          <w:trHeight w:val="212"/>
        </w:trPr>
        <w:tc>
          <w:tcPr>
            <w:tcW w:w="3969" w:type="dxa"/>
            <w:vMerge/>
            <w:vAlign w:val="center"/>
          </w:tcPr>
          <w:p w:rsidR="00C4383C" w:rsidRPr="0071194D" w:rsidRDefault="00C4383C" w:rsidP="00A12DA5">
            <w:pPr>
              <w:spacing w:before="0" w:line="240" w:lineRule="auto"/>
              <w:jc w:val="left"/>
            </w:pPr>
          </w:p>
        </w:tc>
        <w:tc>
          <w:tcPr>
            <w:tcW w:w="4990" w:type="dxa"/>
            <w:vAlign w:val="center"/>
          </w:tcPr>
          <w:p w:rsidR="00C4383C" w:rsidRPr="0071194D" w:rsidRDefault="00C4383C" w:rsidP="00A12DA5">
            <w:pPr>
              <w:spacing w:before="0" w:line="240" w:lineRule="auto"/>
              <w:jc w:val="left"/>
            </w:pPr>
            <w:r w:rsidRPr="0071194D">
              <w:t>Program pro životní prostředí a oblast klimatu (LIFE)</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Zvýšení energetické účinnosti a úspory energie</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Horizont Evropa</w:t>
            </w:r>
          </w:p>
        </w:tc>
      </w:tr>
      <w:tr w:rsidR="00C4383C" w:rsidRPr="0071194D" w:rsidTr="00994DD9">
        <w:trPr>
          <w:cantSplit/>
          <w:trHeight w:val="256"/>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Program pro životní prostředí a oblast klimatu (LIFE)</w:t>
            </w:r>
          </w:p>
        </w:tc>
      </w:tr>
      <w:tr w:rsidR="00C4383C" w:rsidRPr="0071194D" w:rsidTr="00994DD9">
        <w:trPr>
          <w:cantSplit/>
          <w:trHeight w:val="284"/>
        </w:trPr>
        <w:tc>
          <w:tcPr>
            <w:tcW w:w="3969" w:type="dxa"/>
            <w:vMerge w:val="restart"/>
            <w:vAlign w:val="center"/>
          </w:tcPr>
          <w:p w:rsidR="00C4383C" w:rsidRPr="0071194D" w:rsidRDefault="00C4383C" w:rsidP="00A12DA5">
            <w:pPr>
              <w:spacing w:before="0" w:line="240" w:lineRule="auto"/>
              <w:jc w:val="left"/>
            </w:pPr>
            <w:r w:rsidRPr="0071194D">
              <w:t xml:space="preserve">Podpora vzniku a zavádění inovativních nízkouhlíkových technologií a efektivní a šetrné využívání obnovitelných zdrojů energie </w:t>
            </w:r>
          </w:p>
        </w:tc>
        <w:tc>
          <w:tcPr>
            <w:tcW w:w="4990" w:type="dxa"/>
            <w:vAlign w:val="center"/>
          </w:tcPr>
          <w:p w:rsidR="00C4383C" w:rsidRPr="0071194D" w:rsidRDefault="00C4383C" w:rsidP="00A12DA5">
            <w:pPr>
              <w:spacing w:before="0" w:line="240" w:lineRule="auto"/>
              <w:jc w:val="left"/>
            </w:pPr>
            <w:r w:rsidRPr="0071194D">
              <w:rPr>
                <w:iCs/>
              </w:rPr>
              <w:t>Program pro životní prostředí a oblast klimatu (LIFE)</w:t>
            </w:r>
          </w:p>
        </w:tc>
      </w:tr>
      <w:tr w:rsidR="00C4383C" w:rsidRPr="0071194D" w:rsidTr="00994DD9">
        <w:trPr>
          <w:cantSplit/>
          <w:trHeight w:val="284"/>
        </w:trPr>
        <w:tc>
          <w:tcPr>
            <w:tcW w:w="3969" w:type="dxa"/>
            <w:vMerge/>
            <w:vAlign w:val="center"/>
          </w:tcPr>
          <w:p w:rsidR="00C4383C" w:rsidRPr="0071194D" w:rsidRDefault="00C4383C" w:rsidP="00A12DA5">
            <w:pPr>
              <w:spacing w:before="0" w:line="240" w:lineRule="auto"/>
              <w:jc w:val="left"/>
            </w:pPr>
          </w:p>
        </w:tc>
        <w:tc>
          <w:tcPr>
            <w:tcW w:w="4990" w:type="dxa"/>
            <w:vAlign w:val="center"/>
          </w:tcPr>
          <w:p w:rsidR="00C4383C" w:rsidRPr="0071194D" w:rsidRDefault="00C4383C" w:rsidP="00A12DA5">
            <w:pPr>
              <w:spacing w:before="0" w:line="240" w:lineRule="auto"/>
              <w:jc w:val="left"/>
            </w:pPr>
            <w:r w:rsidRPr="0071194D">
              <w:rPr>
                <w:iCs/>
              </w:rPr>
              <w:t>Horizont Evropa</w:t>
            </w:r>
          </w:p>
        </w:tc>
      </w:tr>
      <w:tr w:rsidR="00C4383C" w:rsidRPr="0071194D" w:rsidTr="00994DD9">
        <w:trPr>
          <w:cantSplit/>
          <w:trHeight w:val="284"/>
        </w:trPr>
        <w:tc>
          <w:tcPr>
            <w:tcW w:w="3969" w:type="dxa"/>
            <w:vMerge/>
            <w:vAlign w:val="center"/>
          </w:tcPr>
          <w:p w:rsidR="00C4383C" w:rsidRPr="0071194D" w:rsidRDefault="00C4383C" w:rsidP="00A12DA5">
            <w:pPr>
              <w:spacing w:before="0" w:line="240" w:lineRule="auto"/>
              <w:jc w:val="left"/>
            </w:pPr>
          </w:p>
        </w:tc>
        <w:tc>
          <w:tcPr>
            <w:tcW w:w="4990" w:type="dxa"/>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Zavedení moderních a vysoce účinných způsobů výroby, distribuce a akumulace tepelné energie</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InvestEU</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Program pro životní prostředí a oblast klimatu (LIFE)</w:t>
            </w:r>
          </w:p>
        </w:tc>
      </w:tr>
      <w:tr w:rsidR="00C4383C" w:rsidRPr="0071194D" w:rsidTr="00994DD9">
        <w:trPr>
          <w:cantSplit/>
          <w:trHeight w:val="232"/>
        </w:trPr>
        <w:tc>
          <w:tcPr>
            <w:tcW w:w="3969" w:type="dxa"/>
            <w:shd w:val="clear" w:color="auto" w:fill="auto"/>
            <w:vAlign w:val="center"/>
          </w:tcPr>
          <w:p w:rsidR="00165E85" w:rsidRPr="0071194D" w:rsidRDefault="00C4383C" w:rsidP="00A12DA5">
            <w:pPr>
              <w:spacing w:before="0" w:line="240" w:lineRule="auto"/>
              <w:jc w:val="left"/>
            </w:pPr>
            <w:r w:rsidRPr="0071194D">
              <w:t>Rozvoj zázemí pro kvalitní a relevantní výzkum</w:t>
            </w:r>
          </w:p>
        </w:tc>
        <w:tc>
          <w:tcPr>
            <w:tcW w:w="4990" w:type="dxa"/>
            <w:shd w:val="clear" w:color="auto" w:fill="auto"/>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Podpora inovac</w:t>
            </w:r>
            <w:r w:rsidR="00BE4B04">
              <w:t>í</w:t>
            </w:r>
            <w:r w:rsidRPr="0071194D">
              <w:t xml:space="preserve"> prostřednictvím aplikovaného výzkumu a experimentálního vývoje</w:t>
            </w: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InvestEU</w:t>
            </w:r>
          </w:p>
        </w:tc>
      </w:tr>
      <w:tr w:rsidR="00C4383C" w:rsidRPr="0071194D" w:rsidTr="00994DD9">
        <w:trPr>
          <w:cantSplit/>
          <w:trHeight w:val="360"/>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Program pro jednotný trh</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Evropský kosmický program</w:t>
            </w:r>
          </w:p>
        </w:tc>
      </w:tr>
      <w:tr w:rsidR="003E4F45" w:rsidRPr="0071194D" w:rsidTr="00994DD9">
        <w:trPr>
          <w:cantSplit/>
        </w:trPr>
        <w:tc>
          <w:tcPr>
            <w:tcW w:w="3969" w:type="dxa"/>
            <w:vMerge w:val="restart"/>
            <w:shd w:val="clear" w:color="auto" w:fill="auto"/>
            <w:vAlign w:val="center"/>
          </w:tcPr>
          <w:p w:rsidR="003E4F45" w:rsidRPr="0071194D" w:rsidRDefault="003E4F45" w:rsidP="00A12DA5">
            <w:pPr>
              <w:spacing w:before="0" w:line="240" w:lineRule="auto"/>
              <w:jc w:val="left"/>
            </w:pPr>
            <w:r w:rsidRPr="0071194D">
              <w:t>Zkvalitnění strategického řízení  VaVaI</w:t>
            </w:r>
          </w:p>
        </w:tc>
        <w:tc>
          <w:tcPr>
            <w:tcW w:w="4990" w:type="dxa"/>
            <w:shd w:val="clear" w:color="auto" w:fill="auto"/>
            <w:vAlign w:val="center"/>
          </w:tcPr>
          <w:p w:rsidR="003E4F45" w:rsidRPr="0071194D" w:rsidRDefault="003E4F45" w:rsidP="00A12DA5">
            <w:pPr>
              <w:spacing w:before="0" w:line="240" w:lineRule="auto"/>
              <w:jc w:val="left"/>
            </w:pPr>
            <w:r w:rsidRPr="0071194D">
              <w:t>Horizont Evropa</w:t>
            </w:r>
          </w:p>
        </w:tc>
      </w:tr>
      <w:tr w:rsidR="003E4F45" w:rsidRPr="0071194D" w:rsidTr="00994DD9">
        <w:trPr>
          <w:cantSplit/>
        </w:trPr>
        <w:tc>
          <w:tcPr>
            <w:tcW w:w="3969" w:type="dxa"/>
            <w:vMerge/>
            <w:shd w:val="clear" w:color="auto" w:fill="auto"/>
            <w:vAlign w:val="center"/>
          </w:tcPr>
          <w:p w:rsidR="003E4F45" w:rsidRPr="0071194D" w:rsidRDefault="003E4F45" w:rsidP="00A12DA5">
            <w:pPr>
              <w:spacing w:before="0" w:line="240" w:lineRule="auto"/>
              <w:jc w:val="left"/>
            </w:pPr>
          </w:p>
        </w:tc>
        <w:tc>
          <w:tcPr>
            <w:tcW w:w="4990" w:type="dxa"/>
            <w:shd w:val="clear" w:color="auto" w:fill="auto"/>
            <w:vAlign w:val="center"/>
          </w:tcPr>
          <w:p w:rsidR="003E4F45" w:rsidRPr="0071194D" w:rsidRDefault="003E4F45" w:rsidP="00A12DA5">
            <w:pPr>
              <w:spacing w:before="0" w:line="240" w:lineRule="auto"/>
              <w:jc w:val="left"/>
              <w:rPr>
                <w:iCs/>
              </w:rPr>
            </w:pPr>
            <w:r w:rsidRPr="0071194D">
              <w:rPr>
                <w:iCs/>
              </w:rPr>
              <w:t>Program na podporu reforem</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Zlepšení inovační schopnosti MSP</w:t>
            </w: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Program pro jednotný trh</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Kreativní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 xml:space="preserve">InvestEU  </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Digitální Evropa</w:t>
            </w:r>
          </w:p>
        </w:tc>
      </w:tr>
      <w:tr w:rsidR="00C4383C" w:rsidRPr="0071194D" w:rsidTr="00994DD9">
        <w:trPr>
          <w:cantSplit/>
          <w:trHeight w:val="255"/>
        </w:trPr>
        <w:tc>
          <w:tcPr>
            <w:tcW w:w="3969" w:type="dxa"/>
            <w:vMerge w:val="restart"/>
            <w:shd w:val="clear" w:color="auto" w:fill="auto"/>
            <w:vAlign w:val="center"/>
          </w:tcPr>
          <w:p w:rsidR="00C4383C" w:rsidRPr="0071194D" w:rsidRDefault="00C4383C" w:rsidP="00A12DA5">
            <w:pPr>
              <w:spacing w:before="0" w:line="240" w:lineRule="auto"/>
              <w:jc w:val="left"/>
            </w:pPr>
            <w:r w:rsidRPr="0071194D">
              <w:t>Zvýšení přidané hodnoty výrobků a služeb podniků v produkčním řetězci</w:t>
            </w:r>
          </w:p>
        </w:tc>
        <w:tc>
          <w:tcPr>
            <w:tcW w:w="4990" w:type="dxa"/>
            <w:shd w:val="clear" w:color="auto" w:fill="auto"/>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Height w:val="162"/>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Program pro jednotný trh</w:t>
            </w:r>
          </w:p>
        </w:tc>
      </w:tr>
      <w:tr w:rsidR="00C4383C" w:rsidRPr="0071194D" w:rsidTr="00994DD9">
        <w:trPr>
          <w:cantSplit/>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rPr>
                <w:highlight w:val="green"/>
              </w:rPr>
            </w:pPr>
            <w:r w:rsidRPr="0071194D">
              <w:t>InvestEU</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Zavedení principů digitální ekonomiky a průmyslu 4.0 ve firmách</w:t>
            </w: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Height w:val="238"/>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 xml:space="preserve">InvestEU  </w:t>
            </w:r>
          </w:p>
        </w:tc>
      </w:tr>
      <w:tr w:rsidR="00C4383C" w:rsidRPr="0071194D" w:rsidTr="00994DD9">
        <w:trPr>
          <w:cantSplit/>
          <w:trHeight w:val="238"/>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rPr>
                <w:iCs/>
              </w:rPr>
            </w:pPr>
            <w:r w:rsidRPr="0071194D">
              <w:rPr>
                <w:iCs/>
              </w:rPr>
              <w:t>Program pro jednotný trh</w:t>
            </w:r>
          </w:p>
        </w:tc>
      </w:tr>
      <w:tr w:rsidR="00C4383C" w:rsidRPr="0071194D" w:rsidTr="00994DD9">
        <w:trPr>
          <w:cantSplit/>
        </w:trPr>
        <w:tc>
          <w:tcPr>
            <w:tcW w:w="3969" w:type="dxa"/>
            <w:vMerge w:val="restart"/>
            <w:shd w:val="clear" w:color="auto" w:fill="auto"/>
            <w:vAlign w:val="center"/>
          </w:tcPr>
          <w:p w:rsidR="00C4383C" w:rsidRPr="0071194D" w:rsidRDefault="00C4383C" w:rsidP="00A12DA5">
            <w:pPr>
              <w:spacing w:before="0" w:line="240" w:lineRule="auto"/>
              <w:jc w:val="left"/>
            </w:pPr>
            <w:r w:rsidRPr="0071194D">
              <w:t>Účinné zabezpečení informačních a komunikačních systémů veřejné správy včetně složek IZS a adekvátní reakce na rostoucí kybernetické hrozby</w:t>
            </w:r>
          </w:p>
        </w:tc>
        <w:tc>
          <w:tcPr>
            <w:tcW w:w="4990" w:type="dxa"/>
            <w:shd w:val="clear" w:color="auto" w:fill="auto"/>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Fond pro vnitřní bezpečnost</w:t>
            </w:r>
          </w:p>
        </w:tc>
      </w:tr>
      <w:tr w:rsidR="00C4383C" w:rsidRPr="0071194D" w:rsidTr="00994DD9">
        <w:trPr>
          <w:cantSplit/>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Nástroj pro propojení Evropy (CEF) – digitální odvětví</w:t>
            </w:r>
          </w:p>
        </w:tc>
      </w:tr>
      <w:tr w:rsidR="00C4383C" w:rsidRPr="0071194D" w:rsidTr="00994DD9">
        <w:trPr>
          <w:cantSplit/>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Horizont Evropa</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Elektronizace výkonu veřejné správy a zavedení související infrastruktury</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Nástroj pro propojení Evropy (CEF) – digitální odvětví</w:t>
            </w:r>
          </w:p>
        </w:tc>
      </w:tr>
      <w:tr w:rsidR="00C4383C" w:rsidRPr="0071194D" w:rsidTr="00994DD9">
        <w:trPr>
          <w:cantSplit/>
          <w:trHeight w:val="156"/>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iCs/>
              </w:rPr>
              <w:t>Program na podporu reforem</w:t>
            </w:r>
          </w:p>
        </w:tc>
      </w:tr>
      <w:tr w:rsidR="00C4383C" w:rsidRPr="0071194D" w:rsidTr="00994DD9">
        <w:trPr>
          <w:cantSplit/>
          <w:trHeight w:val="330"/>
        </w:trPr>
        <w:tc>
          <w:tcPr>
            <w:tcW w:w="3969" w:type="dxa"/>
            <w:vMerge w:val="restart"/>
            <w:shd w:val="clear" w:color="auto" w:fill="auto"/>
            <w:vAlign w:val="center"/>
          </w:tcPr>
          <w:p w:rsidR="00C4383C" w:rsidRPr="0071194D" w:rsidRDefault="00C4383C" w:rsidP="00A12DA5">
            <w:pPr>
              <w:spacing w:before="0" w:line="240" w:lineRule="auto"/>
              <w:jc w:val="left"/>
            </w:pPr>
            <w:r w:rsidRPr="0071194D">
              <w:t>Digitalizace územního plánování (elektronizace a digitalizace agend stavebního práva)</w:t>
            </w:r>
          </w:p>
        </w:tc>
        <w:tc>
          <w:tcPr>
            <w:tcW w:w="4990" w:type="dxa"/>
            <w:shd w:val="clear" w:color="auto" w:fill="auto"/>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Height w:val="235"/>
        </w:trPr>
        <w:tc>
          <w:tcPr>
            <w:tcW w:w="3969" w:type="dxa"/>
            <w:vMerge/>
            <w:shd w:val="clear" w:color="auto" w:fill="auto"/>
            <w:vAlign w:val="center"/>
          </w:tcPr>
          <w:p w:rsidR="00C4383C" w:rsidRPr="0071194D" w:rsidRDefault="00C4383C" w:rsidP="00A12DA5">
            <w:pPr>
              <w:spacing w:before="0" w:line="240" w:lineRule="auto"/>
              <w:jc w:val="left"/>
            </w:pPr>
          </w:p>
        </w:tc>
        <w:tc>
          <w:tcPr>
            <w:tcW w:w="4990" w:type="dxa"/>
            <w:shd w:val="clear" w:color="auto" w:fill="auto"/>
            <w:vAlign w:val="center"/>
          </w:tcPr>
          <w:p w:rsidR="00C4383C" w:rsidRPr="0071194D" w:rsidRDefault="00C4383C" w:rsidP="00A12DA5">
            <w:pPr>
              <w:spacing w:before="0" w:line="240" w:lineRule="auto"/>
              <w:jc w:val="left"/>
            </w:pPr>
            <w:r w:rsidRPr="0071194D">
              <w:t>Program na podporu reforem</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Ochrana obyvatelstva</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Horizont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Azylový a migrační fond</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rPr>
                <w:bCs/>
              </w:rPr>
              <w:t>Evropský obranný fond</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Digitální Evropa</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Fond pro vnitřní bezpečnost</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Fond solidarity Evropské unie</w:t>
            </w:r>
          </w:p>
        </w:tc>
      </w:tr>
      <w:tr w:rsidR="00C4383C" w:rsidRPr="0071194D" w:rsidTr="00994DD9">
        <w:trPr>
          <w:cantSplit/>
        </w:trPr>
        <w:tc>
          <w:tcPr>
            <w:tcW w:w="3969" w:type="dxa"/>
            <w:vMerge/>
            <w:shd w:val="clear" w:color="auto" w:fill="DBE5F1" w:themeFill="accent1" w:themeFillTint="33"/>
            <w:vAlign w:val="center"/>
          </w:tcPr>
          <w:p w:rsidR="00C4383C" w:rsidRPr="0071194D" w:rsidRDefault="00C4383C" w:rsidP="00A12DA5">
            <w:pPr>
              <w:spacing w:before="0" w:line="240" w:lineRule="auto"/>
              <w:jc w:val="left"/>
            </w:pP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Zdraví (od roku 2021+ součástí ESF+)</w:t>
            </w:r>
          </w:p>
        </w:tc>
      </w:tr>
      <w:tr w:rsidR="00C4383C" w:rsidRPr="0071194D" w:rsidTr="00994DD9">
        <w:trPr>
          <w:cantSplit/>
          <w:trHeight w:val="694"/>
        </w:trPr>
        <w:tc>
          <w:tcPr>
            <w:tcW w:w="3969" w:type="dxa"/>
            <w:shd w:val="clear" w:color="auto" w:fill="auto"/>
            <w:vAlign w:val="center"/>
          </w:tcPr>
          <w:p w:rsidR="00C4383C" w:rsidRPr="0071194D" w:rsidRDefault="00C4383C" w:rsidP="00A12DA5">
            <w:pPr>
              <w:spacing w:before="0" w:line="240" w:lineRule="auto"/>
              <w:jc w:val="left"/>
            </w:pPr>
            <w:r w:rsidRPr="0071194D">
              <w:t xml:space="preserve">Zefektivnění veřejné správy pro poskytování kvalitních služeb </w:t>
            </w:r>
          </w:p>
        </w:tc>
        <w:tc>
          <w:tcPr>
            <w:tcW w:w="4990" w:type="dxa"/>
            <w:shd w:val="clear" w:color="auto" w:fill="auto"/>
            <w:vAlign w:val="center"/>
          </w:tcPr>
          <w:p w:rsidR="00C4383C" w:rsidRPr="0071194D" w:rsidRDefault="00D976BA" w:rsidP="00A12DA5">
            <w:pPr>
              <w:spacing w:before="0" w:line="240" w:lineRule="auto"/>
              <w:jc w:val="left"/>
            </w:pPr>
            <w:r w:rsidRPr="0071194D">
              <w:t>Program na podporu reforem</w:t>
            </w:r>
          </w:p>
        </w:tc>
      </w:tr>
      <w:tr w:rsidR="00C4383C" w:rsidRPr="0071194D" w:rsidTr="00994DD9">
        <w:trPr>
          <w:cantSplit/>
        </w:trPr>
        <w:tc>
          <w:tcPr>
            <w:tcW w:w="3969" w:type="dxa"/>
            <w:vMerge w:val="restart"/>
            <w:shd w:val="clear" w:color="auto" w:fill="DBE5F1" w:themeFill="accent1" w:themeFillTint="33"/>
            <w:vAlign w:val="center"/>
          </w:tcPr>
          <w:p w:rsidR="00C4383C" w:rsidRPr="0071194D" w:rsidRDefault="00C4383C" w:rsidP="00A12DA5">
            <w:pPr>
              <w:spacing w:before="0" w:line="240" w:lineRule="auto"/>
              <w:jc w:val="left"/>
            </w:pPr>
            <w:r w:rsidRPr="0071194D">
              <w:t>Zvýšení účasti znevýhodněných skupin na trhu práce</w:t>
            </w:r>
          </w:p>
        </w:tc>
        <w:tc>
          <w:tcPr>
            <w:tcW w:w="4990" w:type="dxa"/>
            <w:shd w:val="clear" w:color="auto" w:fill="DBE5F1" w:themeFill="accent1" w:themeFillTint="33"/>
            <w:vAlign w:val="center"/>
          </w:tcPr>
          <w:p w:rsidR="00C4383C" w:rsidRPr="0071194D" w:rsidRDefault="00C4383C" w:rsidP="00A12DA5">
            <w:pPr>
              <w:spacing w:before="0" w:line="240" w:lineRule="auto"/>
              <w:jc w:val="left"/>
            </w:pPr>
            <w:r w:rsidRPr="0071194D">
              <w:t>Evropský fond pro přizpůsobení se globalizaci</w:t>
            </w:r>
            <w:r w:rsidR="00EE0499">
              <w:t xml:space="preserve"> (EGF)</w:t>
            </w:r>
          </w:p>
        </w:tc>
      </w:tr>
      <w:tr w:rsidR="0042390C" w:rsidRPr="0071194D" w:rsidTr="00994DD9">
        <w:trPr>
          <w:cantSplit/>
          <w:trHeight w:val="700"/>
        </w:trPr>
        <w:tc>
          <w:tcPr>
            <w:tcW w:w="3969" w:type="dxa"/>
            <w:vMerge/>
            <w:shd w:val="clear" w:color="auto" w:fill="DBE5F1" w:themeFill="accent1" w:themeFillTint="33"/>
            <w:vAlign w:val="center"/>
          </w:tcPr>
          <w:p w:rsidR="0042390C" w:rsidRPr="0071194D" w:rsidRDefault="0042390C" w:rsidP="00A12DA5">
            <w:pPr>
              <w:spacing w:before="0" w:line="240" w:lineRule="auto"/>
              <w:jc w:val="left"/>
              <w:rPr>
                <w:highlight w:val="yellow"/>
              </w:rPr>
            </w:pPr>
          </w:p>
        </w:tc>
        <w:tc>
          <w:tcPr>
            <w:tcW w:w="4990" w:type="dxa"/>
            <w:shd w:val="clear" w:color="auto" w:fill="DBE5F1" w:themeFill="accent1" w:themeFillTint="33"/>
            <w:vAlign w:val="center"/>
          </w:tcPr>
          <w:p w:rsidR="0042390C" w:rsidRPr="0071194D" w:rsidRDefault="0042390C" w:rsidP="00A12DA5">
            <w:pPr>
              <w:spacing w:before="0" w:line="240" w:lineRule="auto"/>
              <w:jc w:val="left"/>
            </w:pPr>
            <w:r w:rsidRPr="0071194D">
              <w:t>Zaměstnanost a sociální inovace (od roku 2021+ součástí ESF+)</w:t>
            </w:r>
          </w:p>
        </w:tc>
      </w:tr>
      <w:tr w:rsidR="004F70F3" w:rsidRPr="0071194D" w:rsidTr="00994DD9">
        <w:trPr>
          <w:cantSplit/>
        </w:trPr>
        <w:tc>
          <w:tcPr>
            <w:tcW w:w="3969" w:type="dxa"/>
            <w:vMerge w:val="restart"/>
            <w:shd w:val="clear" w:color="auto" w:fill="FFFFFF" w:themeFill="background1"/>
            <w:vAlign w:val="center"/>
          </w:tcPr>
          <w:p w:rsidR="004F70F3" w:rsidRPr="0071194D" w:rsidRDefault="004F70F3" w:rsidP="00A12DA5">
            <w:pPr>
              <w:spacing w:before="0" w:line="240" w:lineRule="auto"/>
              <w:jc w:val="left"/>
            </w:pPr>
            <w:r w:rsidRPr="0071194D">
              <w:t>Modernizace institucí na trhu práce</w:t>
            </w:r>
          </w:p>
        </w:tc>
        <w:tc>
          <w:tcPr>
            <w:tcW w:w="4990" w:type="dxa"/>
            <w:shd w:val="clear" w:color="auto" w:fill="FFFFFF" w:themeFill="background1"/>
            <w:vAlign w:val="center"/>
          </w:tcPr>
          <w:p w:rsidR="004F70F3" w:rsidRPr="0071194D" w:rsidRDefault="004F70F3" w:rsidP="00A12DA5">
            <w:pPr>
              <w:spacing w:before="0" w:line="240" w:lineRule="auto"/>
              <w:jc w:val="left"/>
              <w:rPr>
                <w:iCs/>
              </w:rPr>
            </w:pPr>
            <w:r w:rsidRPr="0071194D">
              <w:t xml:space="preserve">Digitální Evropa  </w:t>
            </w:r>
          </w:p>
        </w:tc>
      </w:tr>
      <w:tr w:rsidR="00CD7CC1" w:rsidRPr="0071194D" w:rsidTr="00994DD9">
        <w:trPr>
          <w:cantSplit/>
        </w:trPr>
        <w:tc>
          <w:tcPr>
            <w:tcW w:w="3969" w:type="dxa"/>
            <w:vMerge/>
            <w:shd w:val="clear" w:color="auto" w:fill="FFFFFF" w:themeFill="background1"/>
            <w:vAlign w:val="center"/>
          </w:tcPr>
          <w:p w:rsidR="00CD7CC1" w:rsidRPr="0071194D" w:rsidRDefault="00CD7CC1" w:rsidP="00A12DA5">
            <w:pPr>
              <w:spacing w:before="0" w:line="240" w:lineRule="auto"/>
              <w:jc w:val="left"/>
            </w:pPr>
          </w:p>
        </w:tc>
        <w:tc>
          <w:tcPr>
            <w:tcW w:w="4990" w:type="dxa"/>
            <w:shd w:val="clear" w:color="auto" w:fill="FFFFFF" w:themeFill="background1"/>
            <w:vAlign w:val="center"/>
          </w:tcPr>
          <w:p w:rsidR="00CD7CC1" w:rsidRPr="0071194D" w:rsidRDefault="00CD7CC1" w:rsidP="00A12DA5">
            <w:pPr>
              <w:spacing w:before="0" w:line="240" w:lineRule="auto"/>
              <w:jc w:val="left"/>
            </w:pPr>
            <w:r w:rsidRPr="0071194D">
              <w:rPr>
                <w:iCs/>
              </w:rPr>
              <w:t>InvestEU</w:t>
            </w:r>
          </w:p>
        </w:tc>
      </w:tr>
      <w:tr w:rsidR="004F70F3" w:rsidRPr="0071194D" w:rsidTr="00994DD9">
        <w:trPr>
          <w:cantSplit/>
          <w:trHeight w:val="700"/>
        </w:trPr>
        <w:tc>
          <w:tcPr>
            <w:tcW w:w="3969" w:type="dxa"/>
            <w:vMerge/>
            <w:shd w:val="clear" w:color="auto" w:fill="FFFFFF" w:themeFill="background1"/>
            <w:vAlign w:val="center"/>
          </w:tcPr>
          <w:p w:rsidR="004F70F3" w:rsidRPr="0071194D" w:rsidRDefault="004F70F3" w:rsidP="00A12DA5">
            <w:pPr>
              <w:spacing w:before="0" w:line="240" w:lineRule="auto"/>
              <w:jc w:val="left"/>
            </w:pPr>
          </w:p>
        </w:tc>
        <w:tc>
          <w:tcPr>
            <w:tcW w:w="4990" w:type="dxa"/>
            <w:shd w:val="clear" w:color="auto" w:fill="FFFFFF" w:themeFill="background1"/>
            <w:vAlign w:val="center"/>
          </w:tcPr>
          <w:p w:rsidR="004F70F3" w:rsidRPr="0071194D" w:rsidRDefault="004F70F3" w:rsidP="00A12DA5">
            <w:pPr>
              <w:spacing w:before="0" w:line="240" w:lineRule="auto"/>
              <w:jc w:val="left"/>
            </w:pPr>
            <w:r w:rsidRPr="0071194D">
              <w:t>Zaměstnanost a sociální inovace (od roku 2021+ součástí ESF+)</w:t>
            </w:r>
          </w:p>
        </w:tc>
      </w:tr>
      <w:tr w:rsidR="004F70F3" w:rsidRPr="0071194D" w:rsidTr="00994DD9">
        <w:trPr>
          <w:cantSplit/>
          <w:trHeight w:val="284"/>
        </w:trPr>
        <w:tc>
          <w:tcPr>
            <w:tcW w:w="3969" w:type="dxa"/>
            <w:vMerge w:val="restart"/>
            <w:shd w:val="clear" w:color="auto" w:fill="DBE5F1" w:themeFill="accent1" w:themeFillTint="33"/>
            <w:vAlign w:val="center"/>
          </w:tcPr>
          <w:p w:rsidR="004F70F3" w:rsidRPr="0071194D" w:rsidRDefault="004F70F3" w:rsidP="00A12DA5">
            <w:pPr>
              <w:spacing w:before="0" w:line="240" w:lineRule="auto"/>
              <w:jc w:val="left"/>
            </w:pPr>
            <w:r w:rsidRPr="0071194D">
              <w:t xml:space="preserve">Podpora </w:t>
            </w:r>
            <w:r w:rsidR="00A825A5">
              <w:t>rovnosti žen a mužů</w:t>
            </w:r>
            <w:r w:rsidRPr="0071194D">
              <w:t xml:space="preserve"> a</w:t>
            </w:r>
            <w:r w:rsidR="00A825A5">
              <w:t xml:space="preserve"> </w:t>
            </w:r>
            <w:r w:rsidRPr="0071194D">
              <w:t>slaďování pracovního a osobního života</w:t>
            </w:r>
          </w:p>
        </w:tc>
        <w:tc>
          <w:tcPr>
            <w:tcW w:w="4990" w:type="dxa"/>
            <w:shd w:val="clear" w:color="auto" w:fill="DBE5F1" w:themeFill="accent1" w:themeFillTint="33"/>
            <w:vAlign w:val="center"/>
          </w:tcPr>
          <w:p w:rsidR="004F70F3" w:rsidRPr="0071194D" w:rsidRDefault="008D4AFA" w:rsidP="00A12DA5">
            <w:pPr>
              <w:spacing w:before="0" w:line="240" w:lineRule="auto"/>
              <w:jc w:val="left"/>
            </w:pPr>
            <w:r w:rsidRPr="0071194D">
              <w:t>Kreativní Evropa</w:t>
            </w:r>
          </w:p>
        </w:tc>
      </w:tr>
      <w:tr w:rsidR="004F70F3" w:rsidRPr="0071194D" w:rsidTr="00994DD9">
        <w:trPr>
          <w:cantSplit/>
        </w:trPr>
        <w:tc>
          <w:tcPr>
            <w:tcW w:w="3969" w:type="dxa"/>
            <w:vMerge/>
            <w:tcBorders>
              <w:bottom w:val="single" w:sz="4" w:space="0" w:color="auto"/>
            </w:tcBorders>
            <w:shd w:val="clear" w:color="auto" w:fill="DBE5F1" w:themeFill="accent1" w:themeFillTint="33"/>
            <w:vAlign w:val="center"/>
          </w:tcPr>
          <w:p w:rsidR="004F70F3" w:rsidRPr="0071194D" w:rsidRDefault="004F70F3" w:rsidP="00A12DA5">
            <w:pPr>
              <w:spacing w:before="0" w:line="240" w:lineRule="auto"/>
              <w:jc w:val="left"/>
            </w:pPr>
          </w:p>
        </w:tc>
        <w:tc>
          <w:tcPr>
            <w:tcW w:w="4990" w:type="dxa"/>
            <w:shd w:val="clear" w:color="auto" w:fill="DBE5F1" w:themeFill="accent1" w:themeFillTint="33"/>
            <w:vAlign w:val="center"/>
          </w:tcPr>
          <w:p w:rsidR="004F70F3" w:rsidRPr="0071194D" w:rsidRDefault="008D4AFA" w:rsidP="00A12DA5">
            <w:pPr>
              <w:spacing w:before="0" w:line="240" w:lineRule="auto"/>
              <w:jc w:val="left"/>
            </w:pPr>
            <w:r w:rsidRPr="0071194D">
              <w:rPr>
                <w:iCs/>
              </w:rPr>
              <w:t>InvestEU</w:t>
            </w:r>
          </w:p>
        </w:tc>
      </w:tr>
      <w:tr w:rsidR="004F70F3" w:rsidRPr="0071194D" w:rsidTr="00994DD9">
        <w:trPr>
          <w:cantSplit/>
        </w:trPr>
        <w:tc>
          <w:tcPr>
            <w:tcW w:w="3969" w:type="dxa"/>
            <w:vMerge w:val="restart"/>
            <w:shd w:val="clear" w:color="auto" w:fill="auto"/>
            <w:vAlign w:val="center"/>
          </w:tcPr>
          <w:p w:rsidR="004F70F3" w:rsidRPr="0071194D" w:rsidRDefault="004F70F3" w:rsidP="00A12DA5">
            <w:pPr>
              <w:spacing w:before="0" w:line="240" w:lineRule="auto"/>
              <w:jc w:val="left"/>
            </w:pPr>
            <w:r w:rsidRPr="0071194D">
              <w:t>Fungující systém dalšího profesního vzdělávání</w:t>
            </w:r>
          </w:p>
        </w:tc>
        <w:tc>
          <w:tcPr>
            <w:tcW w:w="4990" w:type="dxa"/>
            <w:tcBorders>
              <w:bottom w:val="single" w:sz="4" w:space="0" w:color="auto"/>
            </w:tcBorders>
            <w:shd w:val="clear" w:color="auto" w:fill="auto"/>
            <w:vAlign w:val="center"/>
          </w:tcPr>
          <w:p w:rsidR="004F70F3" w:rsidRPr="0071194D" w:rsidRDefault="008D4AFA" w:rsidP="00A12DA5">
            <w:pPr>
              <w:spacing w:before="0" w:line="240" w:lineRule="auto"/>
              <w:jc w:val="left"/>
            </w:pPr>
            <w:r w:rsidRPr="0071194D">
              <w:t>Erasmus+</w:t>
            </w:r>
          </w:p>
        </w:tc>
      </w:tr>
      <w:tr w:rsidR="004F70F3" w:rsidRPr="0071194D" w:rsidTr="00994DD9">
        <w:trPr>
          <w:cantSplit/>
        </w:trPr>
        <w:tc>
          <w:tcPr>
            <w:tcW w:w="3969" w:type="dxa"/>
            <w:vMerge/>
            <w:shd w:val="clear" w:color="auto" w:fill="auto"/>
            <w:vAlign w:val="center"/>
          </w:tcPr>
          <w:p w:rsidR="004F70F3" w:rsidRPr="0071194D" w:rsidRDefault="004F70F3" w:rsidP="00A12DA5">
            <w:pPr>
              <w:spacing w:before="0" w:line="240" w:lineRule="auto"/>
              <w:jc w:val="left"/>
            </w:pPr>
          </w:p>
        </w:tc>
        <w:tc>
          <w:tcPr>
            <w:tcW w:w="4990" w:type="dxa"/>
            <w:tcBorders>
              <w:bottom w:val="single" w:sz="4" w:space="0" w:color="auto"/>
            </w:tcBorders>
            <w:shd w:val="clear" w:color="auto" w:fill="auto"/>
            <w:vAlign w:val="center"/>
          </w:tcPr>
          <w:p w:rsidR="004F70F3" w:rsidRPr="0071194D" w:rsidRDefault="008D4AFA" w:rsidP="00A12DA5">
            <w:pPr>
              <w:spacing w:before="0" w:line="240" w:lineRule="auto"/>
              <w:jc w:val="left"/>
            </w:pPr>
            <w:r w:rsidRPr="0071194D">
              <w:t>Kreativní</w:t>
            </w:r>
            <w:r w:rsidR="004F70F3" w:rsidRPr="0071194D">
              <w:t xml:space="preserve"> Evropa</w:t>
            </w:r>
          </w:p>
        </w:tc>
      </w:tr>
      <w:tr w:rsidR="004F70F3" w:rsidRPr="0071194D" w:rsidTr="00994DD9">
        <w:trPr>
          <w:cantSplit/>
        </w:trPr>
        <w:tc>
          <w:tcPr>
            <w:tcW w:w="3969" w:type="dxa"/>
            <w:vMerge/>
            <w:shd w:val="clear" w:color="auto" w:fill="auto"/>
            <w:vAlign w:val="center"/>
          </w:tcPr>
          <w:p w:rsidR="004F70F3" w:rsidRPr="0071194D" w:rsidRDefault="004F70F3" w:rsidP="00A12DA5">
            <w:pPr>
              <w:spacing w:before="0" w:line="240" w:lineRule="auto"/>
              <w:jc w:val="left"/>
            </w:pPr>
          </w:p>
        </w:tc>
        <w:tc>
          <w:tcPr>
            <w:tcW w:w="4990" w:type="dxa"/>
            <w:tcBorders>
              <w:bottom w:val="single" w:sz="4" w:space="0" w:color="auto"/>
            </w:tcBorders>
            <w:shd w:val="clear" w:color="auto" w:fill="auto"/>
            <w:vAlign w:val="center"/>
          </w:tcPr>
          <w:p w:rsidR="004F70F3" w:rsidRPr="0071194D" w:rsidRDefault="008D4AFA" w:rsidP="00A12DA5">
            <w:pPr>
              <w:spacing w:before="0" w:line="240" w:lineRule="auto"/>
              <w:jc w:val="left"/>
            </w:pPr>
            <w:r w:rsidRPr="0071194D">
              <w:t>Digitální Evropa</w:t>
            </w:r>
          </w:p>
        </w:tc>
      </w:tr>
      <w:tr w:rsidR="004F70F3" w:rsidRPr="0071194D" w:rsidTr="00994DD9">
        <w:trPr>
          <w:cantSplit/>
        </w:trPr>
        <w:tc>
          <w:tcPr>
            <w:tcW w:w="3969" w:type="dxa"/>
            <w:vMerge/>
            <w:shd w:val="clear" w:color="auto" w:fill="auto"/>
            <w:vAlign w:val="center"/>
          </w:tcPr>
          <w:p w:rsidR="004F70F3" w:rsidRPr="0071194D" w:rsidRDefault="004F70F3" w:rsidP="00A12DA5">
            <w:pPr>
              <w:spacing w:before="0" w:line="240" w:lineRule="auto"/>
              <w:jc w:val="left"/>
            </w:pPr>
          </w:p>
        </w:tc>
        <w:tc>
          <w:tcPr>
            <w:tcW w:w="4990" w:type="dxa"/>
            <w:tcBorders>
              <w:bottom w:val="single" w:sz="4" w:space="0" w:color="auto"/>
            </w:tcBorders>
            <w:shd w:val="clear" w:color="auto" w:fill="auto"/>
            <w:vAlign w:val="center"/>
          </w:tcPr>
          <w:p w:rsidR="004F70F3" w:rsidRPr="0071194D" w:rsidRDefault="008D4AFA" w:rsidP="00A12DA5">
            <w:pPr>
              <w:spacing w:before="0" w:line="240" w:lineRule="auto"/>
              <w:jc w:val="left"/>
            </w:pPr>
            <w:r w:rsidRPr="0071194D">
              <w:t>Zaměstnanost a sociální inovace (od roku 2021+ součástí ESF+)</w:t>
            </w:r>
          </w:p>
        </w:tc>
      </w:tr>
      <w:tr w:rsidR="004F70F3" w:rsidRPr="0071194D" w:rsidTr="00994DD9">
        <w:trPr>
          <w:cantSplit/>
        </w:trPr>
        <w:tc>
          <w:tcPr>
            <w:tcW w:w="3969" w:type="dxa"/>
            <w:vMerge/>
            <w:tcBorders>
              <w:bottom w:val="single" w:sz="4" w:space="0" w:color="auto"/>
            </w:tcBorders>
            <w:shd w:val="clear" w:color="auto" w:fill="auto"/>
            <w:vAlign w:val="center"/>
          </w:tcPr>
          <w:p w:rsidR="004F70F3" w:rsidRPr="0071194D" w:rsidRDefault="004F70F3" w:rsidP="00A12DA5">
            <w:pPr>
              <w:spacing w:before="0" w:line="240" w:lineRule="auto"/>
              <w:jc w:val="left"/>
            </w:pPr>
          </w:p>
        </w:tc>
        <w:tc>
          <w:tcPr>
            <w:tcW w:w="4990" w:type="dxa"/>
            <w:tcBorders>
              <w:top w:val="single" w:sz="4" w:space="0" w:color="auto"/>
            </w:tcBorders>
            <w:shd w:val="clear" w:color="auto" w:fill="FFFFFF" w:themeFill="background1"/>
            <w:vAlign w:val="center"/>
          </w:tcPr>
          <w:p w:rsidR="004F70F3" w:rsidRPr="0071194D" w:rsidRDefault="008D4AFA" w:rsidP="00A12DA5">
            <w:pPr>
              <w:spacing w:before="0" w:line="240" w:lineRule="auto"/>
              <w:jc w:val="left"/>
            </w:pPr>
            <w:r w:rsidRPr="0071194D">
              <w:t>Evropský fond pro přizpůsobení se globalizaci</w:t>
            </w:r>
            <w:r>
              <w:t xml:space="preserve"> (EGF)</w:t>
            </w:r>
          </w:p>
        </w:tc>
      </w:tr>
      <w:tr w:rsidR="004F70F3" w:rsidRPr="0071194D" w:rsidTr="00994DD9">
        <w:trPr>
          <w:cantSplit/>
        </w:trPr>
        <w:tc>
          <w:tcPr>
            <w:tcW w:w="3969" w:type="dxa"/>
            <w:vMerge w:val="restart"/>
            <w:tcBorders>
              <w:top w:val="single" w:sz="4" w:space="0" w:color="auto"/>
            </w:tcBorders>
            <w:shd w:val="clear" w:color="auto" w:fill="DBE5F1" w:themeFill="accent1" w:themeFillTint="33"/>
            <w:vAlign w:val="center"/>
          </w:tcPr>
          <w:p w:rsidR="004F70F3" w:rsidRPr="0071194D" w:rsidRDefault="004F70F3" w:rsidP="00A12DA5">
            <w:pPr>
              <w:spacing w:before="0" w:line="240" w:lineRule="auto"/>
              <w:jc w:val="left"/>
            </w:pPr>
            <w:r w:rsidRPr="0071194D">
              <w:t xml:space="preserve">Podpora a využití pracovní mobility </w:t>
            </w:r>
          </w:p>
        </w:tc>
        <w:tc>
          <w:tcPr>
            <w:tcW w:w="4990" w:type="dxa"/>
            <w:shd w:val="clear" w:color="auto" w:fill="DBE5F1" w:themeFill="accent1" w:themeFillTint="33"/>
            <w:vAlign w:val="center"/>
          </w:tcPr>
          <w:p w:rsidR="004F70F3" w:rsidRPr="0071194D" w:rsidRDefault="008D4AFA" w:rsidP="00A12DA5">
            <w:pPr>
              <w:spacing w:before="0" w:line="240" w:lineRule="auto"/>
              <w:jc w:val="left"/>
            </w:pPr>
            <w:r w:rsidRPr="0071194D">
              <w:t>Kreativní</w:t>
            </w:r>
            <w:r w:rsidR="004F70F3" w:rsidRPr="0071194D">
              <w:t xml:space="preserve"> Evropa</w:t>
            </w:r>
          </w:p>
        </w:tc>
      </w:tr>
      <w:tr w:rsidR="004F70F3" w:rsidRPr="0071194D" w:rsidTr="00994DD9">
        <w:trPr>
          <w:cantSplit/>
        </w:trPr>
        <w:tc>
          <w:tcPr>
            <w:tcW w:w="3969" w:type="dxa"/>
            <w:vMerge/>
            <w:shd w:val="clear" w:color="auto" w:fill="DBE5F1" w:themeFill="accent1" w:themeFillTint="33"/>
            <w:vAlign w:val="center"/>
          </w:tcPr>
          <w:p w:rsidR="004F70F3" w:rsidRPr="0071194D" w:rsidRDefault="004F70F3" w:rsidP="00A12DA5">
            <w:pPr>
              <w:spacing w:before="0" w:line="240" w:lineRule="auto"/>
              <w:jc w:val="left"/>
            </w:pPr>
          </w:p>
        </w:tc>
        <w:tc>
          <w:tcPr>
            <w:tcW w:w="4990" w:type="dxa"/>
            <w:shd w:val="clear" w:color="auto" w:fill="DBE5F1" w:themeFill="accent1" w:themeFillTint="33"/>
            <w:vAlign w:val="center"/>
          </w:tcPr>
          <w:p w:rsidR="004F70F3" w:rsidRPr="0071194D" w:rsidRDefault="008D4AFA" w:rsidP="00A12DA5">
            <w:pPr>
              <w:spacing w:before="0" w:line="240" w:lineRule="auto"/>
              <w:jc w:val="left"/>
            </w:pPr>
            <w:r w:rsidRPr="0071194D">
              <w:t>Horizont Evropa</w:t>
            </w:r>
          </w:p>
        </w:tc>
      </w:tr>
      <w:tr w:rsidR="004F70F3" w:rsidRPr="0071194D" w:rsidTr="00994DD9">
        <w:trPr>
          <w:cantSplit/>
        </w:trPr>
        <w:tc>
          <w:tcPr>
            <w:tcW w:w="3969" w:type="dxa"/>
            <w:vMerge/>
            <w:shd w:val="clear" w:color="auto" w:fill="DBE5F1" w:themeFill="accent1" w:themeFillTint="33"/>
            <w:vAlign w:val="center"/>
          </w:tcPr>
          <w:p w:rsidR="004F70F3" w:rsidRPr="0071194D" w:rsidRDefault="004F70F3" w:rsidP="00A12DA5">
            <w:pPr>
              <w:spacing w:before="0" w:line="240" w:lineRule="auto"/>
              <w:jc w:val="left"/>
            </w:pPr>
          </w:p>
        </w:tc>
        <w:tc>
          <w:tcPr>
            <w:tcW w:w="4990" w:type="dxa"/>
            <w:tcBorders>
              <w:bottom w:val="single" w:sz="4" w:space="0" w:color="auto"/>
            </w:tcBorders>
            <w:shd w:val="clear" w:color="auto" w:fill="DBE5F1" w:themeFill="accent1" w:themeFillTint="33"/>
            <w:vAlign w:val="center"/>
          </w:tcPr>
          <w:p w:rsidR="004F70F3" w:rsidRPr="0071194D" w:rsidRDefault="008D4AFA" w:rsidP="00A12DA5">
            <w:pPr>
              <w:spacing w:before="0" w:line="240" w:lineRule="auto"/>
              <w:jc w:val="left"/>
            </w:pPr>
            <w:r w:rsidRPr="0071194D">
              <w:t>Zaměstnanost a sociální inovace (od roku 2021+ součástí ESF+)</w:t>
            </w:r>
          </w:p>
        </w:tc>
      </w:tr>
      <w:tr w:rsidR="00374786" w:rsidRPr="0071194D" w:rsidTr="00994DD9">
        <w:trPr>
          <w:cantSplit/>
          <w:trHeight w:val="248"/>
        </w:trPr>
        <w:tc>
          <w:tcPr>
            <w:tcW w:w="3969" w:type="dxa"/>
            <w:vMerge/>
            <w:shd w:val="clear" w:color="auto" w:fill="DBE5F1" w:themeFill="accent1" w:themeFillTint="33"/>
            <w:vAlign w:val="center"/>
          </w:tcPr>
          <w:p w:rsidR="00374786" w:rsidRPr="0071194D" w:rsidRDefault="00374786" w:rsidP="00A12DA5">
            <w:pPr>
              <w:spacing w:before="0" w:line="240" w:lineRule="auto"/>
              <w:jc w:val="left"/>
            </w:pPr>
          </w:p>
        </w:tc>
        <w:tc>
          <w:tcPr>
            <w:tcW w:w="4990" w:type="dxa"/>
            <w:tcBorders>
              <w:top w:val="single" w:sz="4" w:space="0" w:color="auto"/>
            </w:tcBorders>
            <w:shd w:val="clear" w:color="auto" w:fill="DBE5F1" w:themeFill="accent1" w:themeFillTint="33"/>
            <w:vAlign w:val="center"/>
          </w:tcPr>
          <w:p w:rsidR="00374786" w:rsidRPr="0071194D" w:rsidRDefault="00374786" w:rsidP="00A12DA5">
            <w:pPr>
              <w:spacing w:before="0" w:line="240" w:lineRule="auto"/>
              <w:jc w:val="left"/>
            </w:pPr>
            <w:r w:rsidRPr="0071194D">
              <w:t>Erasmus+</w:t>
            </w:r>
          </w:p>
        </w:tc>
      </w:tr>
      <w:tr w:rsidR="00B11A1E" w:rsidRPr="0071194D" w:rsidTr="00994DD9">
        <w:trPr>
          <w:cantSplit/>
          <w:trHeight w:val="186"/>
        </w:trPr>
        <w:tc>
          <w:tcPr>
            <w:tcW w:w="3969" w:type="dxa"/>
            <w:vMerge w:val="restart"/>
            <w:tcBorders>
              <w:top w:val="single" w:sz="4" w:space="0" w:color="auto"/>
              <w:left w:val="single" w:sz="4" w:space="0" w:color="auto"/>
            </w:tcBorders>
            <w:shd w:val="clear" w:color="auto" w:fill="auto"/>
            <w:vAlign w:val="center"/>
          </w:tcPr>
          <w:p w:rsidR="00B11A1E" w:rsidRPr="0071194D" w:rsidRDefault="00B11A1E" w:rsidP="00374786">
            <w:pPr>
              <w:spacing w:before="0" w:after="60" w:line="240" w:lineRule="auto"/>
              <w:jc w:val="left"/>
            </w:pPr>
            <w:r w:rsidRPr="0071194D">
              <w:t>Zlepšení výsledků vzdělávacího systému s ohledem na moderní kompetence a potřeby trhu práce, mimo jiné s ohledem na digitalizaci průmyslu a společnosti</w:t>
            </w:r>
          </w:p>
          <w:p w:rsidR="00B11A1E" w:rsidRPr="0071194D" w:rsidRDefault="00B11A1E" w:rsidP="00374786">
            <w:pPr>
              <w:spacing w:before="0" w:line="240" w:lineRule="auto"/>
              <w:jc w:val="left"/>
            </w:pPr>
          </w:p>
        </w:tc>
        <w:tc>
          <w:tcPr>
            <w:tcW w:w="4990" w:type="dxa"/>
            <w:tcBorders>
              <w:bottom w:val="single" w:sz="4" w:space="0" w:color="auto"/>
            </w:tcBorders>
            <w:shd w:val="clear" w:color="auto" w:fill="auto"/>
            <w:vAlign w:val="center"/>
          </w:tcPr>
          <w:p w:rsidR="00B11A1E" w:rsidRPr="0071194D" w:rsidRDefault="00B11A1E" w:rsidP="00374786">
            <w:pPr>
              <w:spacing w:before="0" w:line="240" w:lineRule="auto"/>
              <w:jc w:val="left"/>
            </w:pPr>
            <w:r w:rsidRPr="0071194D">
              <w:t>Erasmus+</w:t>
            </w:r>
          </w:p>
        </w:tc>
      </w:tr>
      <w:tr w:rsidR="00B11A1E" w:rsidRPr="0071194D" w:rsidTr="00994DD9">
        <w:trPr>
          <w:cantSplit/>
          <w:trHeight w:val="232"/>
        </w:trPr>
        <w:tc>
          <w:tcPr>
            <w:tcW w:w="3969" w:type="dxa"/>
            <w:vMerge/>
            <w:tcBorders>
              <w:left w:val="single" w:sz="4" w:space="0" w:color="auto"/>
            </w:tcBorders>
            <w:shd w:val="clear" w:color="auto" w:fill="auto"/>
            <w:vAlign w:val="center"/>
          </w:tcPr>
          <w:p w:rsidR="00B11A1E" w:rsidRPr="0071194D" w:rsidRDefault="00B11A1E" w:rsidP="00374786">
            <w:pPr>
              <w:spacing w:before="0" w:line="240" w:lineRule="auto"/>
              <w:jc w:val="left"/>
            </w:pPr>
          </w:p>
        </w:tc>
        <w:tc>
          <w:tcPr>
            <w:tcW w:w="4990" w:type="dxa"/>
            <w:tcBorders>
              <w:bottom w:val="single" w:sz="4" w:space="0" w:color="auto"/>
            </w:tcBorders>
            <w:shd w:val="clear" w:color="auto" w:fill="auto"/>
            <w:vAlign w:val="center"/>
          </w:tcPr>
          <w:p w:rsidR="00B11A1E" w:rsidRPr="0071194D" w:rsidRDefault="00B11A1E" w:rsidP="00374786">
            <w:pPr>
              <w:spacing w:before="0" w:line="240" w:lineRule="auto"/>
              <w:jc w:val="left"/>
            </w:pPr>
            <w:r w:rsidRPr="0071194D">
              <w:t>Horizont Evropa</w:t>
            </w:r>
          </w:p>
        </w:tc>
      </w:tr>
      <w:tr w:rsidR="00B11A1E" w:rsidRPr="0071194D" w:rsidTr="00994DD9">
        <w:trPr>
          <w:cantSplit/>
          <w:trHeight w:val="372"/>
        </w:trPr>
        <w:tc>
          <w:tcPr>
            <w:tcW w:w="3969" w:type="dxa"/>
            <w:vMerge/>
            <w:tcBorders>
              <w:left w:val="single" w:sz="4" w:space="0" w:color="auto"/>
            </w:tcBorders>
            <w:shd w:val="clear" w:color="auto" w:fill="auto"/>
            <w:vAlign w:val="center"/>
          </w:tcPr>
          <w:p w:rsidR="00B11A1E" w:rsidRPr="0071194D" w:rsidRDefault="00B11A1E" w:rsidP="00374786">
            <w:pPr>
              <w:spacing w:before="0" w:line="240" w:lineRule="auto"/>
              <w:jc w:val="left"/>
            </w:pPr>
          </w:p>
        </w:tc>
        <w:tc>
          <w:tcPr>
            <w:tcW w:w="4990" w:type="dxa"/>
            <w:tcBorders>
              <w:bottom w:val="single" w:sz="4" w:space="0" w:color="auto"/>
            </w:tcBorders>
            <w:shd w:val="clear" w:color="auto" w:fill="auto"/>
            <w:vAlign w:val="center"/>
          </w:tcPr>
          <w:p w:rsidR="00B11A1E" w:rsidRPr="0071194D" w:rsidRDefault="00B11A1E" w:rsidP="00374786">
            <w:pPr>
              <w:spacing w:before="0" w:line="240" w:lineRule="auto"/>
              <w:jc w:val="left"/>
            </w:pPr>
            <w:r w:rsidRPr="0071194D">
              <w:t>Kreativní Evropa</w:t>
            </w:r>
          </w:p>
        </w:tc>
      </w:tr>
      <w:tr w:rsidR="00B11A1E" w:rsidRPr="0071194D" w:rsidTr="00994DD9">
        <w:trPr>
          <w:cantSplit/>
          <w:trHeight w:val="70"/>
        </w:trPr>
        <w:tc>
          <w:tcPr>
            <w:tcW w:w="3969" w:type="dxa"/>
            <w:vMerge/>
            <w:tcBorders>
              <w:left w:val="single" w:sz="4" w:space="0" w:color="auto"/>
            </w:tcBorders>
            <w:shd w:val="clear" w:color="auto" w:fill="auto"/>
            <w:vAlign w:val="center"/>
          </w:tcPr>
          <w:p w:rsidR="00B11A1E" w:rsidRPr="0071194D" w:rsidRDefault="00B11A1E" w:rsidP="00374786">
            <w:pPr>
              <w:spacing w:before="0" w:line="240" w:lineRule="auto"/>
              <w:jc w:val="left"/>
            </w:pPr>
          </w:p>
        </w:tc>
        <w:tc>
          <w:tcPr>
            <w:tcW w:w="4990" w:type="dxa"/>
            <w:tcBorders>
              <w:bottom w:val="single" w:sz="4" w:space="0" w:color="auto"/>
            </w:tcBorders>
            <w:shd w:val="clear" w:color="auto" w:fill="auto"/>
            <w:vAlign w:val="center"/>
          </w:tcPr>
          <w:p w:rsidR="00B11A1E" w:rsidRPr="0071194D" w:rsidRDefault="00B11A1E" w:rsidP="00374786">
            <w:pPr>
              <w:spacing w:before="0" w:line="240" w:lineRule="auto"/>
              <w:jc w:val="left"/>
            </w:pPr>
            <w:r w:rsidRPr="00B11A1E">
              <w:t>Digitální Evropa</w:t>
            </w:r>
          </w:p>
        </w:tc>
      </w:tr>
      <w:tr w:rsidR="00B11A1E" w:rsidRPr="0071194D" w:rsidTr="00994DD9">
        <w:trPr>
          <w:cantSplit/>
          <w:trHeight w:val="340"/>
        </w:trPr>
        <w:tc>
          <w:tcPr>
            <w:tcW w:w="3969" w:type="dxa"/>
            <w:tcBorders>
              <w:top w:val="single" w:sz="4" w:space="0" w:color="auto"/>
              <w:left w:val="single" w:sz="4" w:space="0" w:color="auto"/>
            </w:tcBorders>
            <w:shd w:val="clear" w:color="auto" w:fill="DBE5F1" w:themeFill="accent1" w:themeFillTint="33"/>
            <w:vAlign w:val="center"/>
          </w:tcPr>
          <w:p w:rsidR="00B11A1E" w:rsidRPr="0071194D" w:rsidRDefault="00B11A1E" w:rsidP="00374786">
            <w:pPr>
              <w:spacing w:before="0" w:after="60" w:line="240" w:lineRule="auto"/>
              <w:jc w:val="left"/>
            </w:pPr>
            <w:r w:rsidRPr="0071194D">
              <w:t>Zajištění rovného přístupu ke vzdělání</w:t>
            </w:r>
          </w:p>
        </w:tc>
        <w:tc>
          <w:tcPr>
            <w:tcW w:w="4990" w:type="dxa"/>
            <w:tcBorders>
              <w:top w:val="single" w:sz="4" w:space="0" w:color="auto"/>
            </w:tcBorders>
            <w:shd w:val="clear" w:color="auto" w:fill="DBE5F1" w:themeFill="accent1" w:themeFillTint="33"/>
            <w:vAlign w:val="center"/>
          </w:tcPr>
          <w:p w:rsidR="00B11A1E" w:rsidRPr="0071194D" w:rsidRDefault="00B11A1E" w:rsidP="00374786">
            <w:pPr>
              <w:spacing w:before="0" w:line="240" w:lineRule="auto"/>
              <w:jc w:val="left"/>
            </w:pPr>
            <w:r w:rsidRPr="0071194D">
              <w:t>Erasmus+</w:t>
            </w:r>
          </w:p>
        </w:tc>
      </w:tr>
      <w:tr w:rsidR="00374786" w:rsidRPr="0071194D" w:rsidTr="00994DD9">
        <w:trPr>
          <w:cantSplit/>
        </w:trPr>
        <w:tc>
          <w:tcPr>
            <w:tcW w:w="3969" w:type="dxa"/>
            <w:vMerge w:val="restart"/>
            <w:tcBorders>
              <w:top w:val="single" w:sz="4" w:space="0" w:color="auto"/>
              <w:left w:val="single" w:sz="4" w:space="0" w:color="auto"/>
            </w:tcBorders>
            <w:shd w:val="clear" w:color="auto" w:fill="auto"/>
            <w:vAlign w:val="center"/>
          </w:tcPr>
          <w:p w:rsidR="00374786" w:rsidRPr="0071194D" w:rsidRDefault="00374786" w:rsidP="00374786">
            <w:pPr>
              <w:spacing w:before="0" w:after="60" w:line="240" w:lineRule="auto"/>
              <w:jc w:val="left"/>
            </w:pPr>
            <w:r w:rsidRPr="0071194D">
              <w:t>Zvýšení kompetencí a kvality pracovníků ve vzdělávání</w:t>
            </w:r>
          </w:p>
        </w:tc>
        <w:tc>
          <w:tcPr>
            <w:tcW w:w="4990" w:type="dxa"/>
            <w:tcBorders>
              <w:bottom w:val="single" w:sz="4" w:space="0" w:color="auto"/>
            </w:tcBorders>
            <w:shd w:val="clear" w:color="auto" w:fill="auto"/>
            <w:vAlign w:val="center"/>
          </w:tcPr>
          <w:p w:rsidR="00374786" w:rsidRPr="0071194D" w:rsidRDefault="00374786" w:rsidP="00374786">
            <w:pPr>
              <w:spacing w:before="0" w:line="240" w:lineRule="auto"/>
              <w:jc w:val="left"/>
            </w:pPr>
            <w:r w:rsidRPr="0071194D">
              <w:t>Erasmus+</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tcBorders>
              <w:bottom w:val="single" w:sz="4" w:space="0" w:color="auto"/>
            </w:tcBorders>
            <w:shd w:val="clear" w:color="auto" w:fill="auto"/>
            <w:vAlign w:val="center"/>
          </w:tcPr>
          <w:p w:rsidR="00374786" w:rsidRPr="0071194D" w:rsidRDefault="00374786" w:rsidP="00374786">
            <w:pPr>
              <w:spacing w:before="0" w:line="240" w:lineRule="auto"/>
              <w:jc w:val="left"/>
            </w:pPr>
            <w:r w:rsidRPr="0071194D">
              <w:t>Kreativní Evropa</w:t>
            </w:r>
          </w:p>
        </w:tc>
      </w:tr>
      <w:tr w:rsidR="00374786" w:rsidRPr="0071194D" w:rsidTr="00994DD9">
        <w:trPr>
          <w:cantSplit/>
        </w:trPr>
        <w:tc>
          <w:tcPr>
            <w:tcW w:w="3969" w:type="dxa"/>
            <w:vMerge/>
            <w:tcBorders>
              <w:left w:val="single" w:sz="4" w:space="0" w:color="auto"/>
              <w:bottom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Pr>
        <w:tc>
          <w:tcPr>
            <w:tcW w:w="396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Sociální začleňování</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t>Erasmus</w:t>
            </w:r>
            <w:r w:rsidR="00925E67">
              <w:t>+</w:t>
            </w:r>
          </w:p>
        </w:tc>
      </w:tr>
      <w:tr w:rsidR="00374786" w:rsidRPr="0071194D" w:rsidTr="00994DD9">
        <w:trPr>
          <w:cantSplit/>
        </w:trPr>
        <w:tc>
          <w:tcPr>
            <w:tcW w:w="3969" w:type="dxa"/>
            <w:vMerge/>
            <w:tcBorders>
              <w:left w:val="single" w:sz="4" w:space="0" w:color="auto"/>
              <w:bottom w:val="single" w:sz="4" w:space="0" w:color="auto"/>
              <w:righ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InvestEU</w:t>
            </w:r>
          </w:p>
        </w:tc>
      </w:tr>
      <w:tr w:rsidR="00374786" w:rsidRPr="0071194D" w:rsidTr="00994DD9">
        <w:trPr>
          <w:cantSplit/>
        </w:trPr>
        <w:tc>
          <w:tcPr>
            <w:tcW w:w="3969" w:type="dxa"/>
            <w:vMerge/>
            <w:tcBorders>
              <w:left w:val="single" w:sz="4" w:space="0" w:color="auto"/>
              <w:bottom w:val="single" w:sz="4" w:space="0" w:color="auto"/>
              <w:righ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Kreativní Evropa</w:t>
            </w:r>
          </w:p>
        </w:tc>
      </w:tr>
      <w:tr w:rsidR="00696DBA" w:rsidRPr="0071194D" w:rsidTr="00994DD9">
        <w:trPr>
          <w:cantSplit/>
          <w:trHeight w:val="206"/>
        </w:trPr>
        <w:tc>
          <w:tcPr>
            <w:tcW w:w="3969" w:type="dxa"/>
            <w:vMerge/>
            <w:tcBorders>
              <w:left w:val="single" w:sz="4" w:space="0" w:color="auto"/>
              <w:bottom w:val="single" w:sz="4" w:space="0" w:color="auto"/>
              <w:right w:val="single" w:sz="4" w:space="0" w:color="auto"/>
            </w:tcBorders>
            <w:shd w:val="clear" w:color="auto" w:fill="DBE5F1" w:themeFill="accent1" w:themeFillTint="33"/>
            <w:vAlign w:val="center"/>
          </w:tcPr>
          <w:p w:rsidR="00696DBA" w:rsidRPr="0071194D" w:rsidRDefault="00696DBA" w:rsidP="00374786">
            <w:pPr>
              <w:spacing w:before="0" w:line="240" w:lineRule="auto"/>
              <w:jc w:val="left"/>
            </w:pPr>
          </w:p>
        </w:tc>
        <w:tc>
          <w:tcPr>
            <w:tcW w:w="4990" w:type="dxa"/>
            <w:tcBorders>
              <w:left w:val="single" w:sz="4" w:space="0" w:color="auto"/>
            </w:tcBorders>
            <w:shd w:val="clear" w:color="auto" w:fill="DBE5F1" w:themeFill="accent1" w:themeFillTint="33"/>
            <w:vAlign w:val="center"/>
          </w:tcPr>
          <w:p w:rsidR="00696DBA" w:rsidRPr="0071194D" w:rsidRDefault="00696DBA" w:rsidP="00374786">
            <w:pPr>
              <w:spacing w:before="0" w:line="240" w:lineRule="auto"/>
              <w:jc w:val="left"/>
            </w:pPr>
            <w:r w:rsidRPr="00590FD1">
              <w:rPr>
                <w:shd w:val="clear" w:color="auto" w:fill="C6D9F1" w:themeFill="text2" w:themeFillTint="33"/>
              </w:rPr>
              <w:t>Azylový, migrační fond (AMF)</w:t>
            </w:r>
          </w:p>
        </w:tc>
      </w:tr>
      <w:tr w:rsidR="00374786" w:rsidRPr="0071194D" w:rsidTr="00994DD9">
        <w:trPr>
          <w:cantSplit/>
        </w:trPr>
        <w:tc>
          <w:tcPr>
            <w:tcW w:w="3969" w:type="dxa"/>
            <w:vMerge w:val="restart"/>
            <w:tcBorders>
              <w:top w:val="single" w:sz="4" w:space="0" w:color="auto"/>
              <w:left w:val="single" w:sz="4" w:space="0" w:color="auto"/>
            </w:tcBorders>
            <w:shd w:val="clear" w:color="auto" w:fill="auto"/>
            <w:vAlign w:val="center"/>
          </w:tcPr>
          <w:p w:rsidR="00374786" w:rsidRPr="0071194D" w:rsidRDefault="00374786" w:rsidP="00374786">
            <w:pPr>
              <w:spacing w:before="0" w:line="240" w:lineRule="auto"/>
              <w:jc w:val="left"/>
            </w:pPr>
            <w:r w:rsidRPr="0071194D">
              <w:t>Sociální bydlení</w:t>
            </w:r>
          </w:p>
        </w:tc>
        <w:tc>
          <w:tcPr>
            <w:tcW w:w="4990" w:type="dxa"/>
            <w:tcBorders>
              <w:left w:val="single" w:sz="4" w:space="0" w:color="auto"/>
            </w:tcBorders>
            <w:shd w:val="clear" w:color="auto" w:fill="auto"/>
            <w:vAlign w:val="center"/>
          </w:tcPr>
          <w:p w:rsidR="00374786" w:rsidRPr="0071194D" w:rsidRDefault="00374786" w:rsidP="00374786">
            <w:pPr>
              <w:spacing w:before="0" w:line="240" w:lineRule="auto"/>
              <w:jc w:val="left"/>
            </w:pPr>
            <w:r w:rsidRPr="0071194D">
              <w:t>InvestEU</w:t>
            </w:r>
          </w:p>
        </w:tc>
      </w:tr>
      <w:tr w:rsidR="00374786" w:rsidRPr="0071194D" w:rsidTr="00994DD9">
        <w:trPr>
          <w:cantSplit/>
          <w:trHeight w:val="454"/>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Zaměstnanost a sociální inovace (od roku 2021+ součástí ESF+)</w:t>
            </w:r>
          </w:p>
        </w:tc>
      </w:tr>
      <w:tr w:rsidR="00374786" w:rsidRPr="0071194D" w:rsidTr="00994DD9">
        <w:trPr>
          <w:cantSplit/>
        </w:trPr>
        <w:tc>
          <w:tcPr>
            <w:tcW w:w="3969" w:type="dxa"/>
            <w:vMerge w:val="restart"/>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Klientsky orientované sociální služby</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InvestEU</w:t>
            </w:r>
          </w:p>
        </w:tc>
      </w:tr>
      <w:tr w:rsidR="00374786" w:rsidRPr="0071194D" w:rsidTr="00994DD9">
        <w:trPr>
          <w:cantSplit/>
          <w:trHeight w:val="436"/>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Zaměstnanost a sociální inovace (od roku 2021+ součástí ESF+)</w:t>
            </w:r>
          </w:p>
        </w:tc>
      </w:tr>
      <w:tr w:rsidR="00374786" w:rsidRPr="0071194D" w:rsidTr="00994DD9">
        <w:trPr>
          <w:cantSplit/>
        </w:trPr>
        <w:tc>
          <w:tcPr>
            <w:tcW w:w="3969" w:type="dxa"/>
            <w:vMerge w:val="restart"/>
            <w:tcBorders>
              <w:left w:val="single" w:sz="4" w:space="0" w:color="auto"/>
            </w:tcBorders>
            <w:shd w:val="clear" w:color="auto" w:fill="auto"/>
            <w:vAlign w:val="center"/>
          </w:tcPr>
          <w:p w:rsidR="00374786" w:rsidRPr="0071194D" w:rsidRDefault="00374786" w:rsidP="00374786">
            <w:pPr>
              <w:spacing w:before="0" w:line="240" w:lineRule="auto"/>
              <w:jc w:val="left"/>
            </w:pPr>
            <w:r w:rsidRPr="0071194D">
              <w:t>Kvalitní a dostupná zdravotní péče</w:t>
            </w: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Zdraví (od roku 2021+ součástí ESF+)</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Program pro jednotný trh</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 xml:space="preserve">Horizont Evropa </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 xml:space="preserve">Digitální Evropa   </w:t>
            </w:r>
          </w:p>
        </w:tc>
      </w:tr>
      <w:tr w:rsidR="00374786" w:rsidRPr="0071194D" w:rsidTr="00994DD9">
        <w:trPr>
          <w:cantSplit/>
        </w:trPr>
        <w:tc>
          <w:tcPr>
            <w:tcW w:w="3969" w:type="dxa"/>
            <w:vMerge w:val="restart"/>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Rozvoj a zkvalitnění dopravní infrastruktury</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Nástroj pro propojení Evropy (CEF) – odvětví dopravy</w:t>
            </w:r>
          </w:p>
        </w:tc>
      </w:tr>
      <w:tr w:rsidR="00374786" w:rsidRPr="0071194D" w:rsidTr="00994DD9">
        <w:trPr>
          <w:cantSplit/>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rPr>
                <w:iCs/>
              </w:rPr>
              <w:t xml:space="preserve">InvestEU  </w:t>
            </w:r>
          </w:p>
        </w:tc>
      </w:tr>
      <w:tr w:rsidR="00374786" w:rsidRPr="0071194D" w:rsidTr="00994DD9">
        <w:trPr>
          <w:cantSplit/>
        </w:trPr>
        <w:tc>
          <w:tcPr>
            <w:tcW w:w="3969" w:type="dxa"/>
            <w:vMerge w:val="restart"/>
            <w:tcBorders>
              <w:left w:val="single" w:sz="4" w:space="0" w:color="auto"/>
            </w:tcBorders>
            <w:shd w:val="clear" w:color="auto" w:fill="auto"/>
            <w:vAlign w:val="center"/>
          </w:tcPr>
          <w:p w:rsidR="00374786" w:rsidRPr="0071194D" w:rsidRDefault="00374786" w:rsidP="00374786">
            <w:pPr>
              <w:spacing w:before="0" w:line="240" w:lineRule="auto"/>
              <w:jc w:val="left"/>
            </w:pPr>
            <w:r w:rsidRPr="0071194D">
              <w:t xml:space="preserve">Rozvoj a zlepšení integrace dopravy </w:t>
            </w: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Nástroj pro propojení Evropy (CEF) – odvětví dopravy</w:t>
            </w:r>
          </w:p>
        </w:tc>
      </w:tr>
      <w:tr w:rsidR="00374786" w:rsidRPr="0071194D" w:rsidTr="00994DD9">
        <w:trPr>
          <w:cantSplit/>
          <w:trHeight w:val="172"/>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Pr>
        <w:tc>
          <w:tcPr>
            <w:tcW w:w="3969" w:type="dxa"/>
            <w:vMerge w:val="restart"/>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Zavedení moderních technologií pro organizaci dopravy a snížení dopravní zátěže</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Nástroj pro propojení Evropy CEF – odvětví dopravy</w:t>
            </w:r>
          </w:p>
        </w:tc>
      </w:tr>
      <w:tr w:rsidR="00374786" w:rsidRPr="0071194D" w:rsidTr="00994DD9">
        <w:trPr>
          <w:cantSplit/>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Height w:val="168"/>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Digitální Evropa</w:t>
            </w:r>
          </w:p>
        </w:tc>
      </w:tr>
      <w:tr w:rsidR="00374786" w:rsidRPr="0071194D" w:rsidTr="00994DD9">
        <w:trPr>
          <w:cantSplit/>
        </w:trPr>
        <w:tc>
          <w:tcPr>
            <w:tcW w:w="3969" w:type="dxa"/>
            <w:vMerge w:val="restart"/>
            <w:tcBorders>
              <w:left w:val="single" w:sz="4" w:space="0" w:color="auto"/>
            </w:tcBorders>
            <w:shd w:val="clear" w:color="auto" w:fill="auto"/>
            <w:vAlign w:val="center"/>
          </w:tcPr>
          <w:p w:rsidR="00374786" w:rsidRPr="0071194D" w:rsidRDefault="00374786" w:rsidP="00374786">
            <w:pPr>
              <w:spacing w:before="0" w:line="240" w:lineRule="auto"/>
              <w:jc w:val="left"/>
            </w:pPr>
            <w:r w:rsidRPr="0071194D">
              <w:t>Efektivní využití multimodální nákladní dopravy</w:t>
            </w: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Nástroj pro propojení Evropy CEF – odvětví dopravy</w:t>
            </w:r>
          </w:p>
        </w:tc>
      </w:tr>
      <w:tr w:rsidR="00374786" w:rsidRPr="0071194D" w:rsidTr="00994DD9">
        <w:trPr>
          <w:cantSplit/>
          <w:trHeight w:val="215"/>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Pr>
        <w:tc>
          <w:tcPr>
            <w:tcW w:w="3969" w:type="dxa"/>
            <w:vMerge w:val="restart"/>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rPr>
                <w:highlight w:val="yellow"/>
              </w:rPr>
            </w:pPr>
            <w:r w:rsidRPr="0071194D">
              <w:t>Zvýšení využití a dostupnosti alternativních paliv v dopravě</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Height w:val="196"/>
        </w:trPr>
        <w:tc>
          <w:tcPr>
            <w:tcW w:w="3969" w:type="dxa"/>
            <w:vMerge/>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rPr>
                <w:highlight w:val="yellow"/>
              </w:rPr>
            </w:pP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Nástroj pro propojení Evropy CEF – odvětví dopravy</w:t>
            </w:r>
          </w:p>
        </w:tc>
      </w:tr>
      <w:tr w:rsidR="00374786" w:rsidRPr="0071194D" w:rsidTr="00994DD9">
        <w:trPr>
          <w:cantSplit/>
          <w:trHeight w:val="384"/>
        </w:trPr>
        <w:tc>
          <w:tcPr>
            <w:tcW w:w="3969" w:type="dxa"/>
            <w:tcBorders>
              <w:left w:val="single" w:sz="4" w:space="0" w:color="auto"/>
            </w:tcBorders>
            <w:shd w:val="clear" w:color="auto" w:fill="auto"/>
            <w:vAlign w:val="center"/>
          </w:tcPr>
          <w:p w:rsidR="00374786" w:rsidRPr="0071194D" w:rsidRDefault="00374786" w:rsidP="00374786">
            <w:pPr>
              <w:spacing w:before="0" w:line="240" w:lineRule="auto"/>
              <w:jc w:val="left"/>
              <w:rPr>
                <w:highlight w:val="yellow"/>
              </w:rPr>
            </w:pPr>
            <w:r w:rsidRPr="0071194D">
              <w:t>Využívání vozidel s alternativním pohonem ve veřejné dopravě</w:t>
            </w: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Height w:val="206"/>
        </w:trPr>
        <w:tc>
          <w:tcPr>
            <w:tcW w:w="3969" w:type="dxa"/>
            <w:tcBorders>
              <w:left w:val="single" w:sz="4" w:space="0" w:color="auto"/>
            </w:tcBorders>
            <w:shd w:val="clear" w:color="auto" w:fill="DBE5F1" w:themeFill="accent1" w:themeFillTint="33"/>
            <w:vAlign w:val="center"/>
          </w:tcPr>
          <w:p w:rsidR="00374786" w:rsidRPr="0071194D" w:rsidRDefault="00374786" w:rsidP="00374786">
            <w:pPr>
              <w:spacing w:before="0" w:line="240" w:lineRule="auto"/>
              <w:jc w:val="left"/>
            </w:pPr>
            <w:r w:rsidRPr="0071194D">
              <w:t>Rozvoj bezmotorové dopravy</w:t>
            </w:r>
          </w:p>
        </w:tc>
        <w:tc>
          <w:tcPr>
            <w:tcW w:w="4990" w:type="dxa"/>
            <w:shd w:val="clear" w:color="auto" w:fill="DBE5F1" w:themeFill="accent1" w:themeFillTint="33"/>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Pr>
        <w:tc>
          <w:tcPr>
            <w:tcW w:w="3969" w:type="dxa"/>
            <w:vMerge w:val="restart"/>
            <w:tcBorders>
              <w:left w:val="single" w:sz="4" w:space="0" w:color="auto"/>
            </w:tcBorders>
            <w:shd w:val="clear" w:color="auto" w:fill="auto"/>
            <w:vAlign w:val="center"/>
          </w:tcPr>
          <w:p w:rsidR="00374786" w:rsidRPr="0071194D" w:rsidRDefault="00374786" w:rsidP="00374786">
            <w:pPr>
              <w:spacing w:before="0" w:line="240" w:lineRule="auto"/>
              <w:jc w:val="left"/>
            </w:pPr>
            <w:r w:rsidRPr="0071194D">
              <w:t>Ochrana, rozvoj a podpora kulturního dědictví</w:t>
            </w:r>
          </w:p>
        </w:tc>
        <w:tc>
          <w:tcPr>
            <w:tcW w:w="4990" w:type="dxa"/>
            <w:shd w:val="clear" w:color="auto" w:fill="auto"/>
            <w:vAlign w:val="center"/>
          </w:tcPr>
          <w:p w:rsidR="00374786" w:rsidRPr="0071194D" w:rsidRDefault="00374786" w:rsidP="00374786">
            <w:pPr>
              <w:spacing w:before="0" w:line="240" w:lineRule="auto"/>
              <w:jc w:val="left"/>
            </w:pPr>
            <w:r w:rsidRPr="0071194D">
              <w:t>Kreativní Evropa</w:t>
            </w:r>
          </w:p>
        </w:tc>
      </w:tr>
      <w:tr w:rsidR="00374786" w:rsidRPr="0071194D" w:rsidTr="00994DD9">
        <w:trPr>
          <w:cantSplit/>
          <w:trHeight w:val="142"/>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auto"/>
            <w:vAlign w:val="center"/>
          </w:tcPr>
          <w:p w:rsidR="00374786" w:rsidRPr="0071194D" w:rsidRDefault="00374786" w:rsidP="00374786">
            <w:pPr>
              <w:spacing w:before="0" w:line="240" w:lineRule="auto"/>
              <w:jc w:val="left"/>
            </w:pPr>
            <w:r w:rsidRPr="0071194D">
              <w:t>Horizont Evropa</w:t>
            </w:r>
          </w:p>
        </w:tc>
      </w:tr>
      <w:tr w:rsidR="00374786" w:rsidRPr="0071194D" w:rsidTr="00994DD9">
        <w:trPr>
          <w:cantSplit/>
          <w:trHeight w:val="189"/>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auto"/>
            <w:vAlign w:val="center"/>
          </w:tcPr>
          <w:p w:rsidR="00374786" w:rsidRPr="0071194D" w:rsidRDefault="00374786" w:rsidP="00374786">
            <w:pPr>
              <w:spacing w:before="0" w:line="240" w:lineRule="auto"/>
              <w:jc w:val="left"/>
            </w:pPr>
            <w:r w:rsidRPr="0071194D">
              <w:t>InvestEU</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auto"/>
            <w:vAlign w:val="center"/>
          </w:tcPr>
          <w:p w:rsidR="00374786" w:rsidRPr="0071194D" w:rsidRDefault="00374786" w:rsidP="00374786">
            <w:pPr>
              <w:spacing w:before="0" w:line="240" w:lineRule="auto"/>
              <w:jc w:val="left"/>
            </w:pPr>
            <w:r w:rsidRPr="0071194D">
              <w:t>Erasmus+</w:t>
            </w:r>
          </w:p>
        </w:tc>
      </w:tr>
      <w:tr w:rsidR="00374786" w:rsidRPr="0071194D" w:rsidTr="00994DD9">
        <w:trPr>
          <w:cantSplit/>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auto"/>
            <w:vAlign w:val="center"/>
          </w:tcPr>
          <w:p w:rsidR="00374786" w:rsidRPr="0071194D" w:rsidRDefault="00374786" w:rsidP="00374786">
            <w:pPr>
              <w:spacing w:before="0" w:line="240" w:lineRule="auto"/>
              <w:jc w:val="left"/>
              <w:rPr>
                <w:highlight w:val="yellow"/>
              </w:rPr>
            </w:pPr>
            <w:r w:rsidRPr="0071194D">
              <w:t>Digitální Evropa</w:t>
            </w:r>
          </w:p>
        </w:tc>
      </w:tr>
      <w:tr w:rsidR="00374786" w:rsidRPr="0071194D" w:rsidTr="00994DD9">
        <w:trPr>
          <w:cantSplit/>
          <w:trHeight w:val="184"/>
        </w:trPr>
        <w:tc>
          <w:tcPr>
            <w:tcW w:w="3969" w:type="dxa"/>
            <w:vMerge/>
            <w:tcBorders>
              <w:left w:val="single" w:sz="4" w:space="0" w:color="auto"/>
            </w:tcBorders>
            <w:shd w:val="clear" w:color="auto" w:fill="auto"/>
            <w:vAlign w:val="center"/>
          </w:tcPr>
          <w:p w:rsidR="00374786" w:rsidRPr="0071194D" w:rsidRDefault="00374786" w:rsidP="00374786">
            <w:pPr>
              <w:spacing w:before="0" w:line="240" w:lineRule="auto"/>
              <w:jc w:val="left"/>
            </w:pPr>
          </w:p>
        </w:tc>
        <w:tc>
          <w:tcPr>
            <w:tcW w:w="4990" w:type="dxa"/>
            <w:shd w:val="clear" w:color="auto" w:fill="FFFFFF" w:themeFill="background1"/>
            <w:vAlign w:val="center"/>
          </w:tcPr>
          <w:p w:rsidR="00374786" w:rsidRPr="0071194D" w:rsidRDefault="00374786" w:rsidP="00374786">
            <w:pPr>
              <w:spacing w:before="0" w:line="240" w:lineRule="auto"/>
              <w:jc w:val="left"/>
            </w:pPr>
            <w:r w:rsidRPr="0071194D">
              <w:t>Fond solidarity Evropské unie</w:t>
            </w:r>
          </w:p>
        </w:tc>
      </w:tr>
      <w:tr w:rsidR="00E21D5C" w:rsidRPr="0071194D" w:rsidTr="00994DD9">
        <w:trPr>
          <w:cantSplit/>
          <w:trHeight w:val="499"/>
        </w:trPr>
        <w:tc>
          <w:tcPr>
            <w:tcW w:w="3969" w:type="dxa"/>
            <w:tcBorders>
              <w:left w:val="single" w:sz="4" w:space="0" w:color="auto"/>
            </w:tcBorders>
            <w:shd w:val="clear" w:color="auto" w:fill="DBE5F1" w:themeFill="accent1" w:themeFillTint="33"/>
            <w:vAlign w:val="center"/>
          </w:tcPr>
          <w:p w:rsidR="00E21D5C" w:rsidRPr="0071194D" w:rsidRDefault="00E21D5C" w:rsidP="00374786">
            <w:pPr>
              <w:spacing w:before="0" w:line="240" w:lineRule="auto"/>
              <w:jc w:val="left"/>
            </w:pPr>
            <w:r w:rsidRPr="0071194D">
              <w:t xml:space="preserve">Zkvalitňování veřejných prostranství a rozvoj zelené infrastruktury </w:t>
            </w:r>
          </w:p>
        </w:tc>
        <w:tc>
          <w:tcPr>
            <w:tcW w:w="4990" w:type="dxa"/>
            <w:shd w:val="clear" w:color="auto" w:fill="DBE5F1" w:themeFill="accent1" w:themeFillTint="33"/>
            <w:vAlign w:val="center"/>
          </w:tcPr>
          <w:p w:rsidR="00E21D5C" w:rsidRPr="0071194D" w:rsidRDefault="00E21D5C" w:rsidP="00374786">
            <w:pPr>
              <w:spacing w:before="0" w:line="240" w:lineRule="auto"/>
              <w:jc w:val="left"/>
            </w:pPr>
            <w:r w:rsidRPr="0071194D">
              <w:t>Digitální Evropa</w:t>
            </w:r>
          </w:p>
        </w:tc>
      </w:tr>
      <w:tr w:rsidR="00E21D5C" w:rsidRPr="0071194D" w:rsidTr="00994DD9">
        <w:trPr>
          <w:cantSplit/>
        </w:trPr>
        <w:tc>
          <w:tcPr>
            <w:tcW w:w="3969" w:type="dxa"/>
            <w:vMerge w:val="restart"/>
            <w:tcBorders>
              <w:left w:val="single" w:sz="4" w:space="0" w:color="auto"/>
            </w:tcBorders>
            <w:shd w:val="clear" w:color="auto" w:fill="auto"/>
            <w:vAlign w:val="center"/>
          </w:tcPr>
          <w:p w:rsidR="00E864D5" w:rsidRDefault="00E864D5" w:rsidP="00E864D5">
            <w:pPr>
              <w:spacing w:before="0" w:line="240" w:lineRule="auto"/>
            </w:pPr>
          </w:p>
          <w:p w:rsidR="00E21D5C" w:rsidRPr="0071194D" w:rsidRDefault="00E21D5C" w:rsidP="00590FD1">
            <w:pPr>
              <w:spacing w:before="0" w:line="240" w:lineRule="auto"/>
            </w:pPr>
            <w:r w:rsidRPr="0071194D">
              <w:t>Udržitelný cestovní ruch</w:t>
            </w:r>
          </w:p>
          <w:p w:rsidR="00E21D5C" w:rsidRPr="0071194D" w:rsidRDefault="00E21D5C" w:rsidP="00E21D5C">
            <w:pPr>
              <w:spacing w:before="0" w:line="240" w:lineRule="auto"/>
            </w:pPr>
          </w:p>
        </w:tc>
        <w:tc>
          <w:tcPr>
            <w:tcW w:w="4990" w:type="dxa"/>
            <w:shd w:val="clear" w:color="auto" w:fill="auto"/>
            <w:vAlign w:val="center"/>
          </w:tcPr>
          <w:p w:rsidR="00E21D5C" w:rsidRPr="0071194D" w:rsidRDefault="00E21D5C" w:rsidP="00E21D5C">
            <w:pPr>
              <w:spacing w:before="0" w:line="240" w:lineRule="auto"/>
              <w:jc w:val="left"/>
            </w:pPr>
            <w:r w:rsidRPr="0071194D">
              <w:t xml:space="preserve">Program pro jednotný trh </w:t>
            </w:r>
          </w:p>
        </w:tc>
      </w:tr>
      <w:tr w:rsidR="00E21D5C" w:rsidRPr="0071194D" w:rsidTr="00994DD9">
        <w:trPr>
          <w:cantSplit/>
          <w:trHeight w:val="212"/>
        </w:trPr>
        <w:tc>
          <w:tcPr>
            <w:tcW w:w="3969" w:type="dxa"/>
            <w:vMerge/>
            <w:tcBorders>
              <w:left w:val="single" w:sz="4" w:space="0" w:color="auto"/>
            </w:tcBorders>
            <w:shd w:val="clear" w:color="auto" w:fill="auto"/>
            <w:vAlign w:val="center"/>
          </w:tcPr>
          <w:p w:rsidR="00E21D5C" w:rsidRPr="0071194D" w:rsidRDefault="00E21D5C" w:rsidP="00E21D5C">
            <w:pPr>
              <w:spacing w:before="0" w:line="240" w:lineRule="auto"/>
            </w:pPr>
          </w:p>
        </w:tc>
        <w:tc>
          <w:tcPr>
            <w:tcW w:w="4990" w:type="dxa"/>
            <w:shd w:val="clear" w:color="auto" w:fill="auto"/>
            <w:vAlign w:val="center"/>
          </w:tcPr>
          <w:p w:rsidR="00E21D5C" w:rsidRPr="0071194D" w:rsidRDefault="00E21D5C" w:rsidP="00E21D5C">
            <w:pPr>
              <w:spacing w:before="0" w:line="240" w:lineRule="auto"/>
              <w:jc w:val="left"/>
            </w:pPr>
            <w:r w:rsidRPr="0071194D">
              <w:t>Kreativní Evropa</w:t>
            </w:r>
          </w:p>
        </w:tc>
      </w:tr>
      <w:tr w:rsidR="00E864D5" w:rsidRPr="0071194D" w:rsidTr="00994DD9">
        <w:trPr>
          <w:cantSplit/>
          <w:trHeight w:val="303"/>
        </w:trPr>
        <w:tc>
          <w:tcPr>
            <w:tcW w:w="3969" w:type="dxa"/>
            <w:vMerge/>
            <w:tcBorders>
              <w:left w:val="single" w:sz="4" w:space="0" w:color="auto"/>
            </w:tcBorders>
            <w:shd w:val="clear" w:color="auto" w:fill="auto"/>
            <w:vAlign w:val="center"/>
          </w:tcPr>
          <w:p w:rsidR="00E864D5" w:rsidRPr="0071194D" w:rsidRDefault="00E864D5" w:rsidP="00E21D5C">
            <w:pPr>
              <w:spacing w:before="0" w:line="240" w:lineRule="auto"/>
            </w:pPr>
          </w:p>
        </w:tc>
        <w:tc>
          <w:tcPr>
            <w:tcW w:w="4990" w:type="dxa"/>
            <w:shd w:val="clear" w:color="auto" w:fill="auto"/>
            <w:vAlign w:val="center"/>
          </w:tcPr>
          <w:p w:rsidR="00E864D5" w:rsidRDefault="00E864D5" w:rsidP="00E864D5">
            <w:pPr>
              <w:spacing w:before="0" w:line="240" w:lineRule="auto"/>
              <w:jc w:val="left"/>
            </w:pPr>
            <w:r w:rsidRPr="00656120">
              <w:t>Program pro životní prostředí a oblast klimatu (LIFE)</w:t>
            </w:r>
          </w:p>
        </w:tc>
      </w:tr>
    </w:tbl>
    <w:p w:rsidR="00C4383C" w:rsidRDefault="00C4383C" w:rsidP="00254F4C">
      <w:pPr>
        <w:pStyle w:val="Nadpis2"/>
        <w:numPr>
          <w:ilvl w:val="1"/>
          <w:numId w:val="9"/>
        </w:numPr>
        <w:spacing w:line="240" w:lineRule="auto"/>
        <w:ind w:left="425" w:hanging="431"/>
        <w:jc w:val="left"/>
      </w:pPr>
      <w:bookmarkStart w:id="102" w:name="_Toc13828235"/>
      <w:r>
        <w:t>Využitelnost finančních nástrojů</w:t>
      </w:r>
      <w:bookmarkEnd w:id="102"/>
      <w:r>
        <w:t xml:space="preserve"> </w:t>
      </w:r>
    </w:p>
    <w:p w:rsidR="00771CA3" w:rsidRDefault="00771CA3" w:rsidP="00771CA3">
      <w:pPr>
        <w:rPr>
          <w:sz w:val="22"/>
          <w:szCs w:val="22"/>
        </w:rPr>
      </w:pPr>
      <w:r w:rsidRPr="000374EA">
        <w:rPr>
          <w:sz w:val="22"/>
          <w:szCs w:val="22"/>
        </w:rPr>
        <w:t>Finanční nástroje</w:t>
      </w:r>
      <w:r>
        <w:rPr>
          <w:sz w:val="22"/>
          <w:szCs w:val="22"/>
        </w:rPr>
        <w:t xml:space="preserve"> (FN) v podobě návratné pomoci (zvýhodněný úvěr, poskytnutí bankovní záruky, investice rizikového kapitálu, případně další) nebo kombinace návratné pomoci a dotace by měly směřovat pouze do oblastí, ve kterých jsou podporovány investice, u nichž se očekává rentabilnost.</w:t>
      </w:r>
      <w:r>
        <w:rPr>
          <w:rStyle w:val="Znakapoznpodarou"/>
          <w:sz w:val="22"/>
          <w:szCs w:val="22"/>
        </w:rPr>
        <w:footnoteReference w:id="11"/>
      </w:r>
      <w:r>
        <w:rPr>
          <w:sz w:val="22"/>
          <w:szCs w:val="22"/>
        </w:rPr>
        <w:t xml:space="preserve"> Jedná se o oblasti, kde je vysoká pravděpodobnost, že při využití FN dojde ke značnému pokroku v dosažení specifického cíle. Zásadně není vhodné poskytovat paralelně FN při konkurenční nabídce dotací, což však nevylučuje možnost vhodně zkombinovat oba nástroje pro oblasti, kde čistě návratná podpora neumožňuje dosáhnout zamýšleného cíle.</w:t>
      </w:r>
    </w:p>
    <w:p w:rsidR="00771CA3" w:rsidRPr="000374EA" w:rsidRDefault="00771CA3" w:rsidP="00771CA3">
      <w:pPr>
        <w:rPr>
          <w:sz w:val="22"/>
          <w:szCs w:val="22"/>
        </w:rPr>
      </w:pPr>
      <w:r>
        <w:rPr>
          <w:sz w:val="22"/>
          <w:szCs w:val="22"/>
        </w:rPr>
        <w:t>Z tohoto důvodu se jeví pro využití FN jako nejvhodnější následující oblasti a jejich specifické cíle v rámci NKR</w:t>
      </w:r>
      <w:r w:rsidR="00935794">
        <w:rPr>
          <w:sz w:val="22"/>
          <w:szCs w:val="22"/>
        </w:rPr>
        <w:t xml:space="preserve"> (nutné však bude ještě jejich adekvátní prověření ex-ante analýzou)</w:t>
      </w:r>
      <w:r>
        <w:rPr>
          <w:sz w:val="22"/>
          <w:szCs w:val="22"/>
        </w:rPr>
        <w:t xml:space="preserve">: </w:t>
      </w:r>
    </w:p>
    <w:p w:rsidR="00771CA3" w:rsidRDefault="00771CA3" w:rsidP="00771CA3">
      <w:pPr>
        <w:rPr>
          <w:b/>
          <w:sz w:val="22"/>
          <w:szCs w:val="22"/>
        </w:rPr>
      </w:pPr>
      <w:r w:rsidRPr="00C03023">
        <w:rPr>
          <w:b/>
          <w:sz w:val="22"/>
          <w:szCs w:val="22"/>
        </w:rPr>
        <w:t>Podpora podnikání a průmyslu</w:t>
      </w:r>
      <w:r>
        <w:rPr>
          <w:b/>
          <w:sz w:val="22"/>
          <w:szCs w:val="22"/>
        </w:rPr>
        <w:t>:</w:t>
      </w:r>
    </w:p>
    <w:p w:rsidR="00771CA3" w:rsidRPr="000374EA" w:rsidRDefault="00771CA3" w:rsidP="00771CA3">
      <w:pPr>
        <w:rPr>
          <w:i/>
          <w:sz w:val="22"/>
          <w:szCs w:val="22"/>
        </w:rPr>
      </w:pPr>
      <w:r w:rsidRPr="000374EA">
        <w:rPr>
          <w:i/>
          <w:sz w:val="22"/>
          <w:szCs w:val="22"/>
        </w:rPr>
        <w:t>SC Zlepšení inovační schopnosti MSP</w:t>
      </w:r>
    </w:p>
    <w:p w:rsidR="00771CA3" w:rsidRDefault="00771CA3" w:rsidP="00771CA3">
      <w:pPr>
        <w:rPr>
          <w:sz w:val="22"/>
          <w:szCs w:val="22"/>
        </w:rPr>
      </w:pPr>
      <w:r w:rsidRPr="000374EA">
        <w:rPr>
          <w:sz w:val="22"/>
          <w:szCs w:val="22"/>
        </w:rPr>
        <w:t xml:space="preserve">Zde se nabízí možnost využití </w:t>
      </w:r>
      <w:r w:rsidRPr="000374EA">
        <w:rPr>
          <w:i/>
          <w:sz w:val="22"/>
          <w:szCs w:val="22"/>
        </w:rPr>
        <w:t xml:space="preserve">Zvýhodněného úvěru/Poskytnutí záruky/Kapitálového vstupu </w:t>
      </w:r>
      <w:r>
        <w:rPr>
          <w:sz w:val="22"/>
          <w:szCs w:val="22"/>
        </w:rPr>
        <w:t>ideálně vždy s dotovaným technickým poradenstvím v rámci těchto aktivit (dle typu rozvojové fáze podniku):</w:t>
      </w:r>
    </w:p>
    <w:p w:rsidR="00771CA3" w:rsidRPr="000374EA" w:rsidRDefault="00771CA3" w:rsidP="00254F4C">
      <w:pPr>
        <w:pStyle w:val="Odstavecseseznamem"/>
        <w:numPr>
          <w:ilvl w:val="0"/>
          <w:numId w:val="14"/>
        </w:numPr>
        <w:ind w:left="284" w:hanging="284"/>
        <w:rPr>
          <w:sz w:val="22"/>
          <w:szCs w:val="22"/>
        </w:rPr>
      </w:pPr>
      <w:r w:rsidRPr="00EE5FB5">
        <w:rPr>
          <w:rFonts w:ascii="Arial" w:hAnsi="Arial"/>
          <w:sz w:val="22"/>
          <w:szCs w:val="22"/>
        </w:rPr>
        <w:t>Podpora</w:t>
      </w:r>
      <w:r>
        <w:rPr>
          <w:rFonts w:ascii="Arial" w:hAnsi="Arial"/>
          <w:sz w:val="22"/>
          <w:szCs w:val="22"/>
        </w:rPr>
        <w:t xml:space="preserve"> proof-of-concept, start-upů, scale-upů; Podpora tržního uplatnění přelomových inovačních řešení; Rozvoj technologických, kreativních a digitálních inovací v oblasti tradičních řemesel</w:t>
      </w:r>
    </w:p>
    <w:p w:rsidR="00771CA3" w:rsidRPr="000374EA" w:rsidRDefault="00771CA3" w:rsidP="00771CA3">
      <w:pPr>
        <w:rPr>
          <w:i/>
          <w:sz w:val="22"/>
          <w:szCs w:val="22"/>
        </w:rPr>
      </w:pPr>
      <w:r w:rsidRPr="000374EA">
        <w:rPr>
          <w:i/>
          <w:sz w:val="22"/>
          <w:szCs w:val="22"/>
        </w:rPr>
        <w:t>SC Zavedení principů digitální ekonomiky a průmyslu 4.0 ve firmách</w:t>
      </w:r>
    </w:p>
    <w:p w:rsidR="00771CA3" w:rsidRDefault="00771CA3" w:rsidP="00771CA3">
      <w:pPr>
        <w:rPr>
          <w:sz w:val="22"/>
          <w:szCs w:val="22"/>
        </w:rPr>
      </w:pPr>
      <w:r w:rsidRPr="00AE4BAB">
        <w:rPr>
          <w:sz w:val="22"/>
          <w:szCs w:val="22"/>
        </w:rPr>
        <w:t xml:space="preserve">Zde se nabízí možnost využití </w:t>
      </w:r>
      <w:r w:rsidRPr="000374EA">
        <w:rPr>
          <w:i/>
          <w:sz w:val="22"/>
          <w:szCs w:val="22"/>
        </w:rPr>
        <w:t>Zvýhodněného úvěru/Poskytnutí záruky</w:t>
      </w:r>
      <w:r>
        <w:rPr>
          <w:sz w:val="22"/>
          <w:szCs w:val="22"/>
        </w:rPr>
        <w:t xml:space="preserve"> ideálně vždy s úhradou úrokové sazby/záručního poplatku v rámci těchto aktivit:</w:t>
      </w:r>
    </w:p>
    <w:p w:rsidR="00771CA3" w:rsidRPr="00AE4BAB" w:rsidRDefault="00771CA3" w:rsidP="00254F4C">
      <w:pPr>
        <w:pStyle w:val="Odstavecseseznamem"/>
        <w:numPr>
          <w:ilvl w:val="0"/>
          <w:numId w:val="14"/>
        </w:numPr>
        <w:ind w:left="284" w:hanging="284"/>
        <w:rPr>
          <w:rFonts w:ascii="Arial" w:hAnsi="Arial"/>
          <w:sz w:val="22"/>
          <w:szCs w:val="22"/>
        </w:rPr>
      </w:pPr>
      <w:r>
        <w:rPr>
          <w:rFonts w:ascii="Arial" w:hAnsi="Arial"/>
          <w:sz w:val="22"/>
          <w:szCs w:val="22"/>
        </w:rPr>
        <w:t>Nákup nových technologií firmami, vytváření zázemí technologických center, apod.</w:t>
      </w:r>
    </w:p>
    <w:p w:rsidR="00771CA3" w:rsidRPr="000374EA" w:rsidRDefault="00771CA3" w:rsidP="00771CA3">
      <w:pPr>
        <w:rPr>
          <w:i/>
          <w:sz w:val="22"/>
          <w:szCs w:val="22"/>
        </w:rPr>
      </w:pPr>
      <w:r w:rsidRPr="000374EA">
        <w:rPr>
          <w:i/>
          <w:sz w:val="22"/>
          <w:szCs w:val="22"/>
        </w:rPr>
        <w:t>SC Zvýšení přidané hodnoty výrobků a služeb v produkčním řetězci</w:t>
      </w:r>
    </w:p>
    <w:p w:rsidR="00771CA3" w:rsidRDefault="00771CA3" w:rsidP="00771CA3">
      <w:pPr>
        <w:rPr>
          <w:sz w:val="22"/>
          <w:szCs w:val="22"/>
        </w:rPr>
      </w:pPr>
      <w:r w:rsidRPr="00AE4BAB">
        <w:rPr>
          <w:sz w:val="22"/>
          <w:szCs w:val="22"/>
        </w:rPr>
        <w:t xml:space="preserve">Zde se nabízí možnost využití </w:t>
      </w:r>
      <w:r w:rsidRPr="000374EA">
        <w:rPr>
          <w:i/>
          <w:sz w:val="22"/>
          <w:szCs w:val="22"/>
        </w:rPr>
        <w:t>Zvýhodněného úvěru/Kapitálov</w:t>
      </w:r>
      <w:r>
        <w:rPr>
          <w:i/>
          <w:sz w:val="22"/>
          <w:szCs w:val="22"/>
        </w:rPr>
        <w:t>ého</w:t>
      </w:r>
      <w:r w:rsidRPr="000374EA">
        <w:rPr>
          <w:i/>
          <w:sz w:val="22"/>
          <w:szCs w:val="22"/>
        </w:rPr>
        <w:t xml:space="preserve"> vstupu</w:t>
      </w:r>
      <w:r>
        <w:rPr>
          <w:sz w:val="22"/>
          <w:szCs w:val="22"/>
        </w:rPr>
        <w:t xml:space="preserve"> dle charakteru rozvojového projektu v rámci těchto aktivit:</w:t>
      </w:r>
    </w:p>
    <w:p w:rsidR="00771CA3" w:rsidRPr="000374EA" w:rsidRDefault="00771CA3" w:rsidP="00254F4C">
      <w:pPr>
        <w:pStyle w:val="Odstavecseseznamem"/>
        <w:numPr>
          <w:ilvl w:val="0"/>
          <w:numId w:val="14"/>
        </w:numPr>
        <w:ind w:left="284" w:hanging="284"/>
        <w:rPr>
          <w:sz w:val="22"/>
          <w:szCs w:val="22"/>
        </w:rPr>
      </w:pPr>
      <w:r>
        <w:rPr>
          <w:rFonts w:ascii="Arial" w:hAnsi="Arial"/>
          <w:sz w:val="22"/>
          <w:szCs w:val="22"/>
        </w:rPr>
        <w:t>Infrastruktura pro podnikání - revitalizace brownfieldů bez ekologické zátěže</w:t>
      </w:r>
    </w:p>
    <w:p w:rsidR="00771CA3" w:rsidRDefault="00771CA3" w:rsidP="00771CA3">
      <w:pPr>
        <w:spacing w:before="40" w:after="80"/>
        <w:rPr>
          <w:b/>
          <w:sz w:val="22"/>
          <w:szCs w:val="22"/>
        </w:rPr>
      </w:pPr>
      <w:r w:rsidRPr="00C03023">
        <w:rPr>
          <w:b/>
          <w:sz w:val="22"/>
          <w:szCs w:val="22"/>
        </w:rPr>
        <w:t>Posun k nízkouhlíkovému hospodářství</w:t>
      </w:r>
      <w:r>
        <w:rPr>
          <w:b/>
          <w:sz w:val="22"/>
          <w:szCs w:val="22"/>
        </w:rPr>
        <w:t>:</w:t>
      </w:r>
    </w:p>
    <w:p w:rsidR="00771CA3" w:rsidRPr="000374EA" w:rsidRDefault="00771CA3" w:rsidP="00771CA3">
      <w:pPr>
        <w:rPr>
          <w:i/>
          <w:sz w:val="22"/>
          <w:szCs w:val="22"/>
        </w:rPr>
      </w:pPr>
      <w:r w:rsidRPr="000374EA">
        <w:rPr>
          <w:i/>
          <w:sz w:val="22"/>
          <w:szCs w:val="22"/>
        </w:rPr>
        <w:t>SC Podpora vzniku a zavádění inovativních nízkouhlíkových technologií a efektivní a šetrné využívání obnovitelných zdrojů energie</w:t>
      </w:r>
    </w:p>
    <w:p w:rsidR="00771CA3" w:rsidRDefault="00771CA3" w:rsidP="00771CA3">
      <w:pPr>
        <w:rPr>
          <w:sz w:val="22"/>
          <w:szCs w:val="22"/>
        </w:rPr>
      </w:pPr>
      <w:r w:rsidRPr="00AE4BAB">
        <w:rPr>
          <w:sz w:val="22"/>
          <w:szCs w:val="22"/>
        </w:rPr>
        <w:t xml:space="preserve">Zde se nabízí možnost využití </w:t>
      </w:r>
      <w:r w:rsidRPr="00486975">
        <w:rPr>
          <w:i/>
          <w:sz w:val="22"/>
          <w:szCs w:val="22"/>
        </w:rPr>
        <w:t>Zvýhodněného úvěru/</w:t>
      </w:r>
      <w:r>
        <w:rPr>
          <w:i/>
          <w:sz w:val="22"/>
          <w:szCs w:val="22"/>
        </w:rPr>
        <w:t>Poskytnutí záruky</w:t>
      </w:r>
      <w:r>
        <w:rPr>
          <w:sz w:val="22"/>
          <w:szCs w:val="22"/>
        </w:rPr>
        <w:t xml:space="preserve"> dle typu aktivit:</w:t>
      </w:r>
    </w:p>
    <w:p w:rsidR="00771CA3" w:rsidRPr="000374EA" w:rsidRDefault="00771CA3" w:rsidP="00254F4C">
      <w:pPr>
        <w:pStyle w:val="Odstavecseseznamem"/>
        <w:numPr>
          <w:ilvl w:val="0"/>
          <w:numId w:val="14"/>
        </w:numPr>
        <w:ind w:left="284" w:hanging="284"/>
        <w:rPr>
          <w:sz w:val="22"/>
          <w:szCs w:val="22"/>
        </w:rPr>
      </w:pPr>
      <w:r>
        <w:rPr>
          <w:rFonts w:ascii="Arial" w:hAnsi="Arial"/>
          <w:sz w:val="22"/>
          <w:szCs w:val="22"/>
        </w:rPr>
        <w:t>Fotovoltaické elektrárny na velkých komerčních/veřejných budovách</w:t>
      </w:r>
      <w:r w:rsidR="005B2EDB">
        <w:rPr>
          <w:rFonts w:ascii="Arial" w:hAnsi="Arial"/>
          <w:sz w:val="22"/>
          <w:szCs w:val="22"/>
        </w:rPr>
        <w:t>,</w:t>
      </w:r>
      <w:r w:rsidR="005B2EDB" w:rsidRPr="005B2EDB">
        <w:rPr>
          <w:rFonts w:ascii="Arial" w:hAnsi="Arial"/>
          <w:sz w:val="22"/>
          <w:szCs w:val="22"/>
        </w:rPr>
        <w:t xml:space="preserve"> na jiných plochách v odběrných místech (např. parkoviště), či na brownfieldech (bývalé skládky, doly, apod.) </w:t>
      </w:r>
      <w:r w:rsidR="005B2EDB">
        <w:rPr>
          <w:rFonts w:ascii="Arial" w:hAnsi="Arial"/>
          <w:sz w:val="22"/>
          <w:szCs w:val="22"/>
        </w:rPr>
        <w:t>-</w:t>
      </w:r>
      <w:r>
        <w:rPr>
          <w:rFonts w:ascii="Arial" w:hAnsi="Arial"/>
          <w:sz w:val="22"/>
          <w:szCs w:val="22"/>
        </w:rPr>
        <w:t>(zvýhodněný úvěr + technické poradenství + capital rebate</w:t>
      </w:r>
      <w:r>
        <w:rPr>
          <w:rStyle w:val="Znakapoznpodarou"/>
          <w:rFonts w:ascii="Arial" w:hAnsi="Arial"/>
          <w:sz w:val="22"/>
          <w:szCs w:val="22"/>
        </w:rPr>
        <w:footnoteReference w:id="12"/>
      </w:r>
      <w:r>
        <w:rPr>
          <w:rFonts w:ascii="Arial" w:hAnsi="Arial"/>
          <w:sz w:val="22"/>
          <w:szCs w:val="22"/>
        </w:rPr>
        <w:t>)</w:t>
      </w:r>
    </w:p>
    <w:p w:rsidR="00771CA3" w:rsidRPr="00486975" w:rsidRDefault="00771CA3" w:rsidP="00254F4C">
      <w:pPr>
        <w:pStyle w:val="Odstavecseseznamem"/>
        <w:numPr>
          <w:ilvl w:val="0"/>
          <w:numId w:val="14"/>
        </w:numPr>
        <w:ind w:left="284" w:hanging="284"/>
        <w:rPr>
          <w:sz w:val="22"/>
          <w:szCs w:val="22"/>
        </w:rPr>
      </w:pPr>
      <w:r>
        <w:rPr>
          <w:rFonts w:ascii="Arial" w:hAnsi="Arial"/>
          <w:sz w:val="22"/>
          <w:szCs w:val="22"/>
        </w:rPr>
        <w:t>Zavádění nových inovativních technologií (zvýhodněný úvěr, poskytnutí záruky)</w:t>
      </w:r>
    </w:p>
    <w:p w:rsidR="00771CA3" w:rsidRPr="000374EA" w:rsidRDefault="00771CA3" w:rsidP="00771CA3">
      <w:pPr>
        <w:rPr>
          <w:i/>
          <w:sz w:val="22"/>
          <w:szCs w:val="22"/>
        </w:rPr>
      </w:pPr>
      <w:r w:rsidRPr="000374EA">
        <w:rPr>
          <w:i/>
          <w:sz w:val="22"/>
          <w:szCs w:val="22"/>
        </w:rPr>
        <w:t>SC Zvýšení energetické účinnosti a úspory energie</w:t>
      </w:r>
    </w:p>
    <w:p w:rsidR="00771CA3" w:rsidRDefault="00771CA3" w:rsidP="00771CA3">
      <w:pPr>
        <w:rPr>
          <w:sz w:val="22"/>
          <w:szCs w:val="22"/>
        </w:rPr>
      </w:pPr>
      <w:r w:rsidRPr="00AE4BAB">
        <w:rPr>
          <w:sz w:val="22"/>
          <w:szCs w:val="22"/>
        </w:rPr>
        <w:t xml:space="preserve">Zde se nabízí možnost využití </w:t>
      </w:r>
      <w:r w:rsidRPr="00486975">
        <w:rPr>
          <w:i/>
          <w:sz w:val="22"/>
          <w:szCs w:val="22"/>
        </w:rPr>
        <w:t>Zvýhodněného úvěru/</w:t>
      </w:r>
      <w:r>
        <w:rPr>
          <w:i/>
          <w:sz w:val="22"/>
          <w:szCs w:val="22"/>
        </w:rPr>
        <w:t>Kombinovaný FN typu investiční platforma</w:t>
      </w:r>
      <w:r>
        <w:rPr>
          <w:sz w:val="22"/>
          <w:szCs w:val="22"/>
        </w:rPr>
        <w:t xml:space="preserve"> v rámci těchto aktivit:</w:t>
      </w:r>
    </w:p>
    <w:p w:rsidR="00771CA3" w:rsidRPr="000374EA" w:rsidRDefault="00771CA3" w:rsidP="00254F4C">
      <w:pPr>
        <w:pStyle w:val="Odstavecseseznamem"/>
        <w:numPr>
          <w:ilvl w:val="0"/>
          <w:numId w:val="14"/>
        </w:numPr>
        <w:ind w:left="284" w:hanging="284"/>
        <w:rPr>
          <w:sz w:val="22"/>
          <w:szCs w:val="22"/>
        </w:rPr>
      </w:pPr>
      <w:r>
        <w:rPr>
          <w:rFonts w:ascii="Arial" w:hAnsi="Arial"/>
          <w:sz w:val="22"/>
          <w:szCs w:val="22"/>
        </w:rPr>
        <w:t>Energetické úspory budov určených k bydlení (garance za komerční úvěr + technické poradenství</w:t>
      </w:r>
      <w:r w:rsidR="0092088A">
        <w:rPr>
          <w:rFonts w:ascii="Arial" w:hAnsi="Arial"/>
          <w:sz w:val="22"/>
          <w:szCs w:val="22"/>
        </w:rPr>
        <w:t>, případně v kombinaci s dotací</w:t>
      </w:r>
      <w:r>
        <w:rPr>
          <w:rFonts w:ascii="Arial" w:hAnsi="Arial"/>
          <w:sz w:val="22"/>
          <w:szCs w:val="22"/>
        </w:rPr>
        <w:t>)</w:t>
      </w:r>
    </w:p>
    <w:p w:rsidR="00771CA3" w:rsidRPr="000374EA" w:rsidRDefault="00771CA3" w:rsidP="00254F4C">
      <w:pPr>
        <w:pStyle w:val="Odstavecseseznamem"/>
        <w:numPr>
          <w:ilvl w:val="0"/>
          <w:numId w:val="14"/>
        </w:numPr>
        <w:ind w:left="284" w:hanging="284"/>
        <w:rPr>
          <w:sz w:val="22"/>
          <w:szCs w:val="22"/>
        </w:rPr>
      </w:pPr>
      <w:r>
        <w:rPr>
          <w:rFonts w:ascii="Arial" w:hAnsi="Arial"/>
          <w:sz w:val="22"/>
          <w:szCs w:val="22"/>
        </w:rPr>
        <w:t>Energetické úspory budov určených pro podnikání (zvýhodněný úvěr + technické poradenství na celkové investiční náklady celého stavebního projektu)</w:t>
      </w:r>
    </w:p>
    <w:p w:rsidR="00771CA3" w:rsidRPr="000374EA" w:rsidRDefault="00771CA3" w:rsidP="00254F4C">
      <w:pPr>
        <w:pStyle w:val="Odstavecseseznamem"/>
        <w:numPr>
          <w:ilvl w:val="0"/>
          <w:numId w:val="14"/>
        </w:numPr>
        <w:ind w:left="284" w:hanging="284"/>
        <w:rPr>
          <w:sz w:val="22"/>
          <w:szCs w:val="22"/>
        </w:rPr>
      </w:pPr>
      <w:r>
        <w:rPr>
          <w:rFonts w:ascii="Arial" w:hAnsi="Arial"/>
          <w:sz w:val="22"/>
          <w:szCs w:val="22"/>
        </w:rPr>
        <w:t>Energetické úspory veřejných budov (kombinovaný FN typu investiční platformy na celý energetický management veřejných budov)</w:t>
      </w:r>
    </w:p>
    <w:p w:rsidR="00771CA3" w:rsidRPr="000374EA" w:rsidRDefault="00771CA3" w:rsidP="00771CA3">
      <w:pPr>
        <w:spacing w:before="40" w:after="80"/>
        <w:rPr>
          <w:sz w:val="22"/>
          <w:szCs w:val="22"/>
        </w:rPr>
      </w:pPr>
      <w:r w:rsidRPr="000374EA">
        <w:rPr>
          <w:sz w:val="22"/>
          <w:szCs w:val="22"/>
        </w:rPr>
        <w:t>V </w:t>
      </w:r>
      <w:r>
        <w:rPr>
          <w:sz w:val="22"/>
          <w:szCs w:val="22"/>
        </w:rPr>
        <w:t>určitých</w:t>
      </w:r>
      <w:r w:rsidRPr="000374EA">
        <w:rPr>
          <w:sz w:val="22"/>
          <w:szCs w:val="22"/>
        </w:rPr>
        <w:t xml:space="preserve"> oblastech u některých SC </w:t>
      </w:r>
      <w:r>
        <w:rPr>
          <w:sz w:val="22"/>
          <w:szCs w:val="22"/>
        </w:rPr>
        <w:t xml:space="preserve">NKR není využití </w:t>
      </w:r>
      <w:r w:rsidRPr="000374EA">
        <w:rPr>
          <w:sz w:val="22"/>
          <w:szCs w:val="22"/>
        </w:rPr>
        <w:t xml:space="preserve">FN </w:t>
      </w:r>
      <w:r>
        <w:rPr>
          <w:sz w:val="22"/>
          <w:szCs w:val="22"/>
        </w:rPr>
        <w:t>zcela vhodné, případně není vhodné</w:t>
      </w:r>
      <w:r w:rsidRPr="000374EA">
        <w:rPr>
          <w:sz w:val="22"/>
          <w:szCs w:val="22"/>
        </w:rPr>
        <w:t xml:space="preserve"> </w:t>
      </w:r>
      <w:r>
        <w:rPr>
          <w:sz w:val="22"/>
          <w:szCs w:val="22"/>
        </w:rPr>
        <w:t>bez určitého zapojení nenávratné podpory (dotací). V následujících</w:t>
      </w:r>
      <w:r w:rsidRPr="000374EA">
        <w:rPr>
          <w:sz w:val="22"/>
          <w:szCs w:val="22"/>
        </w:rPr>
        <w:t xml:space="preserve"> </w:t>
      </w:r>
      <w:r>
        <w:rPr>
          <w:sz w:val="22"/>
          <w:szCs w:val="22"/>
        </w:rPr>
        <w:t>oblastech je vhodné FN a nenávratnou dotační podporu do určité míry kombinovat</w:t>
      </w:r>
      <w:r>
        <w:rPr>
          <w:rStyle w:val="Znakapoznpodarou"/>
          <w:sz w:val="22"/>
          <w:szCs w:val="22"/>
        </w:rPr>
        <w:footnoteReference w:id="13"/>
      </w:r>
      <w:r w:rsidRPr="000374EA">
        <w:rPr>
          <w:sz w:val="22"/>
          <w:szCs w:val="22"/>
        </w:rPr>
        <w:t>:</w:t>
      </w:r>
    </w:p>
    <w:p w:rsidR="00771CA3" w:rsidRDefault="00771CA3" w:rsidP="00771CA3">
      <w:pPr>
        <w:spacing w:before="40" w:after="80"/>
        <w:rPr>
          <w:sz w:val="22"/>
          <w:szCs w:val="22"/>
        </w:rPr>
      </w:pPr>
      <w:r w:rsidRPr="00C03023">
        <w:rPr>
          <w:b/>
          <w:sz w:val="22"/>
          <w:szCs w:val="22"/>
        </w:rPr>
        <w:t>Doprava</w:t>
      </w:r>
      <w:r>
        <w:rPr>
          <w:b/>
          <w:sz w:val="22"/>
          <w:szCs w:val="22"/>
        </w:rPr>
        <w:t xml:space="preserve"> </w:t>
      </w:r>
    </w:p>
    <w:p w:rsidR="00771CA3" w:rsidRDefault="00771CA3" w:rsidP="00771CA3">
      <w:pPr>
        <w:spacing w:before="40" w:after="80"/>
        <w:rPr>
          <w:sz w:val="22"/>
          <w:szCs w:val="22"/>
        </w:rPr>
      </w:pPr>
      <w:r w:rsidRPr="000374EA">
        <w:rPr>
          <w:i/>
          <w:sz w:val="22"/>
          <w:szCs w:val="22"/>
        </w:rPr>
        <w:t>SC Zvýšení využití a dostupnosti alternativních paliv v dopravě</w:t>
      </w:r>
      <w:r w:rsidRPr="000374EA">
        <w:rPr>
          <w:sz w:val="22"/>
          <w:szCs w:val="22"/>
        </w:rPr>
        <w:t xml:space="preserve"> – podpora pořízení nízkouhlíkových vozidel např. v rámci čisté </w:t>
      </w:r>
      <w:r>
        <w:rPr>
          <w:sz w:val="22"/>
          <w:szCs w:val="22"/>
        </w:rPr>
        <w:t>„</w:t>
      </w:r>
      <w:r w:rsidRPr="000374EA">
        <w:rPr>
          <w:sz w:val="22"/>
          <w:szCs w:val="22"/>
        </w:rPr>
        <w:t>city logistiky</w:t>
      </w:r>
      <w:r>
        <w:rPr>
          <w:sz w:val="22"/>
          <w:szCs w:val="22"/>
        </w:rPr>
        <w:t>“ (zvýhodněný úvěr, poskytnutí záruky, financování operativního leasingu)</w:t>
      </w:r>
    </w:p>
    <w:p w:rsidR="00771CA3" w:rsidRPr="000374EA" w:rsidRDefault="00771CA3" w:rsidP="00771CA3">
      <w:pPr>
        <w:spacing w:before="40" w:after="80"/>
        <w:rPr>
          <w:sz w:val="22"/>
          <w:szCs w:val="22"/>
        </w:rPr>
      </w:pPr>
      <w:r w:rsidRPr="000374EA">
        <w:rPr>
          <w:i/>
          <w:sz w:val="22"/>
          <w:szCs w:val="22"/>
        </w:rPr>
        <w:t>SC Využívání vozidel s alternativním pohonem ve veřejné dopravě</w:t>
      </w:r>
      <w:r w:rsidRPr="00096495">
        <w:rPr>
          <w:sz w:val="22"/>
          <w:szCs w:val="22"/>
        </w:rPr>
        <w:t xml:space="preserve"> </w:t>
      </w:r>
      <w:r w:rsidRPr="00486975">
        <w:rPr>
          <w:sz w:val="22"/>
          <w:szCs w:val="22"/>
        </w:rPr>
        <w:t>– podpora</w:t>
      </w:r>
      <w:r>
        <w:rPr>
          <w:sz w:val="22"/>
          <w:szCs w:val="22"/>
        </w:rPr>
        <w:t xml:space="preserve"> pořízení nízkouhlíkových vozidel pro drážní dopravu (poskytnutí záruky, kombinovaný FN - investiční platforma)</w:t>
      </w:r>
    </w:p>
    <w:p w:rsidR="00771CA3" w:rsidRDefault="00771CA3" w:rsidP="00771CA3">
      <w:pPr>
        <w:spacing w:before="40" w:after="80"/>
        <w:rPr>
          <w:b/>
          <w:sz w:val="22"/>
          <w:szCs w:val="22"/>
        </w:rPr>
      </w:pPr>
      <w:r w:rsidRPr="000374EA">
        <w:rPr>
          <w:b/>
          <w:sz w:val="22"/>
          <w:szCs w:val="22"/>
        </w:rPr>
        <w:t>Ochrana životního prostředí a oběhové hospodářství</w:t>
      </w:r>
      <w:r>
        <w:rPr>
          <w:b/>
          <w:sz w:val="22"/>
          <w:szCs w:val="22"/>
        </w:rPr>
        <w:t>:</w:t>
      </w:r>
    </w:p>
    <w:p w:rsidR="00771CA3" w:rsidRDefault="00771CA3" w:rsidP="00771CA3">
      <w:pPr>
        <w:spacing w:before="40" w:after="80"/>
        <w:rPr>
          <w:b/>
          <w:sz w:val="22"/>
          <w:szCs w:val="22"/>
        </w:rPr>
      </w:pPr>
      <w:r w:rsidRPr="000374EA">
        <w:rPr>
          <w:i/>
          <w:sz w:val="22"/>
          <w:szCs w:val="22"/>
        </w:rPr>
        <w:t>SC Ochrana a zlepšení stavu vody a vodního hospodářství</w:t>
      </w:r>
      <w:r>
        <w:rPr>
          <w:b/>
          <w:sz w:val="22"/>
          <w:szCs w:val="22"/>
        </w:rPr>
        <w:t xml:space="preserve"> </w:t>
      </w:r>
      <w:r w:rsidRPr="000374EA">
        <w:rPr>
          <w:sz w:val="22"/>
          <w:szCs w:val="22"/>
        </w:rPr>
        <w:t>– podpora modernizace vodovodů</w:t>
      </w:r>
      <w:r>
        <w:rPr>
          <w:sz w:val="22"/>
          <w:szCs w:val="22"/>
        </w:rPr>
        <w:t>/vodáren</w:t>
      </w:r>
      <w:r w:rsidRPr="000374EA">
        <w:rPr>
          <w:sz w:val="22"/>
          <w:szCs w:val="22"/>
        </w:rPr>
        <w:t xml:space="preserve"> a kanalizací/ čistíren</w:t>
      </w:r>
      <w:r>
        <w:rPr>
          <w:sz w:val="22"/>
          <w:szCs w:val="22"/>
        </w:rPr>
        <w:t xml:space="preserve"> (zvýhodněný úvěr, poskytnutí záruky, kapitálový vstup)</w:t>
      </w:r>
      <w:r w:rsidRPr="000374EA">
        <w:rPr>
          <w:sz w:val="22"/>
          <w:szCs w:val="22"/>
        </w:rPr>
        <w:t>,</w:t>
      </w:r>
      <w:r>
        <w:rPr>
          <w:b/>
          <w:sz w:val="22"/>
          <w:szCs w:val="22"/>
        </w:rPr>
        <w:t xml:space="preserve"> </w:t>
      </w:r>
    </w:p>
    <w:p w:rsidR="00771CA3" w:rsidRDefault="00771CA3" w:rsidP="00771CA3">
      <w:pPr>
        <w:spacing w:before="40" w:after="80"/>
        <w:rPr>
          <w:sz w:val="22"/>
          <w:szCs w:val="22"/>
        </w:rPr>
      </w:pPr>
      <w:r w:rsidRPr="000374EA">
        <w:rPr>
          <w:i/>
          <w:sz w:val="22"/>
          <w:szCs w:val="22"/>
        </w:rPr>
        <w:t>SC Oběhové hospodářství, odpady a účinné využívání zdrojů</w:t>
      </w:r>
      <w:r>
        <w:rPr>
          <w:b/>
          <w:sz w:val="22"/>
          <w:szCs w:val="22"/>
        </w:rPr>
        <w:t xml:space="preserve"> </w:t>
      </w:r>
      <w:r w:rsidRPr="000374EA">
        <w:rPr>
          <w:sz w:val="22"/>
          <w:szCs w:val="22"/>
        </w:rPr>
        <w:t>– podpora recyklace a materiálového využití odpadů/ technologických inovací omezující produkci odpadů</w:t>
      </w:r>
      <w:r>
        <w:rPr>
          <w:sz w:val="22"/>
          <w:szCs w:val="22"/>
        </w:rPr>
        <w:t xml:space="preserve"> (zvýhodněný úvěr, poskytnutí záruky). </w:t>
      </w:r>
    </w:p>
    <w:p w:rsidR="00771CA3" w:rsidRPr="001E0D1D" w:rsidRDefault="00771CA3" w:rsidP="00771CA3">
      <w:pPr>
        <w:spacing w:before="40" w:after="80"/>
        <w:rPr>
          <w:sz w:val="22"/>
          <w:szCs w:val="22"/>
        </w:rPr>
      </w:pPr>
      <w:r w:rsidRPr="000374EA">
        <w:rPr>
          <w:i/>
          <w:sz w:val="22"/>
          <w:szCs w:val="22"/>
        </w:rPr>
        <w:t>SC Zlepšení kvality ovzduší</w:t>
      </w:r>
      <w:r>
        <w:rPr>
          <w:sz w:val="22"/>
          <w:szCs w:val="22"/>
        </w:rPr>
        <w:t xml:space="preserve"> – podpora náhrady spalovacích kotlů v domácnostech (zvýhodněný úvěr + technické poradenství + zpracování technické dokumentace)</w:t>
      </w:r>
    </w:p>
    <w:p w:rsidR="00994DD9" w:rsidRDefault="00994DD9">
      <w:pPr>
        <w:spacing w:before="0" w:line="240" w:lineRule="auto"/>
        <w:jc w:val="left"/>
        <w:rPr>
          <w:b/>
          <w:sz w:val="22"/>
          <w:szCs w:val="22"/>
        </w:rPr>
      </w:pPr>
      <w:r>
        <w:rPr>
          <w:b/>
          <w:sz w:val="22"/>
          <w:szCs w:val="22"/>
        </w:rPr>
        <w:br w:type="page"/>
      </w:r>
    </w:p>
    <w:p w:rsidR="00771CA3" w:rsidRDefault="00771CA3" w:rsidP="00994DD9">
      <w:pPr>
        <w:spacing w:before="0" w:line="240" w:lineRule="auto"/>
        <w:jc w:val="left"/>
        <w:rPr>
          <w:b/>
          <w:sz w:val="22"/>
          <w:szCs w:val="22"/>
        </w:rPr>
      </w:pPr>
      <w:r w:rsidRPr="000374EA">
        <w:rPr>
          <w:b/>
          <w:sz w:val="22"/>
          <w:szCs w:val="22"/>
        </w:rPr>
        <w:t>Výzkumný a inovační systém</w:t>
      </w:r>
      <w:r w:rsidR="003E3E0B">
        <w:rPr>
          <w:rStyle w:val="Znakapoznpodarou"/>
          <w:b/>
          <w:sz w:val="22"/>
          <w:szCs w:val="22"/>
        </w:rPr>
        <w:footnoteReference w:id="14"/>
      </w:r>
      <w:r>
        <w:rPr>
          <w:b/>
          <w:sz w:val="22"/>
          <w:szCs w:val="22"/>
        </w:rPr>
        <w:t>:</w:t>
      </w:r>
    </w:p>
    <w:p w:rsidR="003E3E0B" w:rsidRDefault="00771CA3" w:rsidP="00771CA3">
      <w:pPr>
        <w:rPr>
          <w:b/>
          <w:sz w:val="22"/>
          <w:szCs w:val="22"/>
        </w:rPr>
      </w:pPr>
      <w:r w:rsidRPr="000374EA">
        <w:rPr>
          <w:i/>
          <w:sz w:val="22"/>
          <w:szCs w:val="22"/>
        </w:rPr>
        <w:t>SC Podpora inovac</w:t>
      </w:r>
      <w:r w:rsidR="00BE4B04">
        <w:rPr>
          <w:i/>
          <w:sz w:val="22"/>
          <w:szCs w:val="22"/>
        </w:rPr>
        <w:t>í</w:t>
      </w:r>
      <w:r w:rsidRPr="000374EA">
        <w:rPr>
          <w:i/>
          <w:sz w:val="22"/>
          <w:szCs w:val="22"/>
        </w:rPr>
        <w:t xml:space="preserve"> prostřednictvím aplikovaného výzkum a experimentálního vývoje</w:t>
      </w:r>
      <w:r>
        <w:rPr>
          <w:b/>
          <w:sz w:val="22"/>
          <w:szCs w:val="22"/>
        </w:rPr>
        <w:t xml:space="preserve"> </w:t>
      </w:r>
      <w:r w:rsidRPr="000374EA">
        <w:rPr>
          <w:sz w:val="22"/>
          <w:szCs w:val="22"/>
        </w:rPr>
        <w:t>– pod</w:t>
      </w:r>
      <w:r>
        <w:rPr>
          <w:sz w:val="22"/>
          <w:szCs w:val="22"/>
        </w:rPr>
        <w:t>pora komercionalizace výsledků veřejného VaVaI (kapitálový vstup + technické poradenství), podpora rozvoje podnikového VaVaI (zvýhodněný úvěr, poskytnutí záruky, kapitálový vstup – dle rozvinutosti podniku)</w:t>
      </w:r>
    </w:p>
    <w:p w:rsidR="00771CA3" w:rsidRDefault="00771CA3" w:rsidP="00771CA3">
      <w:pPr>
        <w:rPr>
          <w:b/>
          <w:sz w:val="22"/>
          <w:szCs w:val="22"/>
        </w:rPr>
      </w:pPr>
      <w:r w:rsidRPr="00F8496C">
        <w:rPr>
          <w:b/>
          <w:sz w:val="22"/>
          <w:szCs w:val="22"/>
        </w:rPr>
        <w:t>Vzdělávání</w:t>
      </w:r>
      <w:r w:rsidR="003E3E0B">
        <w:rPr>
          <w:rStyle w:val="Znakapoznpodarou"/>
          <w:b/>
          <w:sz w:val="22"/>
          <w:szCs w:val="22"/>
        </w:rPr>
        <w:footnoteReference w:id="15"/>
      </w:r>
      <w:r>
        <w:rPr>
          <w:b/>
          <w:sz w:val="22"/>
          <w:szCs w:val="22"/>
        </w:rPr>
        <w:t>:</w:t>
      </w:r>
    </w:p>
    <w:p w:rsidR="00771CA3" w:rsidRPr="001F7A14" w:rsidRDefault="00771CA3" w:rsidP="00771CA3">
      <w:pPr>
        <w:rPr>
          <w:sz w:val="22"/>
          <w:szCs w:val="22"/>
        </w:rPr>
      </w:pPr>
      <w:r w:rsidRPr="00E82EBF">
        <w:rPr>
          <w:i/>
          <w:sz w:val="22"/>
          <w:szCs w:val="22"/>
        </w:rPr>
        <w:t xml:space="preserve">SC </w:t>
      </w:r>
      <w:r w:rsidR="00CD2A8E">
        <w:rPr>
          <w:i/>
          <w:sz w:val="22"/>
          <w:szCs w:val="22"/>
        </w:rPr>
        <w:t>Zvýšení kompetencí a kvality pracovníků ve vzdělávání, SC Zlepšení vzdělávacího systému s ohledem na moderní kompetence a potřeby trhu práce, mimo jiné s ohledem na digitalizaci průmyslu a společnosti</w:t>
      </w:r>
      <w:r w:rsidR="00D00E75">
        <w:rPr>
          <w:i/>
          <w:sz w:val="22"/>
          <w:szCs w:val="22"/>
        </w:rPr>
        <w:t xml:space="preserve"> </w:t>
      </w:r>
      <w:r>
        <w:rPr>
          <w:sz w:val="22"/>
          <w:szCs w:val="22"/>
        </w:rPr>
        <w:t>– podpora krátkodobé i dlouhodobé mobility, tj. studium v zahraničí (úvěr)</w:t>
      </w:r>
    </w:p>
    <w:p w:rsidR="00771CA3" w:rsidRPr="003B265B" w:rsidRDefault="00771CA3" w:rsidP="00771CA3">
      <w:pPr>
        <w:rPr>
          <w:b/>
          <w:sz w:val="22"/>
          <w:szCs w:val="22"/>
        </w:rPr>
      </w:pPr>
      <w:r w:rsidRPr="003B265B">
        <w:rPr>
          <w:b/>
          <w:sz w:val="22"/>
          <w:szCs w:val="22"/>
        </w:rPr>
        <w:t xml:space="preserve">Trh práce a zaměstnanost: </w:t>
      </w:r>
    </w:p>
    <w:p w:rsidR="00771CA3" w:rsidRPr="001921E7" w:rsidRDefault="00771CA3" w:rsidP="00771CA3">
      <w:pPr>
        <w:rPr>
          <w:sz w:val="22"/>
          <w:szCs w:val="22"/>
        </w:rPr>
      </w:pPr>
      <w:r w:rsidRPr="001921E7">
        <w:rPr>
          <w:i/>
          <w:sz w:val="22"/>
          <w:szCs w:val="22"/>
        </w:rPr>
        <w:t xml:space="preserve">SC </w:t>
      </w:r>
      <w:r w:rsidR="005C3CE3" w:rsidRPr="0086562C">
        <w:rPr>
          <w:i/>
          <w:sz w:val="22"/>
          <w:szCs w:val="22"/>
        </w:rPr>
        <w:t>Zvýšení účasti znevýhodněných skupin na trhu práce</w:t>
      </w:r>
      <w:r w:rsidR="005C3CE3">
        <w:rPr>
          <w:sz w:val="22"/>
          <w:szCs w:val="22"/>
        </w:rPr>
        <w:t xml:space="preserve"> </w:t>
      </w:r>
      <w:r>
        <w:rPr>
          <w:sz w:val="22"/>
          <w:szCs w:val="22"/>
        </w:rPr>
        <w:t xml:space="preserve">– podpora </w:t>
      </w:r>
      <w:r w:rsidRPr="001921E7">
        <w:rPr>
          <w:sz w:val="22"/>
          <w:szCs w:val="22"/>
        </w:rPr>
        <w:t>stávajících sociálních podniků v další expanzi služeb nebo výroby</w:t>
      </w:r>
      <w:r>
        <w:rPr>
          <w:sz w:val="22"/>
          <w:szCs w:val="22"/>
        </w:rPr>
        <w:t xml:space="preserve"> (zvýhodněný úvěr + technické poradenství, záruka + technické poradenství) </w:t>
      </w:r>
    </w:p>
    <w:p w:rsidR="00771CA3" w:rsidRDefault="00771CA3" w:rsidP="00771CA3">
      <w:pPr>
        <w:rPr>
          <w:sz w:val="22"/>
          <w:szCs w:val="22"/>
        </w:rPr>
      </w:pPr>
      <w:r w:rsidRPr="00F15286">
        <w:rPr>
          <w:b/>
          <w:sz w:val="22"/>
          <w:szCs w:val="22"/>
        </w:rPr>
        <w:t>Dále byly identifikovány oblasti se specifickými dílčími tématy, řešitelnými částečně pomocí FN, nicméně s nízkou pravděpodobností úspěchu:</w:t>
      </w:r>
      <w:r>
        <w:rPr>
          <w:rStyle w:val="Znakapoznpodarou"/>
          <w:sz w:val="22"/>
          <w:szCs w:val="22"/>
        </w:rPr>
        <w:footnoteReference w:id="16"/>
      </w:r>
    </w:p>
    <w:p w:rsidR="00771CA3" w:rsidRDefault="00771CA3" w:rsidP="00771CA3">
      <w:pPr>
        <w:rPr>
          <w:sz w:val="22"/>
          <w:szCs w:val="22"/>
        </w:rPr>
      </w:pPr>
      <w:r w:rsidRPr="00C03023">
        <w:rPr>
          <w:sz w:val="22"/>
          <w:szCs w:val="22"/>
        </w:rPr>
        <w:t>Trh práce a zaměstnanost</w:t>
      </w:r>
      <w:r>
        <w:rPr>
          <w:sz w:val="22"/>
          <w:szCs w:val="22"/>
        </w:rPr>
        <w:t xml:space="preserve"> (SC Zvýšení účasti znevýhodněných skupin na trhu práce – podpora stávajících sociálních podniků v další expanzi služeb nebo výroby; SC Fungující systém dalšího profesního vzdělávání – podpora adaptability a vzdělávání pracovní síly), </w:t>
      </w:r>
      <w:r w:rsidRPr="00C03023">
        <w:rPr>
          <w:sz w:val="22"/>
          <w:szCs w:val="22"/>
        </w:rPr>
        <w:t>Sociální začleňování, boj s chudobou a péče o zdraví</w:t>
      </w:r>
      <w:r>
        <w:rPr>
          <w:sz w:val="22"/>
          <w:szCs w:val="22"/>
        </w:rPr>
        <w:t xml:space="preserve"> (SC Sociální bydlení – podpora dostupného bydlení – výstavba, rekonstrukce nájemního bydlení), </w:t>
      </w:r>
      <w:r w:rsidRPr="00C03023">
        <w:rPr>
          <w:sz w:val="22"/>
          <w:szCs w:val="22"/>
        </w:rPr>
        <w:t>Kultura</w:t>
      </w:r>
      <w:r>
        <w:rPr>
          <w:sz w:val="22"/>
          <w:szCs w:val="22"/>
        </w:rPr>
        <w:t xml:space="preserve"> (SC Ochrana, rozvoj a podpora kulturního dědictví – podpora Kulturních a kreativních průmyslů), </w:t>
      </w:r>
      <w:r w:rsidRPr="00C03023">
        <w:rPr>
          <w:sz w:val="22"/>
          <w:szCs w:val="22"/>
        </w:rPr>
        <w:t>Cestovní ruch</w:t>
      </w:r>
      <w:r>
        <w:rPr>
          <w:sz w:val="22"/>
          <w:szCs w:val="22"/>
        </w:rPr>
        <w:t xml:space="preserve"> (SC Udržitelný cestovní ruch – podpora </w:t>
      </w:r>
      <w:r w:rsidR="006F59AA">
        <w:rPr>
          <w:sz w:val="22"/>
          <w:szCs w:val="22"/>
        </w:rPr>
        <w:t xml:space="preserve">veřejných </w:t>
      </w:r>
      <w:r w:rsidR="005B6675">
        <w:rPr>
          <w:sz w:val="22"/>
          <w:szCs w:val="22"/>
        </w:rPr>
        <w:t>infrastruktur a marketingu</w:t>
      </w:r>
      <w:r>
        <w:rPr>
          <w:sz w:val="22"/>
          <w:szCs w:val="22"/>
        </w:rPr>
        <w:t xml:space="preserve"> v cestovním ruchu).</w:t>
      </w:r>
      <w:r>
        <w:rPr>
          <w:rStyle w:val="Znakapoznpodarou"/>
          <w:sz w:val="22"/>
          <w:szCs w:val="22"/>
        </w:rPr>
        <w:footnoteReference w:id="17"/>
      </w:r>
    </w:p>
    <w:p w:rsidR="00771CA3" w:rsidRDefault="00771CA3" w:rsidP="00771CA3">
      <w:pPr>
        <w:rPr>
          <w:sz w:val="22"/>
          <w:szCs w:val="22"/>
        </w:rPr>
      </w:pPr>
      <w:r>
        <w:rPr>
          <w:sz w:val="22"/>
          <w:szCs w:val="22"/>
        </w:rPr>
        <w:t xml:space="preserve">V oblasti </w:t>
      </w:r>
      <w:r w:rsidRPr="00F8496C">
        <w:rPr>
          <w:b/>
          <w:sz w:val="22"/>
          <w:szCs w:val="22"/>
        </w:rPr>
        <w:t>Veřejná správa a bezpečnost</w:t>
      </w:r>
      <w:r>
        <w:rPr>
          <w:sz w:val="22"/>
          <w:szCs w:val="22"/>
        </w:rPr>
        <w:t xml:space="preserve"> není využití FN z podstaty neziskovosti aktivit </w:t>
      </w:r>
      <w:r w:rsidR="000B477C">
        <w:rPr>
          <w:sz w:val="22"/>
          <w:szCs w:val="22"/>
        </w:rPr>
        <w:t>možné</w:t>
      </w:r>
      <w:r>
        <w:rPr>
          <w:sz w:val="22"/>
          <w:szCs w:val="22"/>
        </w:rPr>
        <w:t xml:space="preserve">. </w:t>
      </w:r>
    </w:p>
    <w:p w:rsidR="00771CA3" w:rsidRDefault="00771CA3" w:rsidP="00771CA3">
      <w:pPr>
        <w:rPr>
          <w:sz w:val="22"/>
          <w:szCs w:val="22"/>
        </w:rPr>
      </w:pPr>
      <w:r>
        <w:rPr>
          <w:sz w:val="22"/>
          <w:szCs w:val="22"/>
        </w:rPr>
        <w:t xml:space="preserve">Alternativou k širšímu uplatnění FN v rámci národních operačních programů, pak může být – zejména v případě problematického čerpání alokovaných prostředků – převést tyto prostředky do unijního nástroje </w:t>
      </w:r>
      <w:r w:rsidRPr="000374EA">
        <w:rPr>
          <w:i/>
          <w:sz w:val="22"/>
          <w:szCs w:val="22"/>
        </w:rPr>
        <w:t>InvestEU</w:t>
      </w:r>
      <w:r>
        <w:rPr>
          <w:sz w:val="22"/>
          <w:szCs w:val="22"/>
        </w:rPr>
        <w:t xml:space="preserve">, který má sloužit v podstatě jako záruční program EU. </w:t>
      </w:r>
    </w:p>
    <w:p w:rsidR="00771CA3" w:rsidRDefault="00771CA3" w:rsidP="00771CA3">
      <w:pPr>
        <w:rPr>
          <w:sz w:val="22"/>
          <w:szCs w:val="22"/>
        </w:rPr>
      </w:pPr>
      <w:r>
        <w:rPr>
          <w:sz w:val="22"/>
          <w:szCs w:val="22"/>
        </w:rPr>
        <w:t xml:space="preserve">Vzhledem k posílení pákového efektu investic prostřednictvím všech dostupných druhů FN (zvýhodněný úvěr, poskytnutí bankovní záruky, investice rizikového kapitálu, kombinované nástroje typu investičních platforem) je nejvíce vhodná oblast </w:t>
      </w:r>
      <w:r w:rsidRPr="000374EA">
        <w:rPr>
          <w:b/>
          <w:sz w:val="22"/>
          <w:szCs w:val="22"/>
        </w:rPr>
        <w:t>Podpora podnikání a průmyslu</w:t>
      </w:r>
      <w:r>
        <w:rPr>
          <w:sz w:val="22"/>
          <w:szCs w:val="22"/>
        </w:rPr>
        <w:t>, kde by orientace pouze na využití FN namísto dotací mohla zvýšit celkový efekt podpory aktivit firem mnohonásobně než je tomu u paralelního využití jak dotací, tak FN. Zároveň by využití FN méně narušilo trh, zmobilizovalo soukromé investiční zdroje a umožnilo opětovné využití prostředků, tj. jejich budoucí využití pro další investiční potřeby ČR v podpoře podnikání a průmyslu.</w:t>
      </w:r>
    </w:p>
    <w:p w:rsidR="00470F95" w:rsidRDefault="00A75793" w:rsidP="00254F4C">
      <w:pPr>
        <w:pStyle w:val="Nadpis2"/>
        <w:numPr>
          <w:ilvl w:val="1"/>
          <w:numId w:val="9"/>
        </w:numPr>
        <w:spacing w:line="240" w:lineRule="auto"/>
        <w:ind w:left="425" w:hanging="431"/>
        <w:jc w:val="left"/>
      </w:pPr>
      <w:bookmarkStart w:id="103" w:name="_Toc7774242"/>
      <w:bookmarkStart w:id="104" w:name="_Toc13828236"/>
      <w:r>
        <w:t>Vazba na společnou zemědělskou politiku</w:t>
      </w:r>
      <w:bookmarkEnd w:id="103"/>
      <w:bookmarkEnd w:id="104"/>
    </w:p>
    <w:p w:rsidR="00DA4A89" w:rsidRPr="00A9356E" w:rsidRDefault="00802F98" w:rsidP="00A9356E">
      <w:pPr>
        <w:rPr>
          <w:sz w:val="22"/>
          <w:szCs w:val="22"/>
        </w:rPr>
      </w:pPr>
      <w:r w:rsidRPr="00A9356E">
        <w:rPr>
          <w:sz w:val="22"/>
          <w:szCs w:val="22"/>
        </w:rPr>
        <w:t xml:space="preserve">Vazba NKR, respektive kohezní politiky na SZP je dána tematickými vazbami mezi strategickými a specifickými cíli na jedné straně a specifickými cíli SZP vyplývajícími z návrhu nařízení EK k EZFRV na straně druhé. Tyto specifické cíle budou v rámci PRV rozpracovány do konkrétních intervencí, které budou součástí PRV. </w:t>
      </w:r>
      <w:r w:rsidR="00DA4A89" w:rsidRPr="00222AA7">
        <w:rPr>
          <w:rFonts w:eastAsia="Arial"/>
          <w:sz w:val="22"/>
          <w:szCs w:val="22"/>
        </w:rPr>
        <w:t>Cíle jsou doplněny průřezovým cílem spočívajícím v modernizaci odvětví podporou a sdílením znalostí, inovací a digitalizace v zemědělství a ve venkovských oblastech a napomáháním k jejich přijímání.</w:t>
      </w:r>
      <w:r w:rsidR="00DA4A89" w:rsidRPr="00A9356E">
        <w:rPr>
          <w:sz w:val="22"/>
          <w:szCs w:val="22"/>
        </w:rPr>
        <w:t xml:space="preserve"> </w:t>
      </w:r>
    </w:p>
    <w:p w:rsidR="00802F98" w:rsidRPr="00222AA7" w:rsidRDefault="00802F98" w:rsidP="00A9356E">
      <w:pPr>
        <w:rPr>
          <w:rFonts w:eastAsia="Arial"/>
          <w:sz w:val="22"/>
          <w:szCs w:val="22"/>
        </w:rPr>
      </w:pPr>
      <w:r w:rsidRPr="00222AA7">
        <w:rPr>
          <w:rFonts w:eastAsia="Arial"/>
          <w:sz w:val="22"/>
          <w:szCs w:val="22"/>
        </w:rPr>
        <w:t xml:space="preserve">V rámci strategického plánu SZP, což je nástroj pro čerpání podpory ze zemědělských fondů (EZZF a EZFRV) budou řešeny potřeby definované na základě analýz všech výše uvedených specifických cílů prostřednictvím jednotlivých intervencí tak, aby se vhodně doplňovaly s nástroji kohezní politiky. Návaznost bude zejména u následujících strategických cílů SZP:  (i) Zlepšení kvality životního prostředí, zavedení nízkouhlíkové ekonomiky a adaptace na změnu klimatu, (ii) Výzkumný a inovační systém zvyšující konkurenceschopnost společnosti v kontextu technologické změny, (v) Udržitelný a integrovaný rozvoj městských a venkovských oblastí. </w:t>
      </w:r>
    </w:p>
    <w:p w:rsidR="00125B11" w:rsidRDefault="00D05CD3" w:rsidP="009E3951">
      <w:pPr>
        <w:spacing w:after="120"/>
        <w:rPr>
          <w:rFonts w:eastAsia="Arial"/>
          <w:sz w:val="22"/>
          <w:szCs w:val="22"/>
        </w:rPr>
      </w:pPr>
      <w:r w:rsidRPr="00A9356E">
        <w:rPr>
          <w:rFonts w:eastAsia="Arial"/>
          <w:b/>
          <w:sz w:val="22"/>
          <w:szCs w:val="22"/>
        </w:rPr>
        <w:t>Na konkrétnější úrovni může docházet k dílčím překryvům mezi politikou soudržnosti a společnou zemědělskou politikou v otázkách podpory venkova.</w:t>
      </w:r>
      <w:r w:rsidRPr="00222AA7">
        <w:rPr>
          <w:rFonts w:eastAsia="Arial"/>
          <w:sz w:val="22"/>
          <w:szCs w:val="22"/>
        </w:rPr>
        <w:t xml:space="preserve"> Doporučujeme proto, aby dotčené resorty a </w:t>
      </w:r>
      <w:r w:rsidR="003866C7">
        <w:rPr>
          <w:rFonts w:eastAsia="Arial"/>
          <w:sz w:val="22"/>
          <w:szCs w:val="22"/>
        </w:rPr>
        <w:t>MZe</w:t>
      </w:r>
      <w:r w:rsidRPr="00222AA7">
        <w:rPr>
          <w:rFonts w:eastAsia="Arial"/>
          <w:sz w:val="22"/>
          <w:szCs w:val="22"/>
        </w:rPr>
        <w:t xml:space="preserve"> úzce spolupracoval</w:t>
      </w:r>
      <w:r w:rsidR="00777CF0">
        <w:rPr>
          <w:rFonts w:eastAsia="Arial"/>
          <w:sz w:val="22"/>
          <w:szCs w:val="22"/>
        </w:rPr>
        <w:t>y</w:t>
      </w:r>
      <w:r w:rsidRPr="00222AA7">
        <w:rPr>
          <w:rFonts w:eastAsia="Arial"/>
          <w:sz w:val="22"/>
          <w:szCs w:val="22"/>
        </w:rPr>
        <w:t xml:space="preserve"> při přípravě operačních programů a přesně si vyjasnil</w:t>
      </w:r>
      <w:r w:rsidR="00777CF0">
        <w:rPr>
          <w:rFonts w:eastAsia="Arial"/>
          <w:sz w:val="22"/>
          <w:szCs w:val="22"/>
        </w:rPr>
        <w:t>y</w:t>
      </w:r>
      <w:r w:rsidRPr="00222AA7">
        <w:rPr>
          <w:rFonts w:eastAsia="Arial"/>
          <w:sz w:val="22"/>
          <w:szCs w:val="22"/>
        </w:rPr>
        <w:t xml:space="preserve"> a vymezil</w:t>
      </w:r>
      <w:r w:rsidR="00777CF0">
        <w:rPr>
          <w:rFonts w:eastAsia="Arial"/>
          <w:sz w:val="22"/>
          <w:szCs w:val="22"/>
        </w:rPr>
        <w:t>y</w:t>
      </w:r>
      <w:r w:rsidRPr="00222AA7">
        <w:rPr>
          <w:rFonts w:eastAsia="Arial"/>
          <w:sz w:val="22"/>
          <w:szCs w:val="22"/>
        </w:rPr>
        <w:t xml:space="preserve"> hraniční oblasti intervencí, aby v budoucím období nedocházelo k překryvům aktivit u stejných nebo podobných cílových skupin. Za účelem této spolupráce je vhodné například uzavírat vzájemná memoranda o spolupráci</w:t>
      </w:r>
      <w:r w:rsidR="00222AA7">
        <w:rPr>
          <w:rFonts w:eastAsia="Arial"/>
          <w:sz w:val="22"/>
          <w:szCs w:val="22"/>
        </w:rPr>
        <w:t xml:space="preserve"> či najít nástroje, aby nedocházelo k financování totožných intervencí, naopak docházelo k doplňkovosti, aby příjemci měli v tomto dotačním rozhraní jasno</w:t>
      </w:r>
      <w:r w:rsidRPr="00222AA7">
        <w:rPr>
          <w:rFonts w:eastAsia="Arial"/>
          <w:sz w:val="22"/>
          <w:szCs w:val="22"/>
        </w:rPr>
        <w:t>.</w:t>
      </w:r>
    </w:p>
    <w:p w:rsidR="00D812F5" w:rsidRPr="00590FD1" w:rsidRDefault="00B65759" w:rsidP="00590FD1">
      <w:pPr>
        <w:rPr>
          <w:rFonts w:eastAsia="Arial"/>
          <w:i/>
          <w:sz w:val="22"/>
          <w:szCs w:val="22"/>
        </w:rPr>
      </w:pPr>
      <w:r>
        <w:rPr>
          <w:rFonts w:eastAsia="Arial"/>
          <w:i/>
          <w:sz w:val="22"/>
          <w:szCs w:val="22"/>
        </w:rPr>
        <w:t xml:space="preserve">Tabulka: </w:t>
      </w:r>
      <w:r w:rsidR="00D812F5" w:rsidRPr="00590FD1">
        <w:rPr>
          <w:rFonts w:eastAsia="Arial"/>
          <w:i/>
          <w:sz w:val="22"/>
          <w:szCs w:val="22"/>
        </w:rPr>
        <w:t>Vazba kohezní politiky na společnou zemědělskou politiku</w:t>
      </w:r>
    </w:p>
    <w:tbl>
      <w:tblPr>
        <w:tblStyle w:val="Mkatabulky"/>
        <w:tblW w:w="0" w:type="auto"/>
        <w:tblInd w:w="108" w:type="dxa"/>
        <w:tblLook w:val="04A0" w:firstRow="1" w:lastRow="0" w:firstColumn="1" w:lastColumn="0" w:noHBand="0" w:noVBand="1"/>
      </w:tblPr>
      <w:tblGrid>
        <w:gridCol w:w="563"/>
        <w:gridCol w:w="2307"/>
        <w:gridCol w:w="2944"/>
        <w:gridCol w:w="3366"/>
      </w:tblGrid>
      <w:tr w:rsidR="00125B11" w:rsidRPr="00582DC2" w:rsidTr="00590FD1">
        <w:tc>
          <w:tcPr>
            <w:tcW w:w="563" w:type="dxa"/>
          </w:tcPr>
          <w:p w:rsidR="00125B11" w:rsidRPr="00BB088B" w:rsidRDefault="009E3951" w:rsidP="009E3951">
            <w:pPr>
              <w:jc w:val="left"/>
              <w:rPr>
                <w:b/>
                <w:sz w:val="16"/>
                <w:szCs w:val="16"/>
              </w:rPr>
            </w:pPr>
            <w:r>
              <w:rPr>
                <w:b/>
                <w:sz w:val="16"/>
                <w:szCs w:val="16"/>
              </w:rPr>
              <w:t>CP (</w:t>
            </w:r>
            <w:r w:rsidR="00125B11" w:rsidRPr="00BB088B">
              <w:rPr>
                <w:b/>
                <w:sz w:val="16"/>
                <w:szCs w:val="16"/>
              </w:rPr>
              <w:t>ON</w:t>
            </w:r>
            <w:r>
              <w:rPr>
                <w:b/>
                <w:sz w:val="16"/>
                <w:szCs w:val="16"/>
              </w:rPr>
              <w:t>)</w:t>
            </w:r>
          </w:p>
        </w:tc>
        <w:tc>
          <w:tcPr>
            <w:tcW w:w="2307" w:type="dxa"/>
          </w:tcPr>
          <w:p w:rsidR="00125B11" w:rsidRPr="00582DC2" w:rsidRDefault="00125B11" w:rsidP="00004045">
            <w:pPr>
              <w:jc w:val="left"/>
              <w:rPr>
                <w:b/>
              </w:rPr>
            </w:pPr>
            <w:r w:rsidRPr="00582DC2">
              <w:rPr>
                <w:b/>
              </w:rPr>
              <w:t>STRATEGICKÝ CÍL NKR</w:t>
            </w:r>
          </w:p>
        </w:tc>
        <w:tc>
          <w:tcPr>
            <w:tcW w:w="2944" w:type="dxa"/>
          </w:tcPr>
          <w:p w:rsidR="00125B11" w:rsidRPr="00582DC2" w:rsidRDefault="00125B11" w:rsidP="00004045">
            <w:pPr>
              <w:jc w:val="left"/>
              <w:rPr>
                <w:b/>
              </w:rPr>
            </w:pPr>
            <w:r w:rsidRPr="00582DC2">
              <w:rPr>
                <w:b/>
              </w:rPr>
              <w:t>SPECIFICKÝ CÍL NKR</w:t>
            </w:r>
          </w:p>
        </w:tc>
        <w:tc>
          <w:tcPr>
            <w:tcW w:w="3366" w:type="dxa"/>
          </w:tcPr>
          <w:p w:rsidR="00125B11" w:rsidRPr="00582DC2" w:rsidRDefault="00125B11" w:rsidP="00004045">
            <w:pPr>
              <w:jc w:val="left"/>
              <w:rPr>
                <w:b/>
              </w:rPr>
            </w:pPr>
            <w:r w:rsidRPr="00582DC2">
              <w:rPr>
                <w:b/>
              </w:rPr>
              <w:t>SPECIFICKÝ CÍL EZFRV</w:t>
            </w:r>
          </w:p>
        </w:tc>
      </w:tr>
      <w:tr w:rsidR="00125B11" w:rsidRPr="00582DC2" w:rsidTr="00590FD1">
        <w:tc>
          <w:tcPr>
            <w:tcW w:w="563" w:type="dxa"/>
            <w:vMerge w:val="restart"/>
          </w:tcPr>
          <w:p w:rsidR="00125B11" w:rsidRPr="00582DC2" w:rsidRDefault="00125B11" w:rsidP="00004045">
            <w:pPr>
              <w:jc w:val="left"/>
              <w:rPr>
                <w:rFonts w:eastAsia="Arial"/>
              </w:rPr>
            </w:pPr>
            <w:r>
              <w:rPr>
                <w:rFonts w:eastAsia="Arial"/>
              </w:rPr>
              <w:t>2</w:t>
            </w:r>
          </w:p>
        </w:tc>
        <w:tc>
          <w:tcPr>
            <w:tcW w:w="2307" w:type="dxa"/>
            <w:vMerge w:val="restart"/>
          </w:tcPr>
          <w:p w:rsidR="00125B11" w:rsidRPr="00582DC2" w:rsidRDefault="00125B11" w:rsidP="00004045">
            <w:pPr>
              <w:jc w:val="left"/>
            </w:pPr>
            <w:r w:rsidRPr="00582DC2">
              <w:rPr>
                <w:rFonts w:eastAsia="Arial"/>
              </w:rPr>
              <w:t>(i) Zlepšení kvality životního prostředí, zavedení nízkouhlíkové ekonomiky a adaptace na změnu klimatu</w:t>
            </w:r>
          </w:p>
        </w:tc>
        <w:tc>
          <w:tcPr>
            <w:tcW w:w="2944" w:type="dxa"/>
          </w:tcPr>
          <w:p w:rsidR="00125B11" w:rsidRPr="00582DC2" w:rsidRDefault="00125B11" w:rsidP="009E3951">
            <w:pPr>
              <w:pStyle w:val="Odstavecseseznamem"/>
              <w:numPr>
                <w:ilvl w:val="0"/>
                <w:numId w:val="10"/>
              </w:numPr>
              <w:spacing w:before="0" w:after="60" w:line="240" w:lineRule="auto"/>
              <w:ind w:left="171" w:hanging="189"/>
              <w:contextualSpacing w:val="0"/>
              <w:jc w:val="left"/>
            </w:pPr>
            <w:r w:rsidRPr="00582DC2">
              <w:rPr>
                <w:rFonts w:ascii="Arial" w:hAnsi="Arial"/>
              </w:rPr>
              <w:t xml:space="preserve">Ochrana a péče o přírodu a krajinu </w:t>
            </w:r>
          </w:p>
        </w:tc>
        <w:tc>
          <w:tcPr>
            <w:tcW w:w="3366" w:type="dxa"/>
          </w:tcPr>
          <w:p w:rsidR="00125B11" w:rsidRPr="00582DC2" w:rsidRDefault="00125B11" w:rsidP="00004045">
            <w:pPr>
              <w:jc w:val="left"/>
            </w:pPr>
            <w:r w:rsidRPr="00582DC2">
              <w:t>Přispívat k ochraně biologické rozmanitosti, posilovat ekosystémové služby a zachovávat stanoviště a krajiny</w:t>
            </w: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9E3951">
            <w:pPr>
              <w:pStyle w:val="Odstavecseseznamem"/>
              <w:numPr>
                <w:ilvl w:val="0"/>
                <w:numId w:val="10"/>
              </w:numPr>
              <w:spacing w:before="0" w:after="60" w:line="240" w:lineRule="auto"/>
              <w:ind w:left="171" w:hanging="189"/>
              <w:contextualSpacing w:val="0"/>
              <w:jc w:val="left"/>
            </w:pPr>
            <w:r w:rsidRPr="00582DC2">
              <w:rPr>
                <w:rFonts w:ascii="Arial" w:hAnsi="Arial"/>
              </w:rPr>
              <w:t>Ochrana a zlepšení stavu vody a vodního hospodářství</w:t>
            </w:r>
          </w:p>
        </w:tc>
        <w:tc>
          <w:tcPr>
            <w:tcW w:w="3366" w:type="dxa"/>
            <w:vMerge w:val="restart"/>
          </w:tcPr>
          <w:p w:rsidR="00125B11" w:rsidRPr="00582DC2" w:rsidRDefault="00125B11" w:rsidP="00004045">
            <w:pPr>
              <w:jc w:val="left"/>
            </w:pPr>
            <w:r>
              <w:t>P</w:t>
            </w:r>
            <w:r w:rsidRPr="00582DC2">
              <w:t>odporovat udržitelný rozvoj přírodních zdrojů, jako je voda, půda a ovzduší, a účinné hospodaření s nimi</w:t>
            </w: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u w:val="single"/>
              </w:rPr>
            </w:pPr>
            <w:r w:rsidRPr="00582DC2">
              <w:rPr>
                <w:rFonts w:ascii="Arial" w:hAnsi="Arial"/>
              </w:rPr>
              <w:t>Sanace míst s ekologickou zátěží a revitalizace brownfieldů</w:t>
            </w:r>
          </w:p>
        </w:tc>
        <w:tc>
          <w:tcPr>
            <w:tcW w:w="3366" w:type="dxa"/>
            <w:vMerge/>
          </w:tcPr>
          <w:p w:rsidR="00125B11" w:rsidRPr="00582DC2" w:rsidRDefault="00125B11" w:rsidP="00004045">
            <w:pPr>
              <w:jc w:val="left"/>
            </w:pP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u w:val="single"/>
              </w:rPr>
            </w:pPr>
            <w:r w:rsidRPr="00582DC2">
              <w:rPr>
                <w:rFonts w:ascii="Arial" w:hAnsi="Arial"/>
              </w:rPr>
              <w:t>Zlepšení kvality ovzduší</w:t>
            </w:r>
          </w:p>
        </w:tc>
        <w:tc>
          <w:tcPr>
            <w:tcW w:w="3366" w:type="dxa"/>
            <w:vMerge/>
          </w:tcPr>
          <w:p w:rsidR="00125B11" w:rsidRPr="00582DC2" w:rsidRDefault="00125B11" w:rsidP="00004045">
            <w:pPr>
              <w:jc w:val="left"/>
            </w:pP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pPr>
            <w:r w:rsidRPr="00582DC2">
              <w:rPr>
                <w:rFonts w:ascii="Arial" w:hAnsi="Arial"/>
              </w:rPr>
              <w:t>Zavedení principů oběhového hospodářství a účinné využívání zdrojů</w:t>
            </w:r>
          </w:p>
        </w:tc>
        <w:tc>
          <w:tcPr>
            <w:tcW w:w="3366" w:type="dxa"/>
            <w:vMerge/>
          </w:tcPr>
          <w:p w:rsidR="00125B11" w:rsidRPr="00582DC2" w:rsidRDefault="00125B11" w:rsidP="00004045">
            <w:pPr>
              <w:jc w:val="left"/>
            </w:pP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Podpora vzniku a zavádění inovativních nízkouhlíkových technologií a efektivní a šetrné využívání obnovitelných zdrojů energie</w:t>
            </w:r>
          </w:p>
        </w:tc>
        <w:tc>
          <w:tcPr>
            <w:tcW w:w="3366" w:type="dxa"/>
            <w:vMerge w:val="restart"/>
          </w:tcPr>
          <w:p w:rsidR="00125B11" w:rsidRPr="00582DC2" w:rsidRDefault="00125B11" w:rsidP="00004045">
            <w:pPr>
              <w:jc w:val="left"/>
            </w:pPr>
            <w:r w:rsidRPr="00582DC2">
              <w:t>Přispívat ke zmírňování změny klimatu a přizpůsobování se této změně, jakož i k udržitelné energii</w:t>
            </w: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pPr>
            <w:r w:rsidRPr="00582DC2">
              <w:rPr>
                <w:rFonts w:ascii="Arial" w:hAnsi="Arial"/>
              </w:rPr>
              <w:t>Zvýšení energetické účinnosti a energetických úspor</w:t>
            </w:r>
          </w:p>
        </w:tc>
        <w:tc>
          <w:tcPr>
            <w:tcW w:w="3366" w:type="dxa"/>
            <w:vMerge/>
          </w:tcPr>
          <w:p w:rsidR="00125B11" w:rsidRPr="00582DC2" w:rsidRDefault="00125B11" w:rsidP="00004045">
            <w:pPr>
              <w:jc w:val="left"/>
            </w:pPr>
          </w:p>
        </w:tc>
      </w:tr>
      <w:tr w:rsidR="00125B11" w:rsidRPr="00582DC2" w:rsidTr="00590FD1">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Modernizace a zefektivnění výroby, distribuce a akumulace energie</w:t>
            </w:r>
          </w:p>
        </w:tc>
        <w:tc>
          <w:tcPr>
            <w:tcW w:w="3366" w:type="dxa"/>
            <w:vMerge/>
          </w:tcPr>
          <w:p w:rsidR="00125B11" w:rsidRPr="00582DC2" w:rsidRDefault="00125B11" w:rsidP="00004045">
            <w:pPr>
              <w:jc w:val="left"/>
            </w:pPr>
          </w:p>
        </w:tc>
      </w:tr>
      <w:tr w:rsidR="00125B11" w:rsidRPr="00582DC2" w:rsidTr="00590FD1">
        <w:tc>
          <w:tcPr>
            <w:tcW w:w="563" w:type="dxa"/>
            <w:vMerge w:val="restart"/>
          </w:tcPr>
          <w:p w:rsidR="00125B11" w:rsidRPr="00582DC2" w:rsidRDefault="00125B11" w:rsidP="00004045">
            <w:pPr>
              <w:jc w:val="left"/>
              <w:rPr>
                <w:rFonts w:eastAsia="Arial"/>
              </w:rPr>
            </w:pPr>
            <w:r>
              <w:rPr>
                <w:rFonts w:eastAsia="Arial"/>
              </w:rPr>
              <w:t>1</w:t>
            </w:r>
          </w:p>
        </w:tc>
        <w:tc>
          <w:tcPr>
            <w:tcW w:w="2307" w:type="dxa"/>
            <w:vMerge w:val="restart"/>
          </w:tcPr>
          <w:p w:rsidR="00125B11" w:rsidRPr="00582DC2" w:rsidRDefault="00125B11" w:rsidP="00004045">
            <w:pPr>
              <w:jc w:val="left"/>
            </w:pPr>
            <w:r w:rsidRPr="00582DC2">
              <w:rPr>
                <w:rFonts w:eastAsia="Arial"/>
              </w:rPr>
              <w:t>(ii) Výzkumný a inovační systém zvyšující konkurenceschopnost společnosti v kontextu technologické změny</w:t>
            </w:r>
          </w:p>
        </w:tc>
        <w:tc>
          <w:tcPr>
            <w:tcW w:w="2944" w:type="dxa"/>
          </w:tcPr>
          <w:p w:rsidR="00125B11" w:rsidRPr="00582DC2" w:rsidRDefault="00125B11" w:rsidP="009E3951">
            <w:pPr>
              <w:pStyle w:val="Odstavecseseznamem"/>
              <w:numPr>
                <w:ilvl w:val="0"/>
                <w:numId w:val="10"/>
              </w:numPr>
              <w:spacing w:before="0" w:after="60" w:line="240" w:lineRule="auto"/>
              <w:ind w:left="171" w:hanging="189"/>
              <w:contextualSpacing w:val="0"/>
              <w:jc w:val="left"/>
            </w:pPr>
            <w:r w:rsidRPr="00582DC2">
              <w:rPr>
                <w:rFonts w:ascii="Arial" w:hAnsi="Arial"/>
              </w:rPr>
              <w:t>Podpora inovac</w:t>
            </w:r>
            <w:r w:rsidR="00BE4B04">
              <w:rPr>
                <w:rFonts w:ascii="Arial" w:hAnsi="Arial"/>
              </w:rPr>
              <w:t>í</w:t>
            </w:r>
            <w:r w:rsidRPr="00582DC2">
              <w:rPr>
                <w:rFonts w:ascii="Arial" w:hAnsi="Arial"/>
              </w:rPr>
              <w:t xml:space="preserve"> prostřednictvím aplikovaného výzkumu a experimentálního vývoje</w:t>
            </w:r>
          </w:p>
        </w:tc>
        <w:tc>
          <w:tcPr>
            <w:tcW w:w="3366" w:type="dxa"/>
            <w:vMerge w:val="restart"/>
          </w:tcPr>
          <w:p w:rsidR="00125B11" w:rsidRPr="00582DC2" w:rsidRDefault="00125B11" w:rsidP="00004045">
            <w:pPr>
              <w:jc w:val="left"/>
            </w:pPr>
            <w:r>
              <w:t>M</w:t>
            </w:r>
            <w:r>
              <w:rPr>
                <w:rFonts w:eastAsia="Arial"/>
              </w:rPr>
              <w:t>odernizace</w:t>
            </w:r>
            <w:r w:rsidRPr="00582DC2">
              <w:rPr>
                <w:rFonts w:eastAsia="Arial"/>
              </w:rPr>
              <w:t xml:space="preserve"> odvětví podporou a sdílením znalostí, inovací a digitalizace v zemědělství a ve venkovských oblastech a napomáháním k jejich přijímání</w:t>
            </w:r>
          </w:p>
        </w:tc>
      </w:tr>
      <w:tr w:rsidR="00125B11" w:rsidRPr="00582DC2" w:rsidTr="00590FD1">
        <w:trPr>
          <w:trHeight w:val="384"/>
        </w:trPr>
        <w:tc>
          <w:tcPr>
            <w:tcW w:w="563" w:type="dxa"/>
            <w:vMerge/>
          </w:tcPr>
          <w:p w:rsidR="00125B11" w:rsidRPr="00582DC2" w:rsidRDefault="00125B11" w:rsidP="00004045">
            <w:pPr>
              <w:jc w:val="left"/>
            </w:pPr>
          </w:p>
        </w:tc>
        <w:tc>
          <w:tcPr>
            <w:tcW w:w="2307" w:type="dxa"/>
            <w:vMerge/>
          </w:tcPr>
          <w:p w:rsidR="00125B11" w:rsidRPr="00582DC2" w:rsidRDefault="00125B11" w:rsidP="00004045">
            <w:pPr>
              <w:jc w:val="left"/>
            </w:pPr>
          </w:p>
        </w:tc>
        <w:tc>
          <w:tcPr>
            <w:tcW w:w="2944" w:type="dxa"/>
            <w:vMerge w:val="restart"/>
          </w:tcPr>
          <w:p w:rsidR="00125B11" w:rsidRPr="00582DC2" w:rsidRDefault="00125B11" w:rsidP="009E3951">
            <w:pPr>
              <w:pStyle w:val="Odstavecseseznamem"/>
              <w:numPr>
                <w:ilvl w:val="0"/>
                <w:numId w:val="10"/>
              </w:numPr>
              <w:spacing w:before="0" w:after="60" w:line="240" w:lineRule="auto"/>
              <w:ind w:left="171" w:hanging="189"/>
              <w:contextualSpacing w:val="0"/>
              <w:jc w:val="left"/>
            </w:pPr>
            <w:r w:rsidRPr="00582DC2">
              <w:rPr>
                <w:rFonts w:ascii="Arial" w:hAnsi="Arial"/>
              </w:rPr>
              <w:t>Zlepšení inovační schopnosti MSP</w:t>
            </w:r>
          </w:p>
        </w:tc>
        <w:tc>
          <w:tcPr>
            <w:tcW w:w="3366" w:type="dxa"/>
            <w:vMerge/>
          </w:tcPr>
          <w:p w:rsidR="00125B11" w:rsidRPr="00582DC2" w:rsidRDefault="00125B11" w:rsidP="00004045">
            <w:pPr>
              <w:jc w:val="left"/>
            </w:pPr>
          </w:p>
        </w:tc>
      </w:tr>
      <w:tr w:rsidR="00125B11" w:rsidRPr="00582DC2" w:rsidTr="00590FD1">
        <w:trPr>
          <w:trHeight w:val="1087"/>
        </w:trPr>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vMerge/>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p>
        </w:tc>
        <w:tc>
          <w:tcPr>
            <w:tcW w:w="3366" w:type="dxa"/>
            <w:vMerge w:val="restart"/>
          </w:tcPr>
          <w:p w:rsidR="00125B11" w:rsidRPr="00582DC2" w:rsidRDefault="00125B11" w:rsidP="009E3951">
            <w:pPr>
              <w:jc w:val="left"/>
            </w:pPr>
            <w:r>
              <w:rPr>
                <w:rFonts w:eastAsia="Arial"/>
              </w:rPr>
              <w:t>Z</w:t>
            </w:r>
            <w:r w:rsidRPr="00582DC2">
              <w:rPr>
                <w:rFonts w:eastAsia="Arial"/>
              </w:rPr>
              <w:t>lepšovat tržní orientaci a zvyšovat konkurenceschopnost, včetně většího zaměření na výzkum, technologie a digitalizaci</w:t>
            </w:r>
            <w:r w:rsidRPr="00582DC2">
              <w:t xml:space="preserve"> </w:t>
            </w:r>
          </w:p>
        </w:tc>
      </w:tr>
      <w:tr w:rsidR="00125B11" w:rsidRPr="00582DC2" w:rsidTr="00590FD1">
        <w:trPr>
          <w:trHeight w:val="1546"/>
        </w:trPr>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Zavedení principů digitální ekonomiky a průmyslu 4.0 ve firmách</w:t>
            </w:r>
          </w:p>
        </w:tc>
        <w:tc>
          <w:tcPr>
            <w:tcW w:w="3366" w:type="dxa"/>
            <w:vMerge/>
          </w:tcPr>
          <w:p w:rsidR="00125B11" w:rsidRPr="00582DC2" w:rsidRDefault="00125B11" w:rsidP="00004045">
            <w:pPr>
              <w:jc w:val="left"/>
            </w:pPr>
          </w:p>
        </w:tc>
      </w:tr>
      <w:tr w:rsidR="00125B11" w:rsidRPr="00582DC2" w:rsidTr="00590FD1">
        <w:trPr>
          <w:trHeight w:val="959"/>
        </w:trPr>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vMerge w:val="restart"/>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 xml:space="preserve">Zvýšení přidané hodnoty výrobků a služeb podniků v produkčním řetězci </w:t>
            </w:r>
          </w:p>
        </w:tc>
        <w:tc>
          <w:tcPr>
            <w:tcW w:w="3366" w:type="dxa"/>
            <w:vMerge/>
          </w:tcPr>
          <w:p w:rsidR="00125B11" w:rsidRPr="00582DC2" w:rsidRDefault="00125B11" w:rsidP="00004045">
            <w:pPr>
              <w:jc w:val="left"/>
            </w:pPr>
          </w:p>
        </w:tc>
      </w:tr>
      <w:tr w:rsidR="00125B11" w:rsidRPr="00582DC2" w:rsidTr="00590FD1">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vMerge/>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p>
        </w:tc>
        <w:tc>
          <w:tcPr>
            <w:tcW w:w="3366" w:type="dxa"/>
          </w:tcPr>
          <w:p w:rsidR="00125B11" w:rsidRPr="00582DC2" w:rsidRDefault="00125B11" w:rsidP="00004045">
            <w:pPr>
              <w:jc w:val="left"/>
            </w:pPr>
            <w:r>
              <w:rPr>
                <w:rFonts w:eastAsia="Arial"/>
              </w:rPr>
              <w:t>Z</w:t>
            </w:r>
            <w:r w:rsidRPr="00582DC2">
              <w:rPr>
                <w:rFonts w:eastAsia="Arial"/>
              </w:rPr>
              <w:t>lepšovat postavení zemědělců v hodnotovém řetězci</w:t>
            </w:r>
          </w:p>
        </w:tc>
      </w:tr>
      <w:tr w:rsidR="00125B11" w:rsidRPr="00582DC2" w:rsidTr="00590FD1">
        <w:tc>
          <w:tcPr>
            <w:tcW w:w="563" w:type="dxa"/>
            <w:vMerge w:val="restart"/>
          </w:tcPr>
          <w:p w:rsidR="00125B11" w:rsidRPr="00582DC2" w:rsidRDefault="00125B11" w:rsidP="00004045">
            <w:pPr>
              <w:jc w:val="left"/>
              <w:rPr>
                <w:rFonts w:eastAsia="Arial"/>
              </w:rPr>
            </w:pPr>
            <w:r>
              <w:rPr>
                <w:rFonts w:eastAsia="Arial"/>
              </w:rPr>
              <w:t>3</w:t>
            </w:r>
          </w:p>
        </w:tc>
        <w:tc>
          <w:tcPr>
            <w:tcW w:w="2307" w:type="dxa"/>
            <w:vMerge w:val="restart"/>
          </w:tcPr>
          <w:p w:rsidR="00125B11" w:rsidRPr="00582DC2" w:rsidRDefault="00125B11" w:rsidP="00004045">
            <w:pPr>
              <w:jc w:val="left"/>
              <w:rPr>
                <w:rFonts w:eastAsia="Arial"/>
              </w:rPr>
            </w:pPr>
            <w:r w:rsidRPr="00582DC2">
              <w:rPr>
                <w:rFonts w:eastAsia="Arial"/>
              </w:rPr>
              <w:t xml:space="preserve">(iii)Konkurenceschopná a soudržná společnost </w:t>
            </w: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Zvýšení účasti znevýhodněných skupin na trhu práce</w:t>
            </w:r>
          </w:p>
        </w:tc>
        <w:tc>
          <w:tcPr>
            <w:tcW w:w="3366" w:type="dxa"/>
            <w:vMerge w:val="restart"/>
          </w:tcPr>
          <w:p w:rsidR="00125B11" w:rsidRPr="00582DC2" w:rsidRDefault="00125B11" w:rsidP="00004045">
            <w:pPr>
              <w:jc w:val="left"/>
            </w:pPr>
            <w:r>
              <w:t>P</w:t>
            </w:r>
            <w:r w:rsidRPr="00582DC2">
              <w:t>odporovat zaměstnanost, růst, sociální začleňování a místní rozvoj ve venkovských oblastech, včetně biohospodářství a udržitelného lesního hospodářství</w:t>
            </w:r>
          </w:p>
        </w:tc>
      </w:tr>
      <w:tr w:rsidR="00125B11" w:rsidRPr="00582DC2" w:rsidTr="00590FD1">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rPr>
                <w:rFonts w:ascii="Arial" w:hAnsi="Arial"/>
              </w:rPr>
            </w:pPr>
            <w:r w:rsidRPr="00582DC2">
              <w:rPr>
                <w:rFonts w:ascii="Arial" w:hAnsi="Arial"/>
              </w:rPr>
              <w:t>Sociální začleňování</w:t>
            </w:r>
          </w:p>
        </w:tc>
        <w:tc>
          <w:tcPr>
            <w:tcW w:w="3366" w:type="dxa"/>
            <w:vMerge/>
          </w:tcPr>
          <w:p w:rsidR="00125B11" w:rsidRPr="00582DC2" w:rsidRDefault="00125B11" w:rsidP="00004045">
            <w:pPr>
              <w:jc w:val="left"/>
            </w:pPr>
          </w:p>
        </w:tc>
      </w:tr>
      <w:tr w:rsidR="00125B11" w:rsidRPr="00582DC2" w:rsidTr="00590FD1">
        <w:tc>
          <w:tcPr>
            <w:tcW w:w="563" w:type="dxa"/>
            <w:vMerge w:val="restart"/>
          </w:tcPr>
          <w:p w:rsidR="00125B11" w:rsidRPr="00582DC2" w:rsidRDefault="00125B11" w:rsidP="00004045">
            <w:pPr>
              <w:jc w:val="left"/>
              <w:rPr>
                <w:rFonts w:eastAsia="Arial"/>
              </w:rPr>
            </w:pPr>
            <w:r>
              <w:rPr>
                <w:rFonts w:eastAsia="Arial"/>
              </w:rPr>
              <w:t>5</w:t>
            </w:r>
          </w:p>
        </w:tc>
        <w:tc>
          <w:tcPr>
            <w:tcW w:w="2307" w:type="dxa"/>
            <w:vMerge w:val="restart"/>
          </w:tcPr>
          <w:p w:rsidR="00125B11" w:rsidRPr="00582DC2" w:rsidRDefault="00125B11" w:rsidP="00004045">
            <w:pPr>
              <w:jc w:val="left"/>
              <w:rPr>
                <w:rFonts w:eastAsia="Arial"/>
              </w:rPr>
            </w:pPr>
            <w:r w:rsidRPr="00582DC2">
              <w:rPr>
                <w:rFonts w:eastAsia="Arial"/>
              </w:rPr>
              <w:t>(v) Udržitelný a integrovaný rozvoj městských a venkovských oblastí</w:t>
            </w:r>
          </w:p>
        </w:tc>
        <w:tc>
          <w:tcPr>
            <w:tcW w:w="2944" w:type="dxa"/>
            <w:shd w:val="clear" w:color="auto" w:fill="auto"/>
          </w:tcPr>
          <w:p w:rsidR="00125B11" w:rsidRPr="00582DC2" w:rsidRDefault="00125B11" w:rsidP="009E3951">
            <w:pPr>
              <w:pStyle w:val="Odstavecseseznamem"/>
              <w:numPr>
                <w:ilvl w:val="0"/>
                <w:numId w:val="10"/>
              </w:numPr>
              <w:spacing w:before="0" w:after="60" w:line="240" w:lineRule="auto"/>
              <w:ind w:left="171" w:hanging="189"/>
              <w:contextualSpacing w:val="0"/>
              <w:jc w:val="left"/>
            </w:pPr>
            <w:r w:rsidRPr="00582DC2">
              <w:rPr>
                <w:rFonts w:ascii="Arial" w:hAnsi="Arial"/>
              </w:rPr>
              <w:t xml:space="preserve">Zkvalitňování veřejných prostranství a rozvoj zelené infrastruktury </w:t>
            </w:r>
          </w:p>
        </w:tc>
        <w:tc>
          <w:tcPr>
            <w:tcW w:w="3366" w:type="dxa"/>
          </w:tcPr>
          <w:p w:rsidR="00125B11" w:rsidRPr="00582DC2" w:rsidRDefault="00125B11" w:rsidP="00004045">
            <w:pPr>
              <w:jc w:val="left"/>
            </w:pPr>
            <w:r>
              <w:rPr>
                <w:rFonts w:eastAsia="Arial"/>
              </w:rPr>
              <w:t>P</w:t>
            </w:r>
            <w:r w:rsidRPr="00582DC2">
              <w:rPr>
                <w:rFonts w:eastAsia="Arial"/>
              </w:rPr>
              <w:t>řispívat k ochraně biologické rozmanitosti, posilovat ekosystémové služby a zachovávat stanoviště a krajiny</w:t>
            </w:r>
          </w:p>
        </w:tc>
      </w:tr>
      <w:tr w:rsidR="00125B11" w:rsidRPr="00582DC2" w:rsidTr="00590FD1">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pPr>
            <w:r w:rsidRPr="00582DC2">
              <w:rPr>
                <w:rFonts w:ascii="Arial" w:hAnsi="Arial"/>
              </w:rPr>
              <w:t>Rozvoj bezmotorové dopravy</w:t>
            </w:r>
          </w:p>
        </w:tc>
        <w:tc>
          <w:tcPr>
            <w:tcW w:w="3366" w:type="dxa"/>
          </w:tcPr>
          <w:p w:rsidR="00125B11" w:rsidRPr="00582DC2" w:rsidRDefault="00125B11" w:rsidP="00004045">
            <w:pPr>
              <w:jc w:val="left"/>
            </w:pPr>
            <w:r>
              <w:t>P</w:t>
            </w:r>
            <w:r w:rsidRPr="00582DC2">
              <w:t>řispívat ke zmírňování změny klimatu a přizpůsobování se této změně, jakož i k udržitelné energii</w:t>
            </w:r>
          </w:p>
        </w:tc>
      </w:tr>
      <w:tr w:rsidR="00125B11" w:rsidRPr="00582DC2" w:rsidTr="00590FD1">
        <w:tc>
          <w:tcPr>
            <w:tcW w:w="563" w:type="dxa"/>
            <w:vMerge/>
          </w:tcPr>
          <w:p w:rsidR="00125B11" w:rsidRPr="00582DC2" w:rsidRDefault="00125B11" w:rsidP="00004045">
            <w:pPr>
              <w:jc w:val="left"/>
              <w:rPr>
                <w:rFonts w:eastAsia="Arial"/>
              </w:rPr>
            </w:pPr>
          </w:p>
        </w:tc>
        <w:tc>
          <w:tcPr>
            <w:tcW w:w="2307" w:type="dxa"/>
            <w:vMerge/>
          </w:tcPr>
          <w:p w:rsidR="00125B11" w:rsidRPr="00582DC2" w:rsidRDefault="00125B11" w:rsidP="00004045">
            <w:pPr>
              <w:jc w:val="left"/>
              <w:rPr>
                <w:rFonts w:eastAsia="Arial"/>
              </w:rPr>
            </w:pPr>
          </w:p>
        </w:tc>
        <w:tc>
          <w:tcPr>
            <w:tcW w:w="2944" w:type="dxa"/>
          </w:tcPr>
          <w:p w:rsidR="00125B11" w:rsidRPr="00582DC2" w:rsidRDefault="00125B11" w:rsidP="00254F4C">
            <w:pPr>
              <w:pStyle w:val="Odstavecseseznamem"/>
              <w:numPr>
                <w:ilvl w:val="0"/>
                <w:numId w:val="10"/>
              </w:numPr>
              <w:spacing w:before="0" w:after="60" w:line="240" w:lineRule="auto"/>
              <w:ind w:left="171" w:hanging="189"/>
              <w:contextualSpacing w:val="0"/>
              <w:jc w:val="left"/>
            </w:pPr>
            <w:r w:rsidRPr="00582DC2">
              <w:rPr>
                <w:rFonts w:ascii="Arial" w:hAnsi="Arial"/>
              </w:rPr>
              <w:t>Udržitelný cestovní ruch</w:t>
            </w:r>
          </w:p>
          <w:p w:rsidR="00125B11" w:rsidRPr="00582DC2" w:rsidRDefault="00125B11" w:rsidP="00004045">
            <w:pPr>
              <w:jc w:val="left"/>
            </w:pPr>
          </w:p>
        </w:tc>
        <w:tc>
          <w:tcPr>
            <w:tcW w:w="3366" w:type="dxa"/>
          </w:tcPr>
          <w:p w:rsidR="00125B11" w:rsidRPr="00582DC2" w:rsidRDefault="00125B11" w:rsidP="00004045">
            <w:pPr>
              <w:jc w:val="left"/>
            </w:pPr>
            <w:r w:rsidRPr="00582DC2">
              <w:t>Podporovat zaměstnanost, růst, sociální začleňování a místní rozvoj ve venkovských oblastech, včetně biohospodářství a udržitelného lesního hospodářství</w:t>
            </w:r>
          </w:p>
        </w:tc>
      </w:tr>
    </w:tbl>
    <w:p w:rsidR="00A75793" w:rsidRPr="00A9356E" w:rsidRDefault="00AC7903" w:rsidP="00AC7903">
      <w:pPr>
        <w:rPr>
          <w:sz w:val="22"/>
          <w:szCs w:val="22"/>
        </w:rPr>
      </w:pPr>
      <w:r w:rsidRPr="00A9356E">
        <w:rPr>
          <w:sz w:val="22"/>
          <w:szCs w:val="22"/>
        </w:rPr>
        <w:t xml:space="preserve">Přímé platby budou i nadále jedním z ústředních prvků zemědělské politiky, neboť pro zemědělce zajišťují stabilitu a předvídatelnost. Prioritou bude podpora malých a středních farem, kterých je v zemědělském odvětví EU většina, a pomoc mladým zemědělcům. Komise je odhodlána zasazovat se o spravedlivější rozdělování přímých plateb mezi členskými státy s využitím vnější konvergence. </w:t>
      </w:r>
      <w:r w:rsidR="00463EF5" w:rsidRPr="00590FD1">
        <w:rPr>
          <w:sz w:val="22"/>
          <w:szCs w:val="22"/>
        </w:rPr>
        <w:t xml:space="preserve">Dle prvotních návrhů nařízení EU mají být </w:t>
      </w:r>
      <w:r w:rsidR="00463EF5">
        <w:rPr>
          <w:sz w:val="22"/>
          <w:szCs w:val="22"/>
        </w:rPr>
        <w:t>p</w:t>
      </w:r>
      <w:r w:rsidRPr="00A9356E">
        <w:rPr>
          <w:sz w:val="22"/>
          <w:szCs w:val="22"/>
        </w:rPr>
        <w:t>římé platby zemědělcům od 60 000 EUR výše omezeny a maximální hranicí bude 100 000 EUR na jednu farmu</w:t>
      </w:r>
      <w:r w:rsidR="00463EF5">
        <w:rPr>
          <w:sz w:val="22"/>
          <w:szCs w:val="22"/>
        </w:rPr>
        <w:t>,</w:t>
      </w:r>
      <w:r w:rsidR="00463EF5" w:rsidRPr="00590FD1">
        <w:rPr>
          <w:sz w:val="22"/>
          <w:szCs w:val="22"/>
        </w:rPr>
        <w:t xml:space="preserve"> přičemž by měly být zohledněny mzdové náklady.</w:t>
      </w:r>
      <w:r w:rsidRPr="00A9356E">
        <w:rPr>
          <w:sz w:val="22"/>
          <w:szCs w:val="22"/>
        </w:rPr>
        <w:t xml:space="preserve"> </w:t>
      </w:r>
      <w:r w:rsidR="00D70D3F" w:rsidRPr="00590FD1">
        <w:rPr>
          <w:sz w:val="22"/>
          <w:szCs w:val="22"/>
        </w:rPr>
        <w:t xml:space="preserve">Zároveň by měly členské státy </w:t>
      </w:r>
      <w:r w:rsidRPr="00A9356E">
        <w:rPr>
          <w:sz w:val="22"/>
          <w:szCs w:val="22"/>
        </w:rPr>
        <w:t xml:space="preserve">vyčlenit alespoň 2 % svých přímých plateb na </w:t>
      </w:r>
      <w:r w:rsidR="00D70D3F" w:rsidRPr="00590FD1">
        <w:rPr>
          <w:sz w:val="22"/>
          <w:szCs w:val="22"/>
        </w:rPr>
        <w:t xml:space="preserve">podporu </w:t>
      </w:r>
      <w:r w:rsidRPr="00A9356E">
        <w:rPr>
          <w:sz w:val="22"/>
          <w:szCs w:val="22"/>
        </w:rPr>
        <w:t>mladým zemědělcům, kteří zahajují svou činnost.</w:t>
      </w:r>
    </w:p>
    <w:p w:rsidR="00AC7903" w:rsidRPr="00A9356E" w:rsidRDefault="00AC7903" w:rsidP="00AC7903">
      <w:pPr>
        <w:rPr>
          <w:sz w:val="22"/>
          <w:szCs w:val="22"/>
        </w:rPr>
      </w:pPr>
      <w:r w:rsidRPr="00A9356E">
        <w:rPr>
          <w:sz w:val="22"/>
          <w:szCs w:val="22"/>
        </w:rPr>
        <w:t xml:space="preserve">SZP rovněž bude mít větší ambice v oblasti životního prostředí a klimatu. Cíle pro celou EU, které jsou dnes navrhovány, se </w:t>
      </w:r>
      <w:r w:rsidR="00D70D3F" w:rsidRPr="00590FD1">
        <w:rPr>
          <w:sz w:val="22"/>
          <w:szCs w:val="22"/>
        </w:rPr>
        <w:t xml:space="preserve">komplexně </w:t>
      </w:r>
      <w:r w:rsidRPr="00A9356E">
        <w:rPr>
          <w:sz w:val="22"/>
          <w:szCs w:val="22"/>
        </w:rPr>
        <w:t xml:space="preserve">zabývají změnou klimatu, přírodními zdroji, biodiverzitou, přírodními stanovišti i krajinou. Podpora příjmu pro zemědělce je již v současnosti vázána na </w:t>
      </w:r>
      <w:r w:rsidR="00D70D3F" w:rsidRPr="00590FD1">
        <w:rPr>
          <w:sz w:val="22"/>
          <w:szCs w:val="22"/>
        </w:rPr>
        <w:t xml:space="preserve">dodržování pravidel podmíněnosti plateb a </w:t>
      </w:r>
      <w:r w:rsidRPr="00A9356E">
        <w:rPr>
          <w:sz w:val="22"/>
          <w:szCs w:val="22"/>
        </w:rPr>
        <w:t xml:space="preserve">používání zemědělských postupů šetrných k životnímu prostředí a klimatu. Nová SZP bude od zemědělců vyžadovat, aby usilovali o ještě náročnější cíle, a to prostřednictvím povinných opatření i pobídek. Podmínkou pro vyplacení přímých plateb bude splnění požadavků </w:t>
      </w:r>
      <w:r w:rsidR="00D70D3F" w:rsidRPr="00590FD1">
        <w:rPr>
          <w:sz w:val="22"/>
          <w:szCs w:val="22"/>
        </w:rPr>
        <w:t xml:space="preserve">rozšířené podmíněnosti (tzv. kondicionality) </w:t>
      </w:r>
      <w:r w:rsidRPr="00A9356E">
        <w:rPr>
          <w:sz w:val="22"/>
          <w:szCs w:val="22"/>
        </w:rPr>
        <w:t>v oblasti životního prostředí a klimatu</w:t>
      </w:r>
      <w:r w:rsidR="00D70D3F" w:rsidRPr="00590FD1">
        <w:rPr>
          <w:sz w:val="22"/>
          <w:szCs w:val="22"/>
        </w:rPr>
        <w:t>, veřejného zdraví, zdraví zvířat a rostlin a dobrých životních podmínek zvířat, která by měla nově převzít zejména jednotlivé části stávající platby na zemědělské postupy příznivé pro klima a životní prostředí a dále by měla být rozšířena o požadavky ve vazbě na rámcovou směrnici o vodách, směrnici o udržitelném používání pesticidů a ustanovení dotýkající se nákazové situaci hospodářských zvířat</w:t>
      </w:r>
      <w:r w:rsidR="001B099C">
        <w:rPr>
          <w:sz w:val="22"/>
          <w:szCs w:val="22"/>
        </w:rPr>
        <w:t>.</w:t>
      </w:r>
      <w:r w:rsidR="00D70D3F" w:rsidRPr="00590FD1">
        <w:rPr>
          <w:sz w:val="22"/>
          <w:szCs w:val="22"/>
        </w:rPr>
        <w:t xml:space="preserve"> Podmíněností vymezené požadavky představují základ pro stanovení všech ostatních intervencí s cílem zabránit dvojímu nebo vícenásobnému financování. Pobídkovou částí přímých plateb budou nově zařazené režimy pro klima a životní prostředí (tzv. Eko-schémata), na které členský stát může alokovat finanční prostředky z obálky pro přímé platby dle svého uvážení, návrh právní úpravy zatím neobsahuje omezení spodní nebo horní hranice alokace.</w:t>
      </w:r>
      <w:r w:rsidR="00D70D3F">
        <w:rPr>
          <w:sz w:val="22"/>
          <w:szCs w:val="22"/>
        </w:rPr>
        <w:t xml:space="preserve"> </w:t>
      </w:r>
      <w:r w:rsidRPr="00A9356E">
        <w:rPr>
          <w:sz w:val="22"/>
          <w:szCs w:val="22"/>
        </w:rPr>
        <w:t>Na opatření v oblasti životního prostředí a klimatu bude vyhrazeno nejméně 30 % prostředků, které daný členský stát získá na rozvoj venkova. Očekává se, že 40 % celkového rozpočtu SZP přispěje k opatřením v oblasti klimatu. V SZP bude rovněž kladen větší důraz na využívání znalostí a inovací.</w:t>
      </w:r>
    </w:p>
    <w:p w:rsidR="00B13F83" w:rsidRPr="00F41FFF" w:rsidRDefault="00B13F83" w:rsidP="00B13F83">
      <w:pPr>
        <w:pStyle w:val="Nadpis2"/>
        <w:numPr>
          <w:ilvl w:val="1"/>
          <w:numId w:val="9"/>
        </w:numPr>
        <w:spacing w:line="240" w:lineRule="auto"/>
        <w:ind w:left="425" w:hanging="431"/>
        <w:jc w:val="left"/>
      </w:pPr>
      <w:bookmarkStart w:id="105" w:name="_Toc13828237"/>
      <w:bookmarkEnd w:id="96"/>
      <w:r w:rsidRPr="00F41FFF">
        <w:t>Doporučení a opatření</w:t>
      </w:r>
      <w:bookmarkEnd w:id="105"/>
    </w:p>
    <w:p w:rsidR="00B13F83" w:rsidRDefault="00B13F83" w:rsidP="00B13F83">
      <w:pPr>
        <w:rPr>
          <w:sz w:val="22"/>
          <w:szCs w:val="22"/>
        </w:rPr>
      </w:pPr>
      <w:r w:rsidRPr="00C17C42">
        <w:rPr>
          <w:sz w:val="22"/>
          <w:szCs w:val="22"/>
        </w:rPr>
        <w:t xml:space="preserve">Zásadní </w:t>
      </w:r>
      <w:r w:rsidRPr="008C6299">
        <w:rPr>
          <w:sz w:val="22"/>
          <w:szCs w:val="22"/>
        </w:rPr>
        <w:t>opatření</w:t>
      </w:r>
      <w:r>
        <w:rPr>
          <w:sz w:val="22"/>
          <w:szCs w:val="22"/>
        </w:rPr>
        <w:t xml:space="preserve"> a </w:t>
      </w:r>
      <w:r w:rsidRPr="00C17C42">
        <w:rPr>
          <w:sz w:val="22"/>
          <w:szCs w:val="22"/>
        </w:rPr>
        <w:t xml:space="preserve">doporučení </w:t>
      </w:r>
      <w:r>
        <w:rPr>
          <w:sz w:val="22"/>
          <w:szCs w:val="22"/>
        </w:rPr>
        <w:t xml:space="preserve">NKR </w:t>
      </w:r>
      <w:r w:rsidRPr="00C17C42">
        <w:rPr>
          <w:sz w:val="22"/>
          <w:szCs w:val="22"/>
        </w:rPr>
        <w:t>směřuj</w:t>
      </w:r>
      <w:r>
        <w:rPr>
          <w:sz w:val="22"/>
          <w:szCs w:val="22"/>
        </w:rPr>
        <w:t>í</w:t>
      </w:r>
      <w:r w:rsidRPr="00C17C42">
        <w:rPr>
          <w:sz w:val="22"/>
          <w:szCs w:val="22"/>
        </w:rPr>
        <w:t xml:space="preserve"> k využití výsledků prioritizace při přípravě </w:t>
      </w:r>
      <w:r w:rsidRPr="008C6299">
        <w:rPr>
          <w:sz w:val="22"/>
          <w:szCs w:val="22"/>
        </w:rPr>
        <w:t xml:space="preserve">Dohody o partnerství a </w:t>
      </w:r>
      <w:r w:rsidRPr="00C17C42">
        <w:rPr>
          <w:sz w:val="22"/>
          <w:szCs w:val="22"/>
        </w:rPr>
        <w:t xml:space="preserve">operačních programů. Doporučujeme se prioritně (nikoliv však </w:t>
      </w:r>
      <w:r>
        <w:rPr>
          <w:sz w:val="22"/>
          <w:szCs w:val="22"/>
        </w:rPr>
        <w:t xml:space="preserve">nezbytně </w:t>
      </w:r>
      <w:r w:rsidRPr="00C17C42">
        <w:rPr>
          <w:sz w:val="22"/>
          <w:szCs w:val="22"/>
        </w:rPr>
        <w:t>výlučně) zaměřit na ty specifické cíle</w:t>
      </w:r>
      <w:r>
        <w:rPr>
          <w:sz w:val="22"/>
          <w:szCs w:val="22"/>
        </w:rPr>
        <w:t xml:space="preserve"> NKR</w:t>
      </w:r>
      <w:r w:rsidRPr="00C17C42">
        <w:rPr>
          <w:sz w:val="22"/>
          <w:szCs w:val="22"/>
        </w:rPr>
        <w:t>, které se v rámci příslušné oblasti umístil</w:t>
      </w:r>
      <w:r>
        <w:rPr>
          <w:sz w:val="22"/>
          <w:szCs w:val="22"/>
        </w:rPr>
        <w:t>y</w:t>
      </w:r>
      <w:r w:rsidRPr="00C17C42">
        <w:rPr>
          <w:sz w:val="22"/>
          <w:szCs w:val="22"/>
        </w:rPr>
        <w:t xml:space="preserve"> nejlépe, dát jim patřičnou váhu a přizpůsobit alokaci prostředků na specifické cíle a výzvy programu. Stěžejním kritériem by také měla být celková důležitost specifického cíle, přičemž je třeba vzít v úvahu i v některých případech omezené množství prostředků a různou očekávanou úroveň absorpční kapacity. </w:t>
      </w:r>
    </w:p>
    <w:p w:rsidR="00B13F83" w:rsidRDefault="00B13F83" w:rsidP="00B13F83">
      <w:pPr>
        <w:rPr>
          <w:sz w:val="22"/>
          <w:szCs w:val="22"/>
        </w:rPr>
      </w:pPr>
      <w:r>
        <w:rPr>
          <w:sz w:val="22"/>
          <w:szCs w:val="22"/>
        </w:rPr>
        <w:t>Níže uvedená opatření a doporučení jsou věcného a procesního charakteru. Věcná opatření a doporučení se vážou ke konkrétní oblasti politiky soudržnosti, zatímco procesní opatření a doporučení jsou zpravidla platná pro více oblastí. Věcná opatření a doporučení se zpravidla vztahují k implementaci operačních programů, avšak zároveň mohou naplňovat i konkrétní politiku daného státu a její příslušné strategie. Procesní opatření a doporučení se týkají jak implementace operačních programů, tak zejména nastavení vhodných podmínek a legislativy v dané oblasti, případně dopracování strategických či implementačních dokumentů tam, kde chybějí. Většina opatření a doporučení vyplývá z individuálních hodnocení i závěrečných setkání hodnotitelů v rámci prioritizace NKR, kde byly mimo jiné identifikovány i překážky a rizika, co se týče zaměření podpory, absorpční kapacity, připravenosti strategií, legislativy, ad. Jejich eliminace přispěje k </w:t>
      </w:r>
      <w:r w:rsidRPr="008C6299">
        <w:rPr>
          <w:sz w:val="22"/>
          <w:szCs w:val="22"/>
        </w:rPr>
        <w:t>možnosti nastavit podporu správně a následně včas a kvalitě a potřebném rozsahu implementovat</w:t>
      </w:r>
      <w:r>
        <w:rPr>
          <w:sz w:val="22"/>
          <w:szCs w:val="22"/>
        </w:rPr>
        <w:t xml:space="preserve"> operační program</w:t>
      </w:r>
      <w:r w:rsidRPr="008C6299">
        <w:rPr>
          <w:sz w:val="22"/>
          <w:szCs w:val="22"/>
        </w:rPr>
        <w:t>y a tím dosáhnout</w:t>
      </w:r>
      <w:r>
        <w:rPr>
          <w:sz w:val="22"/>
          <w:szCs w:val="22"/>
        </w:rPr>
        <w:t xml:space="preserve"> maximalizaci dopadů investovaných prostředků z fondů EU</w:t>
      </w:r>
      <w:r w:rsidRPr="6A9D794E">
        <w:rPr>
          <w:sz w:val="22"/>
          <w:szCs w:val="22"/>
        </w:rPr>
        <w:t xml:space="preserve">. </w:t>
      </w:r>
    </w:p>
    <w:p w:rsidR="00B13F83" w:rsidRDefault="00B13F83" w:rsidP="00B13F83">
      <w:pPr>
        <w:rPr>
          <w:sz w:val="22"/>
          <w:szCs w:val="22"/>
        </w:rPr>
      </w:pPr>
      <w:r>
        <w:rPr>
          <w:sz w:val="22"/>
          <w:szCs w:val="22"/>
        </w:rPr>
        <w:t xml:space="preserve">Očekáváme, že </w:t>
      </w:r>
      <w:r w:rsidRPr="008C6299">
        <w:rPr>
          <w:sz w:val="22"/>
          <w:szCs w:val="22"/>
        </w:rPr>
        <w:t xml:space="preserve">opatření a </w:t>
      </w:r>
      <w:r>
        <w:rPr>
          <w:sz w:val="22"/>
          <w:szCs w:val="22"/>
        </w:rPr>
        <w:t xml:space="preserve">doporučení budou zohledněna při přípravě operačních programů a jejich programové dokumentace a budou reflektována při přípravě Dohody o partnerství a zároveň budou </w:t>
      </w:r>
      <w:r w:rsidRPr="008C6299">
        <w:rPr>
          <w:sz w:val="22"/>
          <w:szCs w:val="22"/>
        </w:rPr>
        <w:t xml:space="preserve">diskutována a </w:t>
      </w:r>
      <w:r>
        <w:rPr>
          <w:sz w:val="22"/>
          <w:szCs w:val="22"/>
        </w:rPr>
        <w:t xml:space="preserve">monitorována v rámci </w:t>
      </w:r>
      <w:r w:rsidRPr="008C6299">
        <w:rPr>
          <w:sz w:val="22"/>
          <w:szCs w:val="22"/>
        </w:rPr>
        <w:t>platforem pro přípravu a implementaci EU fondů (Rada ESIF a další skupiny).</w:t>
      </w:r>
      <w:r w:rsidRPr="003101FA">
        <w:rPr>
          <w:sz w:val="22"/>
          <w:szCs w:val="22"/>
        </w:rPr>
        <w:t xml:space="preserve"> </w:t>
      </w:r>
    </w:p>
    <w:p w:rsidR="00B13F83" w:rsidRPr="00590FD1" w:rsidRDefault="00B65759" w:rsidP="00B13F83">
      <w:pPr>
        <w:rPr>
          <w:i/>
          <w:sz w:val="22"/>
          <w:szCs w:val="22"/>
        </w:rPr>
      </w:pPr>
      <w:r w:rsidRPr="00590FD1">
        <w:rPr>
          <w:i/>
          <w:sz w:val="22"/>
          <w:szCs w:val="22"/>
        </w:rPr>
        <w:t xml:space="preserve">Tabulka: </w:t>
      </w:r>
      <w:r w:rsidR="00B13F83" w:rsidRPr="00590FD1">
        <w:rPr>
          <w:bCs/>
          <w:i/>
          <w:sz w:val="22"/>
          <w:szCs w:val="22"/>
        </w:rPr>
        <w:t xml:space="preserve">Vybraná věcná opatření a </w:t>
      </w:r>
      <w:r w:rsidR="00B13F83" w:rsidRPr="00590FD1">
        <w:rPr>
          <w:i/>
          <w:sz w:val="22"/>
          <w:szCs w:val="22"/>
        </w:rPr>
        <w:t xml:space="preserve">doporučení v rámci přípravy </w:t>
      </w:r>
      <w:r w:rsidR="00511BC5" w:rsidRPr="00590FD1">
        <w:rPr>
          <w:i/>
          <w:sz w:val="22"/>
          <w:szCs w:val="22"/>
        </w:rPr>
        <w:t xml:space="preserve">a realizace </w:t>
      </w:r>
      <w:r w:rsidR="00B13F83" w:rsidRPr="00590FD1">
        <w:rPr>
          <w:i/>
          <w:sz w:val="22"/>
          <w:szCs w:val="22"/>
        </w:rPr>
        <w:t>DoP a OP</w:t>
      </w:r>
    </w:p>
    <w:tbl>
      <w:tblPr>
        <w:tblStyle w:val="Mkatabulky"/>
        <w:tblW w:w="0" w:type="auto"/>
        <w:tblLook w:val="04A0" w:firstRow="1" w:lastRow="0" w:firstColumn="1" w:lastColumn="0" w:noHBand="0" w:noVBand="1"/>
      </w:tblPr>
      <w:tblGrid>
        <w:gridCol w:w="6040"/>
        <w:gridCol w:w="1622"/>
        <w:gridCol w:w="1518"/>
      </w:tblGrid>
      <w:tr w:rsidR="00B13F83" w:rsidRPr="006D1860" w:rsidTr="00447655">
        <w:trPr>
          <w:tblHeader/>
        </w:trPr>
        <w:tc>
          <w:tcPr>
            <w:tcW w:w="6040"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 xml:space="preserve">Znění </w:t>
            </w:r>
            <w:r w:rsidRPr="00CD49A2">
              <w:rPr>
                <w:b/>
                <w:sz w:val="22"/>
                <w:szCs w:val="22"/>
              </w:rPr>
              <w:t>opatření</w:t>
            </w:r>
          </w:p>
        </w:tc>
        <w:tc>
          <w:tcPr>
            <w:tcW w:w="1622"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Kdo by měl realizovat</w:t>
            </w:r>
          </w:p>
        </w:tc>
        <w:tc>
          <w:tcPr>
            <w:tcW w:w="1518"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 xml:space="preserve">Kdy </w:t>
            </w:r>
            <w:r>
              <w:rPr>
                <w:b/>
                <w:sz w:val="22"/>
                <w:szCs w:val="22"/>
              </w:rPr>
              <w:t xml:space="preserve">nejpozději </w:t>
            </w:r>
            <w:r w:rsidRPr="006D1860">
              <w:rPr>
                <w:b/>
                <w:sz w:val="22"/>
                <w:szCs w:val="22"/>
              </w:rPr>
              <w:t>realizovat</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 xml:space="preserve">Zohlednit </w:t>
            </w:r>
            <w:r>
              <w:rPr>
                <w:sz w:val="22"/>
                <w:szCs w:val="22"/>
              </w:rPr>
              <w:t>územní dimenzi</w:t>
            </w:r>
            <w:r w:rsidRPr="006D1860">
              <w:rPr>
                <w:sz w:val="22"/>
                <w:szCs w:val="22"/>
              </w:rPr>
              <w:t xml:space="preserve"> v</w:t>
            </w:r>
            <w:r>
              <w:rPr>
                <w:sz w:val="22"/>
                <w:szCs w:val="22"/>
              </w:rPr>
              <w:t> </w:t>
            </w:r>
            <w:r w:rsidRPr="006D1860">
              <w:rPr>
                <w:sz w:val="22"/>
                <w:szCs w:val="22"/>
              </w:rPr>
              <w:t>rámci</w:t>
            </w:r>
            <w:r>
              <w:rPr>
                <w:sz w:val="22"/>
                <w:szCs w:val="22"/>
              </w:rPr>
              <w:t xml:space="preserve"> nastavení</w:t>
            </w:r>
            <w:r w:rsidRPr="006D1860">
              <w:rPr>
                <w:sz w:val="22"/>
                <w:szCs w:val="22"/>
              </w:rPr>
              <w:t xml:space="preserve"> OP</w:t>
            </w:r>
            <w:r>
              <w:rPr>
                <w:sz w:val="22"/>
                <w:szCs w:val="22"/>
              </w:rPr>
              <w:t xml:space="preserve"> i s ohledem na výsledky hodnocení prioritizace v případech, kde je to relevantní</w:t>
            </w:r>
            <w:r w:rsidRPr="006D1860">
              <w:rPr>
                <w:sz w:val="22"/>
                <w:szCs w:val="22"/>
              </w:rPr>
              <w:t>.</w:t>
            </w:r>
          </w:p>
        </w:tc>
        <w:tc>
          <w:tcPr>
            <w:tcW w:w="1622" w:type="dxa"/>
            <w:shd w:val="clear" w:color="auto" w:fill="auto"/>
          </w:tcPr>
          <w:p w:rsidR="00B13F83" w:rsidRPr="006D1860" w:rsidRDefault="00B13F83" w:rsidP="00447655">
            <w:pPr>
              <w:spacing w:before="40" w:after="40"/>
              <w:jc w:val="left"/>
              <w:rPr>
                <w:sz w:val="22"/>
                <w:szCs w:val="22"/>
              </w:rPr>
            </w:pPr>
            <w:r w:rsidRPr="006D1860">
              <w:rPr>
                <w:sz w:val="22"/>
                <w:szCs w:val="22"/>
              </w:rPr>
              <w:t>MPO, MŽP, MŠMT, MPSV, MMR, MD</w:t>
            </w:r>
            <w:r>
              <w:rPr>
                <w:sz w:val="22"/>
                <w:szCs w:val="22"/>
              </w:rPr>
              <w:t>, MZe</w:t>
            </w:r>
          </w:p>
        </w:tc>
        <w:tc>
          <w:tcPr>
            <w:tcW w:w="1518"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040" w:type="dxa"/>
          </w:tcPr>
          <w:p w:rsidR="00B13F83" w:rsidRPr="006D1860" w:rsidRDefault="00B13F83" w:rsidP="00447655">
            <w:pPr>
              <w:spacing w:before="40" w:after="40"/>
              <w:rPr>
                <w:sz w:val="22"/>
                <w:szCs w:val="22"/>
              </w:rPr>
            </w:pPr>
            <w:r>
              <w:rPr>
                <w:sz w:val="22"/>
                <w:szCs w:val="22"/>
              </w:rPr>
              <w:t>Zohlednit relevantní územní dimenzi skrze vybrané nástroje územně-specifického přístupu v rámci jednotlivých OP</w:t>
            </w:r>
          </w:p>
        </w:tc>
        <w:tc>
          <w:tcPr>
            <w:tcW w:w="1622" w:type="dxa"/>
          </w:tcPr>
          <w:p w:rsidR="00B13F83" w:rsidRPr="006D1860" w:rsidRDefault="00B13F83" w:rsidP="00447655">
            <w:pPr>
              <w:spacing w:before="40" w:after="40"/>
              <w:jc w:val="left"/>
              <w:rPr>
                <w:sz w:val="22"/>
                <w:szCs w:val="22"/>
              </w:rPr>
            </w:pPr>
            <w:r w:rsidRPr="006D1860">
              <w:rPr>
                <w:sz w:val="22"/>
                <w:szCs w:val="22"/>
              </w:rPr>
              <w:t>MPO, MŽP, MŠMT, MPSV, MMR, MD</w:t>
            </w:r>
            <w:r>
              <w:rPr>
                <w:sz w:val="22"/>
                <w:szCs w:val="22"/>
              </w:rPr>
              <w:t>, MZe</w:t>
            </w:r>
          </w:p>
        </w:tc>
        <w:tc>
          <w:tcPr>
            <w:tcW w:w="1518" w:type="dxa"/>
          </w:tcPr>
          <w:p w:rsidR="00B13F83" w:rsidRPr="006D1860" w:rsidRDefault="00B13F83" w:rsidP="00447655">
            <w:pPr>
              <w:spacing w:before="40" w:after="40"/>
              <w:rPr>
                <w:sz w:val="22"/>
                <w:szCs w:val="22"/>
              </w:rPr>
            </w:pPr>
            <w:r>
              <w:rPr>
                <w:sz w:val="22"/>
                <w:szCs w:val="22"/>
              </w:rPr>
              <w:t>2019/2020</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vznik zařízení na zpracování materiálově využitelných složek odpadu.</w:t>
            </w:r>
          </w:p>
        </w:tc>
        <w:tc>
          <w:tcPr>
            <w:tcW w:w="1622" w:type="dxa"/>
          </w:tcPr>
          <w:p w:rsidR="00B13F83" w:rsidRPr="006D1860" w:rsidRDefault="00B13F83" w:rsidP="00447655">
            <w:pPr>
              <w:spacing w:before="40" w:after="40"/>
              <w:jc w:val="left"/>
              <w:rPr>
                <w:sz w:val="22"/>
                <w:szCs w:val="22"/>
              </w:rPr>
            </w:pPr>
            <w:r w:rsidRPr="006D1860">
              <w:rPr>
                <w:sz w:val="22"/>
                <w:szCs w:val="22"/>
              </w:rPr>
              <w:t>MŽP ve spolupráci s místní samosprávou</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vznik a využívání re-use center a šířit příklady dobré praxe.</w:t>
            </w:r>
          </w:p>
        </w:tc>
        <w:tc>
          <w:tcPr>
            <w:tcW w:w="1622" w:type="dxa"/>
          </w:tcPr>
          <w:p w:rsidR="00B13F83" w:rsidRPr="006D1860" w:rsidRDefault="00B13F83" w:rsidP="00447655">
            <w:pPr>
              <w:spacing w:before="40" w:after="40"/>
              <w:jc w:val="left"/>
              <w:rPr>
                <w:sz w:val="22"/>
                <w:szCs w:val="22"/>
              </w:rPr>
            </w:pPr>
            <w:r w:rsidRPr="006D1860">
              <w:rPr>
                <w:sz w:val="22"/>
                <w:szCs w:val="22"/>
              </w:rPr>
              <w:t>MŽP ve spolupráci s místní samosprávou</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inovace v oblasti recyklace odpadů.</w:t>
            </w:r>
          </w:p>
        </w:tc>
        <w:tc>
          <w:tcPr>
            <w:tcW w:w="1622" w:type="dxa"/>
          </w:tcPr>
          <w:p w:rsidR="00B13F83" w:rsidRPr="006D1860" w:rsidRDefault="00B13F83" w:rsidP="00447655">
            <w:pPr>
              <w:spacing w:before="40" w:after="40"/>
              <w:jc w:val="left"/>
              <w:rPr>
                <w:sz w:val="22"/>
                <w:szCs w:val="22"/>
              </w:rPr>
            </w:pPr>
            <w:r w:rsidRPr="006D1860">
              <w:rPr>
                <w:sz w:val="22"/>
                <w:szCs w:val="22"/>
              </w:rPr>
              <w:t>MPO, MŽP</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efektivní využívání a recyklaci vody ve výrobních procesech</w:t>
            </w:r>
            <w:r>
              <w:rPr>
                <w:sz w:val="22"/>
                <w:szCs w:val="22"/>
              </w:rPr>
              <w:t xml:space="preserve"> </w:t>
            </w:r>
            <w:r w:rsidRPr="00F15286">
              <w:rPr>
                <w:sz w:val="22"/>
                <w:szCs w:val="22"/>
              </w:rPr>
              <w:t>a ve službách/ provozovnách</w:t>
            </w:r>
            <w:r w:rsidRPr="006D1860">
              <w:rPr>
                <w:sz w:val="22"/>
                <w:szCs w:val="22"/>
              </w:rPr>
              <w:t>.</w:t>
            </w:r>
          </w:p>
        </w:tc>
        <w:tc>
          <w:tcPr>
            <w:tcW w:w="1622" w:type="dxa"/>
          </w:tcPr>
          <w:p w:rsidR="00B13F83" w:rsidRPr="006D1860" w:rsidRDefault="00B13F83" w:rsidP="00447655">
            <w:pPr>
              <w:spacing w:before="40" w:after="40"/>
              <w:jc w:val="left"/>
              <w:rPr>
                <w:sz w:val="22"/>
                <w:szCs w:val="22"/>
              </w:rPr>
            </w:pPr>
            <w:r w:rsidRPr="006D1860">
              <w:rPr>
                <w:sz w:val="22"/>
                <w:szCs w:val="22"/>
              </w:rPr>
              <w:t>MPO</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Zaměřit se na efektivní využívání dešťové vody v podnikatelských, veřejných a residenčních objektech.</w:t>
            </w:r>
          </w:p>
        </w:tc>
        <w:tc>
          <w:tcPr>
            <w:tcW w:w="1622" w:type="dxa"/>
          </w:tcPr>
          <w:p w:rsidR="00B13F83" w:rsidRPr="006D1860" w:rsidRDefault="00B13F83" w:rsidP="00447655">
            <w:pPr>
              <w:spacing w:before="40" w:after="40"/>
              <w:rPr>
                <w:sz w:val="22"/>
                <w:szCs w:val="22"/>
              </w:rPr>
            </w:pPr>
            <w:r w:rsidRPr="006D1860">
              <w:rPr>
                <w:sz w:val="22"/>
                <w:szCs w:val="22"/>
              </w:rPr>
              <w:t>MPO, MŽP</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realizaci pozemkových úprav pro zadržování vody v krajině a to jak v obcích, tak na zemědělské a lesní půdě.</w:t>
            </w:r>
          </w:p>
        </w:tc>
        <w:tc>
          <w:tcPr>
            <w:tcW w:w="1622" w:type="dxa"/>
          </w:tcPr>
          <w:p w:rsidR="00B13F83" w:rsidRPr="006D1860" w:rsidRDefault="00B13F83" w:rsidP="00447655">
            <w:pPr>
              <w:spacing w:before="40" w:after="40"/>
              <w:rPr>
                <w:sz w:val="22"/>
                <w:szCs w:val="22"/>
              </w:rPr>
            </w:pPr>
            <w:r w:rsidRPr="006D1860">
              <w:rPr>
                <w:sz w:val="22"/>
                <w:szCs w:val="22"/>
              </w:rPr>
              <w:t xml:space="preserve">MŽP, </w:t>
            </w:r>
            <w:r>
              <w:rPr>
                <w:sz w:val="22"/>
                <w:szCs w:val="22"/>
              </w:rPr>
              <w:t>MZe</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Podpořit zachování biodiverzity také v městském prostředí a mimo zvláště chráněná území.</w:t>
            </w:r>
          </w:p>
        </w:tc>
        <w:tc>
          <w:tcPr>
            <w:tcW w:w="1622" w:type="dxa"/>
          </w:tcPr>
          <w:p w:rsidR="00B13F83" w:rsidRPr="006D1860" w:rsidRDefault="00B13F83" w:rsidP="00447655">
            <w:pPr>
              <w:spacing w:before="40" w:after="40"/>
              <w:rPr>
                <w:sz w:val="22"/>
                <w:szCs w:val="22"/>
              </w:rPr>
            </w:pPr>
            <w:r w:rsidRPr="006D1860">
              <w:rPr>
                <w:sz w:val="22"/>
                <w:szCs w:val="22"/>
              </w:rPr>
              <w:t>MŽP</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shd w:val="clear" w:color="auto" w:fill="auto"/>
          </w:tcPr>
          <w:p w:rsidR="00B13F83" w:rsidRPr="00340B39" w:rsidRDefault="00B13F83" w:rsidP="00447655">
            <w:pPr>
              <w:spacing w:before="40" w:after="40"/>
              <w:rPr>
                <w:sz w:val="22"/>
                <w:szCs w:val="22"/>
              </w:rPr>
            </w:pPr>
            <w:r w:rsidRPr="0079697B">
              <w:rPr>
                <w:sz w:val="22"/>
                <w:szCs w:val="22"/>
              </w:rPr>
              <w:t>Zaměřit se v rámci implementace politiky soudržnosti a společné zemědělské politiky na řešení kalamitních stavů lesů napadených kůrovcem.</w:t>
            </w:r>
          </w:p>
        </w:tc>
        <w:tc>
          <w:tcPr>
            <w:tcW w:w="1622" w:type="dxa"/>
            <w:shd w:val="clear" w:color="auto" w:fill="auto"/>
          </w:tcPr>
          <w:p w:rsidR="00B13F83" w:rsidRPr="00340B39" w:rsidRDefault="00B13F83" w:rsidP="00447655">
            <w:pPr>
              <w:spacing w:before="40" w:after="40"/>
              <w:rPr>
                <w:sz w:val="22"/>
                <w:szCs w:val="22"/>
              </w:rPr>
            </w:pPr>
            <w:r w:rsidRPr="00340B39">
              <w:rPr>
                <w:sz w:val="22"/>
                <w:szCs w:val="22"/>
              </w:rPr>
              <w:t>MŽP, MZe</w:t>
            </w:r>
          </w:p>
        </w:tc>
        <w:tc>
          <w:tcPr>
            <w:tcW w:w="1518" w:type="dxa"/>
            <w:shd w:val="clear" w:color="auto" w:fill="auto"/>
          </w:tcPr>
          <w:p w:rsidR="00B13F83" w:rsidRPr="00340B39" w:rsidRDefault="00B13F83" w:rsidP="00447655">
            <w:pPr>
              <w:spacing w:before="40" w:after="40"/>
              <w:rPr>
                <w:sz w:val="22"/>
                <w:szCs w:val="22"/>
              </w:rPr>
            </w:pPr>
            <w:r w:rsidRPr="00340B39">
              <w:rPr>
                <w:sz w:val="22"/>
                <w:szCs w:val="22"/>
              </w:rPr>
              <w:t>Průběžně</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I nadále snižovat podíl uhlí v energetickém mixu.</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MPO</w:t>
            </w:r>
          </w:p>
        </w:tc>
        <w:tc>
          <w:tcPr>
            <w:tcW w:w="1518" w:type="dxa"/>
            <w:shd w:val="clear" w:color="auto" w:fill="auto"/>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Zaměřit se více na akumulaci energie z OZE v době přebytků (např. formou syntetického metanu).</w:t>
            </w:r>
          </w:p>
        </w:tc>
        <w:tc>
          <w:tcPr>
            <w:tcW w:w="1622" w:type="dxa"/>
          </w:tcPr>
          <w:p w:rsidR="00B13F83" w:rsidRPr="006D1860" w:rsidRDefault="00B13F83" w:rsidP="00447655">
            <w:pPr>
              <w:spacing w:before="40" w:after="40"/>
              <w:rPr>
                <w:sz w:val="22"/>
                <w:szCs w:val="22"/>
              </w:rPr>
            </w:pPr>
            <w:r w:rsidRPr="006D1860">
              <w:rPr>
                <w:sz w:val="22"/>
                <w:szCs w:val="22"/>
              </w:rPr>
              <w:t>MPO</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Zvýšit energetickou účinnost a energetické úspory ve veřejných budovách.</w:t>
            </w:r>
          </w:p>
        </w:tc>
        <w:tc>
          <w:tcPr>
            <w:tcW w:w="1622" w:type="dxa"/>
          </w:tcPr>
          <w:p w:rsidR="00B13F83" w:rsidRPr="006D1860" w:rsidRDefault="00B13F83" w:rsidP="00447655">
            <w:pPr>
              <w:spacing w:before="40" w:after="40"/>
              <w:rPr>
                <w:sz w:val="22"/>
                <w:szCs w:val="22"/>
              </w:rPr>
            </w:pPr>
            <w:r w:rsidRPr="006D1860">
              <w:rPr>
                <w:sz w:val="22"/>
                <w:szCs w:val="22"/>
              </w:rPr>
              <w:t>MŽP, ve spolupráci s místní samosprávou</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0C6FD9">
              <w:rPr>
                <w:sz w:val="22"/>
                <w:szCs w:val="22"/>
              </w:rPr>
              <w:t>Více podporovat bioplynové stanice, které využívají bioodpad a odpady z ČOV a výrobu plynu v těchto zařízeních.</w:t>
            </w:r>
          </w:p>
        </w:tc>
        <w:tc>
          <w:tcPr>
            <w:tcW w:w="1622" w:type="dxa"/>
            <w:shd w:val="clear" w:color="auto" w:fill="auto"/>
          </w:tcPr>
          <w:p w:rsidR="00B13F83" w:rsidRPr="006D1860" w:rsidRDefault="00B13F83" w:rsidP="00447655">
            <w:pPr>
              <w:spacing w:before="40" w:after="40"/>
              <w:rPr>
                <w:sz w:val="22"/>
                <w:szCs w:val="22"/>
              </w:rPr>
            </w:pPr>
            <w:r>
              <w:rPr>
                <w:sz w:val="22"/>
                <w:szCs w:val="22"/>
              </w:rPr>
              <w:t xml:space="preserve">MZe, MŽP, </w:t>
            </w:r>
            <w:r w:rsidRPr="006D1860">
              <w:rPr>
                <w:sz w:val="22"/>
                <w:szCs w:val="22"/>
              </w:rPr>
              <w:t>MPO</w:t>
            </w:r>
          </w:p>
        </w:tc>
        <w:tc>
          <w:tcPr>
            <w:tcW w:w="1518" w:type="dxa"/>
            <w:shd w:val="clear" w:color="auto" w:fill="auto"/>
          </w:tcPr>
          <w:p w:rsidR="00B13F83" w:rsidRPr="006D1860" w:rsidRDefault="00B13F83" w:rsidP="00447655">
            <w:pPr>
              <w:spacing w:before="40" w:after="40"/>
              <w:rPr>
                <w:sz w:val="22"/>
                <w:szCs w:val="22"/>
                <w:highlight w:val="yellow"/>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Pr>
                <w:sz w:val="22"/>
                <w:szCs w:val="22"/>
              </w:rPr>
              <w:t>Zajistit z</w:t>
            </w:r>
            <w:r w:rsidRPr="006D1860">
              <w:rPr>
                <w:sz w:val="22"/>
                <w:szCs w:val="22"/>
              </w:rPr>
              <w:t>pracování implementačního postupu pro posílení možnosti uplatnění výzkumu v praxi pomocí podpory rozvoje akademických start-upů (podnikatelská aktivita VŠ navázaná na výsledky výzkumu).</w:t>
            </w:r>
          </w:p>
        </w:tc>
        <w:tc>
          <w:tcPr>
            <w:tcW w:w="1622" w:type="dxa"/>
          </w:tcPr>
          <w:p w:rsidR="00B13F83" w:rsidRPr="006D1860" w:rsidRDefault="00B13F83" w:rsidP="00447655">
            <w:pPr>
              <w:spacing w:before="40" w:after="40"/>
              <w:rPr>
                <w:sz w:val="22"/>
                <w:szCs w:val="22"/>
              </w:rPr>
            </w:pPr>
            <w:r w:rsidRPr="006D1860">
              <w:rPr>
                <w:sz w:val="22"/>
                <w:szCs w:val="22"/>
              </w:rPr>
              <w:t>MŠMT ve spolupráci s TAČR a MPO</w:t>
            </w:r>
          </w:p>
        </w:tc>
        <w:tc>
          <w:tcPr>
            <w:tcW w:w="1518"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V oblasti dalšího profesního vzdělávání se zaměřit na odborné vzdělávání zaměstnanců firem v souvislosti s přechodem na 4. průmyslovou revoluci. Obdobně postupovat i v případě rekvalifikací uchazečů o zaměstnání a zájemců o zaměstnání.</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MPSV, ve spolupráci s MPO a MŠMT</w:t>
            </w:r>
          </w:p>
        </w:tc>
        <w:tc>
          <w:tcPr>
            <w:tcW w:w="1518" w:type="dxa"/>
            <w:shd w:val="clear" w:color="auto" w:fill="auto"/>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Pr>
                <w:sz w:val="22"/>
                <w:szCs w:val="22"/>
              </w:rPr>
              <w:t>Podporovat služby péče o děti</w:t>
            </w:r>
          </w:p>
        </w:tc>
        <w:tc>
          <w:tcPr>
            <w:tcW w:w="1622" w:type="dxa"/>
          </w:tcPr>
          <w:p w:rsidR="00B13F83" w:rsidRPr="006D1860" w:rsidRDefault="00B13F83" w:rsidP="00447655">
            <w:pPr>
              <w:spacing w:before="40" w:after="40"/>
              <w:rPr>
                <w:sz w:val="22"/>
                <w:szCs w:val="22"/>
              </w:rPr>
            </w:pPr>
            <w:r w:rsidRPr="006D1860">
              <w:rPr>
                <w:sz w:val="22"/>
                <w:szCs w:val="22"/>
              </w:rPr>
              <w:t>MPSV</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Rozvíjet systém kariérového poradenství ve všech fázích života a v různých životních situacích (žáci, studenti, zaměstnanci, nezaměstnaní, vracející se z rodičovské dovolené a další).</w:t>
            </w:r>
          </w:p>
        </w:tc>
        <w:tc>
          <w:tcPr>
            <w:tcW w:w="1622" w:type="dxa"/>
          </w:tcPr>
          <w:p w:rsidR="00B13F83" w:rsidRPr="006D1860" w:rsidRDefault="00B13F83" w:rsidP="00447655">
            <w:pPr>
              <w:spacing w:before="40" w:after="40"/>
              <w:rPr>
                <w:sz w:val="22"/>
                <w:szCs w:val="22"/>
              </w:rPr>
            </w:pPr>
            <w:r w:rsidRPr="006D1860">
              <w:rPr>
                <w:sz w:val="22"/>
                <w:szCs w:val="22"/>
              </w:rPr>
              <w:t>MPSV, MŠMT</w:t>
            </w:r>
          </w:p>
        </w:tc>
        <w:tc>
          <w:tcPr>
            <w:tcW w:w="1518"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tcPr>
          <w:p w:rsidR="00B13F83" w:rsidRPr="006D1860" w:rsidRDefault="00B13F83" w:rsidP="00447655">
            <w:pPr>
              <w:spacing w:before="40" w:after="40"/>
              <w:rPr>
                <w:sz w:val="22"/>
                <w:szCs w:val="22"/>
              </w:rPr>
            </w:pPr>
            <w:r>
              <w:rPr>
                <w:sz w:val="22"/>
                <w:szCs w:val="22"/>
              </w:rPr>
              <w:t>Promítnout zaměření</w:t>
            </w:r>
            <w:r w:rsidRPr="006D1860">
              <w:rPr>
                <w:sz w:val="22"/>
                <w:szCs w:val="22"/>
              </w:rPr>
              <w:t xml:space="preserve"> SC </w:t>
            </w:r>
            <w:r>
              <w:rPr>
                <w:sz w:val="22"/>
                <w:szCs w:val="22"/>
              </w:rPr>
              <w:t>„</w:t>
            </w:r>
            <w:r w:rsidRPr="006D1860">
              <w:rPr>
                <w:sz w:val="22"/>
                <w:szCs w:val="22"/>
              </w:rPr>
              <w:t>Zvýšení přidané hodnoty výrobků a služeb v produkčním řetězci</w:t>
            </w:r>
            <w:r>
              <w:rPr>
                <w:sz w:val="22"/>
                <w:szCs w:val="22"/>
              </w:rPr>
              <w:t>“</w:t>
            </w:r>
            <w:r w:rsidRPr="006D1860">
              <w:rPr>
                <w:sz w:val="22"/>
                <w:szCs w:val="22"/>
              </w:rPr>
              <w:t xml:space="preserve"> jako průřezového </w:t>
            </w:r>
            <w:r>
              <w:rPr>
                <w:sz w:val="22"/>
                <w:szCs w:val="22"/>
              </w:rPr>
              <w:t>cíle</w:t>
            </w:r>
            <w:r w:rsidRPr="006D1860">
              <w:rPr>
                <w:sz w:val="22"/>
                <w:szCs w:val="22"/>
              </w:rPr>
              <w:t xml:space="preserve"> </w:t>
            </w:r>
            <w:r>
              <w:rPr>
                <w:sz w:val="22"/>
                <w:szCs w:val="22"/>
              </w:rPr>
              <w:t>do přípravy relevantních SC OP zaměřeného na konkurenceschopnost.</w:t>
            </w:r>
          </w:p>
        </w:tc>
        <w:tc>
          <w:tcPr>
            <w:tcW w:w="1622" w:type="dxa"/>
          </w:tcPr>
          <w:p w:rsidR="00B13F83" w:rsidRPr="006D1860" w:rsidRDefault="00B13F83" w:rsidP="00447655">
            <w:pPr>
              <w:spacing w:before="40" w:after="40"/>
              <w:rPr>
                <w:sz w:val="22"/>
                <w:szCs w:val="22"/>
              </w:rPr>
            </w:pPr>
            <w:r w:rsidRPr="006D1860">
              <w:rPr>
                <w:sz w:val="22"/>
                <w:szCs w:val="22"/>
              </w:rPr>
              <w:t>MPO</w:t>
            </w:r>
          </w:p>
        </w:tc>
        <w:tc>
          <w:tcPr>
            <w:tcW w:w="1518" w:type="dxa"/>
          </w:tcPr>
          <w:p w:rsidR="00B13F83" w:rsidRPr="006D1860" w:rsidRDefault="00B13F83" w:rsidP="00447655">
            <w:pPr>
              <w:spacing w:before="40" w:after="40"/>
              <w:rPr>
                <w:sz w:val="22"/>
                <w:szCs w:val="22"/>
              </w:rPr>
            </w:pPr>
            <w:r>
              <w:rPr>
                <w:sz w:val="22"/>
                <w:szCs w:val="22"/>
              </w:rPr>
              <w:t>2020</w:t>
            </w:r>
          </w:p>
        </w:tc>
      </w:tr>
      <w:tr w:rsidR="00B13F83" w:rsidRPr="006D1860" w:rsidTr="00447655">
        <w:tc>
          <w:tcPr>
            <w:tcW w:w="6040" w:type="dxa"/>
          </w:tcPr>
          <w:p w:rsidR="00B13F83" w:rsidRPr="006D1860" w:rsidRDefault="00B13F83" w:rsidP="00447655">
            <w:pPr>
              <w:spacing w:before="40" w:after="40"/>
              <w:rPr>
                <w:sz w:val="22"/>
                <w:szCs w:val="22"/>
              </w:rPr>
            </w:pPr>
            <w:r>
              <w:rPr>
                <w:sz w:val="22"/>
                <w:szCs w:val="22"/>
              </w:rPr>
              <w:t>Obsah SC Digitalizace územního plánování řešit v rámci IROP pod SC Elektronizace výkonu veřejné správy a rozvoj související infrastruktury.</w:t>
            </w:r>
          </w:p>
        </w:tc>
        <w:tc>
          <w:tcPr>
            <w:tcW w:w="1622" w:type="dxa"/>
          </w:tcPr>
          <w:p w:rsidR="00B13F83" w:rsidRPr="006D1860" w:rsidRDefault="00B13F83" w:rsidP="00447655">
            <w:pPr>
              <w:spacing w:before="40" w:after="40"/>
              <w:rPr>
                <w:sz w:val="22"/>
                <w:szCs w:val="22"/>
              </w:rPr>
            </w:pPr>
            <w:r>
              <w:rPr>
                <w:sz w:val="22"/>
                <w:szCs w:val="22"/>
              </w:rPr>
              <w:t>MMR</w:t>
            </w:r>
          </w:p>
        </w:tc>
        <w:tc>
          <w:tcPr>
            <w:tcW w:w="1518" w:type="dxa"/>
          </w:tcPr>
          <w:p w:rsidR="00B13F83" w:rsidRPr="006D1860" w:rsidRDefault="00B13F83" w:rsidP="00447655">
            <w:pPr>
              <w:spacing w:before="40" w:after="40"/>
              <w:rPr>
                <w:sz w:val="22"/>
                <w:szCs w:val="22"/>
              </w:rPr>
            </w:pPr>
            <w:r>
              <w:rPr>
                <w:sz w:val="22"/>
                <w:szCs w:val="22"/>
              </w:rPr>
              <w:t>2019</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V rámci SC Ochrana obyvatelstva soustředit podporu především na opatření</w:t>
            </w:r>
            <w:r>
              <w:rPr>
                <w:sz w:val="22"/>
                <w:szCs w:val="22"/>
              </w:rPr>
              <w:t xml:space="preserve"> směřující</w:t>
            </w:r>
            <w:r w:rsidRPr="006D1860">
              <w:rPr>
                <w:sz w:val="22"/>
                <w:szCs w:val="22"/>
              </w:rPr>
              <w:t xml:space="preserve"> k</w:t>
            </w:r>
            <w:r>
              <w:rPr>
                <w:sz w:val="22"/>
                <w:szCs w:val="22"/>
              </w:rPr>
              <w:t> zefektivnění</w:t>
            </w:r>
            <w:r w:rsidRPr="006D1860">
              <w:rPr>
                <w:sz w:val="22"/>
                <w:szCs w:val="22"/>
              </w:rPr>
              <w:t xml:space="preserve"> funkčnosti</w:t>
            </w:r>
            <w:r>
              <w:rPr>
                <w:sz w:val="22"/>
                <w:szCs w:val="22"/>
              </w:rPr>
              <w:t xml:space="preserve"> a zvýšení kapacit základních složek</w:t>
            </w:r>
            <w:r w:rsidRPr="006D1860">
              <w:rPr>
                <w:sz w:val="22"/>
                <w:szCs w:val="22"/>
              </w:rPr>
              <w:t xml:space="preserve"> IZS</w:t>
            </w:r>
            <w:r>
              <w:rPr>
                <w:sz w:val="22"/>
                <w:szCs w:val="22"/>
              </w:rPr>
              <w:t xml:space="preserve">. </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MV</w:t>
            </w:r>
            <w:r>
              <w:rPr>
                <w:sz w:val="22"/>
                <w:szCs w:val="22"/>
              </w:rPr>
              <w:t>, MMR</w:t>
            </w:r>
          </w:p>
        </w:tc>
        <w:tc>
          <w:tcPr>
            <w:tcW w:w="1518" w:type="dxa"/>
            <w:shd w:val="clear" w:color="auto" w:fill="auto"/>
          </w:tcPr>
          <w:p w:rsidR="00B13F83" w:rsidRPr="006D1860" w:rsidRDefault="00B13F83" w:rsidP="00447655">
            <w:pPr>
              <w:spacing w:before="40" w:after="40"/>
              <w:rPr>
                <w:sz w:val="22"/>
                <w:szCs w:val="22"/>
                <w:highlight w:val="yellow"/>
              </w:rPr>
            </w:pPr>
            <w:r w:rsidRPr="006D1860">
              <w:rPr>
                <w:sz w:val="22"/>
                <w:szCs w:val="22"/>
              </w:rPr>
              <w:t>2019</w:t>
            </w:r>
          </w:p>
        </w:tc>
      </w:tr>
      <w:tr w:rsidR="00B13F83" w:rsidRPr="006D1860" w:rsidTr="00447655">
        <w:tc>
          <w:tcPr>
            <w:tcW w:w="6040" w:type="dxa"/>
          </w:tcPr>
          <w:p w:rsidR="00B13F83" w:rsidRPr="0078405D" w:rsidRDefault="00B13F83" w:rsidP="00447655">
            <w:pPr>
              <w:spacing w:before="40" w:after="40"/>
              <w:rPr>
                <w:sz w:val="22"/>
                <w:szCs w:val="22"/>
              </w:rPr>
            </w:pPr>
            <w:r w:rsidRPr="00F41D0E">
              <w:rPr>
                <w:sz w:val="22"/>
                <w:szCs w:val="22"/>
              </w:rPr>
              <w:t>Analyzovat vhodné oblasti pro využití FN v OP a dle výsledků analýz připravovat v relevantních částech OP podporu pouze prostřednictvím FN (případně v kombinaci s dotací)</w:t>
            </w:r>
          </w:p>
        </w:tc>
        <w:tc>
          <w:tcPr>
            <w:tcW w:w="1622" w:type="dxa"/>
          </w:tcPr>
          <w:p w:rsidR="00B13F83" w:rsidRPr="006D1860" w:rsidRDefault="00B13F83" w:rsidP="00447655">
            <w:pPr>
              <w:spacing w:before="40" w:after="40"/>
              <w:rPr>
                <w:sz w:val="22"/>
                <w:szCs w:val="22"/>
              </w:rPr>
            </w:pPr>
            <w:r w:rsidRPr="006D1860">
              <w:rPr>
                <w:sz w:val="22"/>
                <w:szCs w:val="22"/>
              </w:rPr>
              <w:t>MPO, MŽP, MŠMT, MPSV, MMR, MD</w:t>
            </w:r>
            <w:r>
              <w:rPr>
                <w:sz w:val="22"/>
                <w:szCs w:val="22"/>
              </w:rPr>
              <w:t>, MZe</w:t>
            </w:r>
          </w:p>
        </w:tc>
        <w:tc>
          <w:tcPr>
            <w:tcW w:w="1518" w:type="dxa"/>
          </w:tcPr>
          <w:p w:rsidR="00B13F83" w:rsidRPr="006D1860" w:rsidRDefault="00B13F83" w:rsidP="00447655">
            <w:pPr>
              <w:spacing w:before="40" w:after="40"/>
              <w:rPr>
                <w:sz w:val="22"/>
                <w:szCs w:val="22"/>
              </w:rPr>
            </w:pPr>
            <w:r>
              <w:rPr>
                <w:sz w:val="22"/>
                <w:szCs w:val="22"/>
              </w:rPr>
              <w:t>2019</w:t>
            </w:r>
          </w:p>
        </w:tc>
      </w:tr>
      <w:tr w:rsidR="00B13F83" w:rsidRPr="006D1860" w:rsidTr="00447655">
        <w:tc>
          <w:tcPr>
            <w:tcW w:w="6040" w:type="dxa"/>
          </w:tcPr>
          <w:p w:rsidR="00B13F83" w:rsidRPr="006D1860" w:rsidRDefault="00B13F83" w:rsidP="00447655">
            <w:pPr>
              <w:spacing w:before="40" w:after="40"/>
              <w:rPr>
                <w:sz w:val="22"/>
                <w:szCs w:val="22"/>
              </w:rPr>
            </w:pPr>
            <w:r w:rsidRPr="006D1860">
              <w:rPr>
                <w:sz w:val="22"/>
                <w:szCs w:val="22"/>
              </w:rPr>
              <w:t>Zpracovat návrh na zefektivnění využití finančních nástrojů s ohledem na zkušenosti ze současného programového období.</w:t>
            </w:r>
          </w:p>
        </w:tc>
        <w:tc>
          <w:tcPr>
            <w:tcW w:w="1622" w:type="dxa"/>
          </w:tcPr>
          <w:p w:rsidR="00B13F83" w:rsidRPr="006D1860" w:rsidRDefault="00B13F83" w:rsidP="00447655">
            <w:pPr>
              <w:spacing w:before="40" w:after="40"/>
              <w:rPr>
                <w:sz w:val="22"/>
                <w:szCs w:val="22"/>
              </w:rPr>
            </w:pPr>
            <w:r w:rsidRPr="006D1860">
              <w:rPr>
                <w:sz w:val="22"/>
                <w:szCs w:val="22"/>
              </w:rPr>
              <w:t>MPO</w:t>
            </w:r>
          </w:p>
        </w:tc>
        <w:tc>
          <w:tcPr>
            <w:tcW w:w="1518" w:type="dxa"/>
          </w:tcPr>
          <w:p w:rsidR="00B13F83" w:rsidRPr="006D1860" w:rsidRDefault="00B13F83" w:rsidP="00447655">
            <w:pPr>
              <w:spacing w:before="40" w:after="40"/>
              <w:rPr>
                <w:sz w:val="22"/>
                <w:szCs w:val="22"/>
              </w:rPr>
            </w:pPr>
            <w:r w:rsidRPr="006D1860">
              <w:rPr>
                <w:sz w:val="22"/>
                <w:szCs w:val="22"/>
              </w:rPr>
              <w:t>2019</w:t>
            </w:r>
          </w:p>
        </w:tc>
      </w:tr>
    </w:tbl>
    <w:p w:rsidR="00FF4CF6" w:rsidRDefault="00FF4CF6"/>
    <w:p w:rsidR="00FF4CF6" w:rsidRDefault="00FF4CF6"/>
    <w:tbl>
      <w:tblPr>
        <w:tblStyle w:val="Mkatabulky"/>
        <w:tblW w:w="0" w:type="auto"/>
        <w:tblLook w:val="04A0" w:firstRow="1" w:lastRow="0" w:firstColumn="1" w:lastColumn="0" w:noHBand="0" w:noVBand="1"/>
      </w:tblPr>
      <w:tblGrid>
        <w:gridCol w:w="6040"/>
        <w:gridCol w:w="1622"/>
        <w:gridCol w:w="1377"/>
      </w:tblGrid>
      <w:tr w:rsidR="00B13F83" w:rsidRPr="006D1860" w:rsidTr="00447655">
        <w:tc>
          <w:tcPr>
            <w:tcW w:w="6040" w:type="dxa"/>
            <w:shd w:val="clear" w:color="auto" w:fill="DBE5F1" w:themeFill="accent1" w:themeFillTint="33"/>
          </w:tcPr>
          <w:p w:rsidR="00B13F83" w:rsidRPr="006D1860" w:rsidRDefault="00B13F83" w:rsidP="00447655">
            <w:pPr>
              <w:spacing w:before="40" w:after="40"/>
              <w:rPr>
                <w:sz w:val="22"/>
                <w:szCs w:val="22"/>
              </w:rPr>
            </w:pPr>
            <w:r w:rsidRPr="009F3363">
              <w:rPr>
                <w:b/>
                <w:sz w:val="22"/>
                <w:szCs w:val="22"/>
              </w:rPr>
              <w:t xml:space="preserve">Znění </w:t>
            </w:r>
            <w:r w:rsidRPr="00D43F3C">
              <w:rPr>
                <w:b/>
                <w:sz w:val="22"/>
                <w:szCs w:val="22"/>
              </w:rPr>
              <w:t>doporučení</w:t>
            </w:r>
          </w:p>
        </w:tc>
        <w:tc>
          <w:tcPr>
            <w:tcW w:w="1622" w:type="dxa"/>
            <w:shd w:val="clear" w:color="auto" w:fill="DBE5F1" w:themeFill="accent1" w:themeFillTint="33"/>
          </w:tcPr>
          <w:p w:rsidR="00B13F83" w:rsidRPr="006D1860" w:rsidRDefault="00B13F83" w:rsidP="00447655">
            <w:pPr>
              <w:spacing w:before="40" w:after="40"/>
              <w:rPr>
                <w:sz w:val="22"/>
                <w:szCs w:val="22"/>
              </w:rPr>
            </w:pPr>
            <w:r w:rsidRPr="006D1860">
              <w:rPr>
                <w:b/>
                <w:sz w:val="22"/>
                <w:szCs w:val="22"/>
              </w:rPr>
              <w:t>Kdo by měl realizovat</w:t>
            </w:r>
          </w:p>
        </w:tc>
        <w:tc>
          <w:tcPr>
            <w:tcW w:w="1377" w:type="dxa"/>
            <w:shd w:val="clear" w:color="auto" w:fill="DBE5F1" w:themeFill="accent1" w:themeFillTint="33"/>
          </w:tcPr>
          <w:p w:rsidR="00B13F83" w:rsidRPr="006D1860" w:rsidRDefault="00B13F83" w:rsidP="00447655">
            <w:pPr>
              <w:spacing w:before="40" w:after="40"/>
              <w:rPr>
                <w:sz w:val="22"/>
                <w:szCs w:val="22"/>
              </w:rPr>
            </w:pPr>
            <w:r w:rsidRPr="006D1860">
              <w:rPr>
                <w:b/>
                <w:sz w:val="22"/>
                <w:szCs w:val="22"/>
              </w:rPr>
              <w:t xml:space="preserve">Kdy </w:t>
            </w:r>
            <w:r>
              <w:rPr>
                <w:b/>
                <w:sz w:val="22"/>
                <w:szCs w:val="22"/>
              </w:rPr>
              <w:t xml:space="preserve">nejpozději </w:t>
            </w:r>
            <w:r w:rsidRPr="006D1860">
              <w:rPr>
                <w:b/>
                <w:sz w:val="22"/>
                <w:szCs w:val="22"/>
              </w:rPr>
              <w:t>realizovat</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V návaznosti na vyhodnocení relevance SC NKR k průřezovému tématu Společnost 4.0, zohlednit potřeby digitalizace a chytrých řešení/inovací pod oblastmi Podpora podnikání a průmyslu, Trh práce a zaměstnanost, Vzdělávání v rámci nastavení obsahu a implementace příslušných OP.</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MPO, MPSV, MŠMT</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 xml:space="preserve">V návaznosti na vyhodnocení relevance SC NKR k průřezovému tématu Adaptace na změnu klimatu, zohlednit a přijmout relevantní průřezová kritéria v jednotlivých OP zohledňujících mitigaci </w:t>
            </w:r>
            <w:r>
              <w:rPr>
                <w:sz w:val="22"/>
                <w:szCs w:val="22"/>
              </w:rPr>
              <w:t xml:space="preserve">a </w:t>
            </w:r>
            <w:r w:rsidRPr="006D1860">
              <w:rPr>
                <w:sz w:val="22"/>
                <w:szCs w:val="22"/>
              </w:rPr>
              <w:t>adaptaci na klimatické změny týkajících se hospodaření s vodou (zadržování vody v krajině, využívání odpadních a dešťových vod v budovách), zvyšování energetické účinnosti (budov a průmyslových provozů), minimalizace emisí (z dopravy</w:t>
            </w:r>
            <w:r>
              <w:rPr>
                <w:sz w:val="22"/>
                <w:szCs w:val="22"/>
              </w:rPr>
              <w:t xml:space="preserve">, </w:t>
            </w:r>
            <w:r w:rsidRPr="006D1860">
              <w:rPr>
                <w:sz w:val="22"/>
                <w:szCs w:val="22"/>
              </w:rPr>
              <w:t xml:space="preserve">průmyslových </w:t>
            </w:r>
            <w:r>
              <w:rPr>
                <w:sz w:val="22"/>
                <w:szCs w:val="22"/>
              </w:rPr>
              <w:t xml:space="preserve">a jiných podnikatelských </w:t>
            </w:r>
            <w:r w:rsidRPr="006D1860">
              <w:rPr>
                <w:sz w:val="22"/>
                <w:szCs w:val="22"/>
              </w:rPr>
              <w:t>provozů</w:t>
            </w:r>
            <w:r>
              <w:rPr>
                <w:sz w:val="22"/>
                <w:szCs w:val="22"/>
              </w:rPr>
              <w:t xml:space="preserve"> a rezidenčních objektů</w:t>
            </w:r>
            <w:r w:rsidRPr="006D1860">
              <w:rPr>
                <w:sz w:val="22"/>
                <w:szCs w:val="22"/>
              </w:rPr>
              <w:t>)</w:t>
            </w:r>
            <w:r>
              <w:rPr>
                <w:sz w:val="22"/>
                <w:szCs w:val="22"/>
              </w:rPr>
              <w:t xml:space="preserve"> a využívání OZE</w:t>
            </w:r>
            <w:r w:rsidRPr="006D1860">
              <w:rPr>
                <w:sz w:val="22"/>
                <w:szCs w:val="22"/>
              </w:rPr>
              <w:t>.</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MPO, MŽP, MŠMT, MPSV, MMR, MD</w:t>
            </w:r>
            <w:r>
              <w:rPr>
                <w:sz w:val="22"/>
                <w:szCs w:val="22"/>
              </w:rPr>
              <w:t>, MZe</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w:t>
            </w:r>
            <w:r>
              <w:rPr>
                <w:sz w:val="22"/>
                <w:szCs w:val="22"/>
              </w:rPr>
              <w:t>1</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Zaměřit se na rozvoj zelené infrastruktury.</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MŽP, MMR</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Promítnout vybraná témata SC Ochrana, rozvoj a podpora kulturního dědictví</w:t>
            </w:r>
            <w:r>
              <w:rPr>
                <w:sz w:val="22"/>
                <w:szCs w:val="22"/>
              </w:rPr>
              <w:t>,</w:t>
            </w:r>
            <w:r w:rsidRPr="006D1860">
              <w:rPr>
                <w:sz w:val="22"/>
                <w:szCs w:val="22"/>
              </w:rPr>
              <w:t xml:space="preserve"> se zohledněním pokroku v této oblasti ve stávajícím období</w:t>
            </w:r>
            <w:r>
              <w:rPr>
                <w:sz w:val="22"/>
                <w:szCs w:val="22"/>
              </w:rPr>
              <w:t>, do IROP</w:t>
            </w:r>
            <w:r w:rsidRPr="006D1860">
              <w:rPr>
                <w:sz w:val="22"/>
                <w:szCs w:val="22"/>
              </w:rPr>
              <w:t>.</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MK ve spolupráci s MMR</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2019</w:t>
            </w:r>
          </w:p>
        </w:tc>
      </w:tr>
      <w:tr w:rsidR="00B13F83" w:rsidRPr="006D1860" w:rsidTr="00557AE9">
        <w:trPr>
          <w:trHeight w:val="2213"/>
        </w:trPr>
        <w:tc>
          <w:tcPr>
            <w:tcW w:w="6040" w:type="dxa"/>
            <w:shd w:val="clear" w:color="auto" w:fill="auto"/>
          </w:tcPr>
          <w:p w:rsidR="00B13F83" w:rsidRPr="006D1860" w:rsidRDefault="00B13F83" w:rsidP="00447655">
            <w:pPr>
              <w:spacing w:before="40" w:after="40"/>
              <w:rPr>
                <w:sz w:val="22"/>
                <w:szCs w:val="22"/>
              </w:rPr>
            </w:pPr>
            <w:r w:rsidRPr="006D1860">
              <w:rPr>
                <w:sz w:val="22"/>
                <w:szCs w:val="22"/>
              </w:rPr>
              <w:t>Zohlednit zaměření podpory v cestovním ruchu na klíčové projekty veřejné infrastruktury</w:t>
            </w:r>
            <w:r>
              <w:rPr>
                <w:sz w:val="22"/>
                <w:szCs w:val="22"/>
              </w:rPr>
              <w:t xml:space="preserve"> a v případě podnikatelské infrastruktury </w:t>
            </w:r>
            <w:r w:rsidRPr="006D1860">
              <w:rPr>
                <w:sz w:val="22"/>
                <w:szCs w:val="22"/>
              </w:rPr>
              <w:t xml:space="preserve">zejména tam, kde neexistuje </w:t>
            </w:r>
            <w:r>
              <w:rPr>
                <w:sz w:val="22"/>
                <w:szCs w:val="22"/>
              </w:rPr>
              <w:t xml:space="preserve">stávající </w:t>
            </w:r>
            <w:r w:rsidRPr="006D1860">
              <w:rPr>
                <w:sz w:val="22"/>
                <w:szCs w:val="22"/>
              </w:rPr>
              <w:t>dostatečná nabídka služeb podnikatelů v cestovním ruchu (hospodářsky a sociálně ztrátová území) a kde je dostatečný potenciál kulturně-historického, případně přírodního dědictví.</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MMR ve spolupráci s ŘO OP</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B13F83" w:rsidRPr="006D1860" w:rsidTr="00557AE9">
        <w:trPr>
          <w:trHeight w:val="1364"/>
        </w:trPr>
        <w:tc>
          <w:tcPr>
            <w:tcW w:w="6040" w:type="dxa"/>
            <w:shd w:val="clear" w:color="auto" w:fill="auto"/>
          </w:tcPr>
          <w:p w:rsidR="00B13F83" w:rsidRPr="006D1860" w:rsidRDefault="00B13F83" w:rsidP="00447655">
            <w:pPr>
              <w:spacing w:before="40" w:after="40"/>
              <w:rPr>
                <w:sz w:val="22"/>
                <w:szCs w:val="22"/>
              </w:rPr>
            </w:pPr>
            <w:r w:rsidRPr="006D1860">
              <w:rPr>
                <w:sz w:val="22"/>
                <w:szCs w:val="22"/>
              </w:rPr>
              <w:t>Prostřednictvím pilotních projektů otestovat a zavést metodu case managementu a profilace klientů ve službách zaměstnanosti při práci se skupinami znevýhodněnými na trhu práce.</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MPSV, ÚP ČR</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2023</w:t>
            </w:r>
          </w:p>
        </w:tc>
      </w:tr>
      <w:tr w:rsidR="00B13F83" w:rsidRPr="006D1860" w:rsidTr="00557AE9">
        <w:trPr>
          <w:trHeight w:val="1383"/>
        </w:trPr>
        <w:tc>
          <w:tcPr>
            <w:tcW w:w="6040" w:type="dxa"/>
            <w:shd w:val="clear" w:color="auto" w:fill="auto"/>
          </w:tcPr>
          <w:p w:rsidR="00B13F83" w:rsidRPr="006D1860" w:rsidRDefault="00B13F83" w:rsidP="00447655">
            <w:pPr>
              <w:spacing w:before="40" w:after="40"/>
              <w:rPr>
                <w:sz w:val="22"/>
                <w:szCs w:val="22"/>
              </w:rPr>
            </w:pPr>
            <w:r w:rsidRPr="006D1860">
              <w:rPr>
                <w:sz w:val="22"/>
                <w:szCs w:val="22"/>
              </w:rPr>
              <w:t>Zaměřit využívání prostředků z EU fondů ve větší míře na inovativní opatření a pilotní intervence.</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MPO, MŽP, MŠMT, MPSV, MMR, MD</w:t>
            </w:r>
            <w:r>
              <w:rPr>
                <w:sz w:val="22"/>
                <w:szCs w:val="22"/>
              </w:rPr>
              <w:t>, MZe</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sidRPr="006D1860">
              <w:rPr>
                <w:sz w:val="22"/>
                <w:szCs w:val="22"/>
              </w:rPr>
              <w:t>Zaměřit obsah SC Ochrana, rozvoj a podpora kulturního dědictví tak, aby se zohlednila vysoká absorpční kapacita v oblasti obnovy památek a zároveň se vytvořil prostor pro podporu inovativních forem ve využití umění (kreativní a kulturní průmysly, komercionalizace kulturního dědictví).</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MK</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2019</w:t>
            </w:r>
          </w:p>
        </w:tc>
      </w:tr>
      <w:tr w:rsidR="00B13F83" w:rsidRPr="006D1860" w:rsidTr="00447655">
        <w:tc>
          <w:tcPr>
            <w:tcW w:w="6040" w:type="dxa"/>
            <w:shd w:val="clear" w:color="auto" w:fill="auto"/>
          </w:tcPr>
          <w:p w:rsidR="00B13F83" w:rsidRPr="006D1860" w:rsidRDefault="00B13F83" w:rsidP="00447655">
            <w:pPr>
              <w:spacing w:before="40" w:after="40"/>
              <w:rPr>
                <w:sz w:val="22"/>
                <w:szCs w:val="22"/>
              </w:rPr>
            </w:pPr>
            <w:r>
              <w:rPr>
                <w:sz w:val="22"/>
                <w:szCs w:val="22"/>
              </w:rPr>
              <w:t xml:space="preserve">Upřesnit jaké aktivity spadají pod pojem </w:t>
            </w:r>
            <w:r w:rsidRPr="006D1860">
              <w:rPr>
                <w:sz w:val="22"/>
                <w:szCs w:val="22"/>
              </w:rPr>
              <w:t>„udržitelný cestovní ruch“ ve vztahu k budoucímu rozsahu podpory z </w:t>
            </w:r>
            <w:r>
              <w:rPr>
                <w:sz w:val="22"/>
                <w:szCs w:val="22"/>
              </w:rPr>
              <w:t>IR</w:t>
            </w:r>
            <w:r w:rsidRPr="006D1860">
              <w:rPr>
                <w:sz w:val="22"/>
                <w:szCs w:val="22"/>
              </w:rPr>
              <w:t>OP.</w:t>
            </w:r>
          </w:p>
        </w:tc>
        <w:tc>
          <w:tcPr>
            <w:tcW w:w="1622" w:type="dxa"/>
            <w:shd w:val="clear" w:color="auto" w:fill="auto"/>
          </w:tcPr>
          <w:p w:rsidR="00B13F83" w:rsidRPr="006D1860" w:rsidRDefault="00B13F83" w:rsidP="00447655">
            <w:pPr>
              <w:spacing w:before="40" w:after="40"/>
              <w:rPr>
                <w:sz w:val="22"/>
                <w:szCs w:val="22"/>
              </w:rPr>
            </w:pPr>
            <w:r w:rsidRPr="006D1860">
              <w:rPr>
                <w:sz w:val="22"/>
                <w:szCs w:val="22"/>
              </w:rPr>
              <w:t>MMR</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2019</w:t>
            </w:r>
          </w:p>
        </w:tc>
      </w:tr>
    </w:tbl>
    <w:p w:rsidR="00B13F83" w:rsidRDefault="00B13F83" w:rsidP="00B13F83"/>
    <w:p w:rsidR="00B13F83" w:rsidRPr="00590FD1" w:rsidRDefault="00B65759" w:rsidP="00B13F83">
      <w:pPr>
        <w:rPr>
          <w:i/>
          <w:sz w:val="22"/>
          <w:szCs w:val="22"/>
        </w:rPr>
      </w:pPr>
      <w:r w:rsidRPr="00590FD1">
        <w:rPr>
          <w:i/>
          <w:sz w:val="22"/>
          <w:szCs w:val="22"/>
        </w:rPr>
        <w:t>Tabulka:</w:t>
      </w:r>
      <w:r>
        <w:rPr>
          <w:i/>
          <w:sz w:val="22"/>
          <w:szCs w:val="22"/>
        </w:rPr>
        <w:t xml:space="preserve"> </w:t>
      </w:r>
      <w:r w:rsidR="00B13F83" w:rsidRPr="00590FD1">
        <w:rPr>
          <w:bCs/>
          <w:i/>
          <w:sz w:val="22"/>
          <w:szCs w:val="22"/>
        </w:rPr>
        <w:t xml:space="preserve">Vybraná opatření a </w:t>
      </w:r>
      <w:r w:rsidR="00B13F83" w:rsidRPr="00590FD1">
        <w:rPr>
          <w:i/>
          <w:sz w:val="22"/>
          <w:szCs w:val="22"/>
        </w:rPr>
        <w:t xml:space="preserve">doporučení v rámci přípravy </w:t>
      </w:r>
      <w:r w:rsidR="00511BC5" w:rsidRPr="00590FD1">
        <w:rPr>
          <w:i/>
          <w:sz w:val="22"/>
          <w:szCs w:val="22"/>
        </w:rPr>
        <w:t xml:space="preserve">a realizace </w:t>
      </w:r>
      <w:r w:rsidR="00B13F83" w:rsidRPr="00590FD1">
        <w:rPr>
          <w:i/>
          <w:sz w:val="22"/>
          <w:szCs w:val="22"/>
        </w:rPr>
        <w:t>DoP a OP týkající se legislativy, financování, strategií a dalších souvisejících otázek</w:t>
      </w:r>
    </w:p>
    <w:tbl>
      <w:tblPr>
        <w:tblStyle w:val="Mkatabulky"/>
        <w:tblW w:w="0" w:type="auto"/>
        <w:tblLook w:val="04A0" w:firstRow="1" w:lastRow="0" w:firstColumn="1" w:lastColumn="0" w:noHBand="0" w:noVBand="1"/>
      </w:tblPr>
      <w:tblGrid>
        <w:gridCol w:w="6100"/>
        <w:gridCol w:w="1562"/>
        <w:gridCol w:w="1377"/>
      </w:tblGrid>
      <w:tr w:rsidR="00B13F83" w:rsidRPr="006D1860" w:rsidTr="00447655">
        <w:trPr>
          <w:tblHeader/>
        </w:trPr>
        <w:tc>
          <w:tcPr>
            <w:tcW w:w="6100"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Znění opatření</w:t>
            </w:r>
          </w:p>
        </w:tc>
        <w:tc>
          <w:tcPr>
            <w:tcW w:w="1562"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Kdo by měl realizovat</w:t>
            </w:r>
          </w:p>
        </w:tc>
        <w:tc>
          <w:tcPr>
            <w:tcW w:w="1377" w:type="dxa"/>
            <w:shd w:val="clear" w:color="auto" w:fill="DBE5F1" w:themeFill="accent1" w:themeFillTint="33"/>
          </w:tcPr>
          <w:p w:rsidR="00B13F83" w:rsidRPr="006D1860" w:rsidRDefault="00B13F83" w:rsidP="00447655">
            <w:pPr>
              <w:spacing w:before="40" w:after="40"/>
              <w:rPr>
                <w:b/>
                <w:sz w:val="22"/>
                <w:szCs w:val="22"/>
              </w:rPr>
            </w:pPr>
            <w:r w:rsidRPr="006D1860">
              <w:rPr>
                <w:b/>
                <w:sz w:val="22"/>
                <w:szCs w:val="22"/>
              </w:rPr>
              <w:t xml:space="preserve">Kdy </w:t>
            </w:r>
            <w:r>
              <w:rPr>
                <w:b/>
                <w:sz w:val="22"/>
                <w:szCs w:val="22"/>
              </w:rPr>
              <w:t xml:space="preserve">nejpozději </w:t>
            </w:r>
            <w:r w:rsidRPr="006D1860">
              <w:rPr>
                <w:b/>
                <w:sz w:val="22"/>
                <w:szCs w:val="22"/>
              </w:rPr>
              <w:t>realizovat</w:t>
            </w:r>
          </w:p>
        </w:tc>
      </w:tr>
      <w:tr w:rsidR="00B13F83" w:rsidRPr="006D1860" w:rsidTr="00447655">
        <w:tc>
          <w:tcPr>
            <w:tcW w:w="6100" w:type="dxa"/>
          </w:tcPr>
          <w:p w:rsidR="00B13F83" w:rsidRPr="00590FD1" w:rsidRDefault="009A1CE1" w:rsidP="00447655">
            <w:pPr>
              <w:spacing w:before="40" w:after="40"/>
              <w:rPr>
                <w:sz w:val="22"/>
                <w:szCs w:val="22"/>
              </w:rPr>
            </w:pPr>
            <w:r w:rsidRPr="00E77F33">
              <w:rPr>
                <w:sz w:val="22"/>
                <w:szCs w:val="22"/>
              </w:rPr>
              <w:t>Provést mapování možností a potřeb ohledně spolufinancování projektů dle různých skupin příjemců, různých oblastí a různých typů území (zejména s ohledem na kategorie regionů).</w:t>
            </w:r>
          </w:p>
        </w:tc>
        <w:tc>
          <w:tcPr>
            <w:tcW w:w="1562" w:type="dxa"/>
          </w:tcPr>
          <w:p w:rsidR="00B13F83" w:rsidRPr="00590FD1" w:rsidRDefault="009A1CE1" w:rsidP="00447655">
            <w:pPr>
              <w:spacing w:before="40" w:after="40"/>
              <w:rPr>
                <w:sz w:val="22"/>
                <w:szCs w:val="22"/>
              </w:rPr>
            </w:pPr>
            <w:r w:rsidRPr="00E77F33">
              <w:rPr>
                <w:sz w:val="22"/>
                <w:szCs w:val="22"/>
              </w:rPr>
              <w:t>Řídící orgány</w:t>
            </w:r>
          </w:p>
        </w:tc>
        <w:tc>
          <w:tcPr>
            <w:tcW w:w="1377" w:type="dxa"/>
          </w:tcPr>
          <w:p w:rsidR="00B13F83" w:rsidRPr="00590FD1" w:rsidRDefault="009A1CE1" w:rsidP="00447655">
            <w:pPr>
              <w:spacing w:before="40" w:after="40"/>
              <w:rPr>
                <w:sz w:val="22"/>
                <w:szCs w:val="22"/>
              </w:rPr>
            </w:pPr>
            <w:r w:rsidRPr="00E77F33">
              <w:rPr>
                <w:sz w:val="22"/>
                <w:szCs w:val="22"/>
              </w:rPr>
              <w:t>2019</w:t>
            </w:r>
          </w:p>
        </w:tc>
      </w:tr>
      <w:tr w:rsidR="00B13F83" w:rsidRPr="006D1860" w:rsidTr="00447655">
        <w:tc>
          <w:tcPr>
            <w:tcW w:w="6100" w:type="dxa"/>
          </w:tcPr>
          <w:p w:rsidR="00B13F83" w:rsidRPr="00590FD1" w:rsidRDefault="00E77F33" w:rsidP="00E956D8">
            <w:pPr>
              <w:spacing w:before="40" w:after="40"/>
              <w:rPr>
                <w:sz w:val="22"/>
                <w:szCs w:val="22"/>
              </w:rPr>
            </w:pPr>
            <w:r w:rsidRPr="00590FD1">
              <w:rPr>
                <w:sz w:val="22"/>
                <w:szCs w:val="22"/>
              </w:rPr>
              <w:t xml:space="preserve">V návaznosti na </w:t>
            </w:r>
            <w:r w:rsidR="00E956D8">
              <w:rPr>
                <w:sz w:val="22"/>
                <w:szCs w:val="22"/>
              </w:rPr>
              <w:t>aktuální stav</w:t>
            </w:r>
            <w:r w:rsidR="00E956D8" w:rsidRPr="00590FD1">
              <w:rPr>
                <w:sz w:val="22"/>
                <w:szCs w:val="22"/>
              </w:rPr>
              <w:t xml:space="preserve"> </w:t>
            </w:r>
            <w:r w:rsidRPr="00590FD1">
              <w:rPr>
                <w:sz w:val="22"/>
                <w:szCs w:val="22"/>
              </w:rPr>
              <w:t xml:space="preserve">vyjednávání podmínek víceletého finančního rámce, možnosti státního rozpočtu a s využitím výsledku mapování možností a potřeb dodaných ze strany řídících orgánů </w:t>
            </w:r>
            <w:r w:rsidR="00703F31">
              <w:rPr>
                <w:sz w:val="22"/>
                <w:szCs w:val="22"/>
              </w:rPr>
              <w:t xml:space="preserve">zpracovat a pro diskusi s ŘO, MMR a dalšími partnery </w:t>
            </w:r>
            <w:r w:rsidRPr="00590FD1">
              <w:rPr>
                <w:sz w:val="22"/>
                <w:szCs w:val="22"/>
              </w:rPr>
              <w:t>předložit návrh pravidel spolufinancování evropských fondů v programovém období 2021-2027</w:t>
            </w:r>
          </w:p>
        </w:tc>
        <w:tc>
          <w:tcPr>
            <w:tcW w:w="1562" w:type="dxa"/>
          </w:tcPr>
          <w:p w:rsidR="00B13F83" w:rsidRPr="00590FD1" w:rsidRDefault="00B13F83" w:rsidP="00447655">
            <w:pPr>
              <w:spacing w:before="40" w:after="40"/>
              <w:rPr>
                <w:sz w:val="22"/>
                <w:szCs w:val="22"/>
              </w:rPr>
            </w:pPr>
            <w:r w:rsidRPr="00590FD1">
              <w:rPr>
                <w:sz w:val="22"/>
                <w:szCs w:val="22"/>
              </w:rPr>
              <w:t>MF</w:t>
            </w:r>
          </w:p>
        </w:tc>
        <w:tc>
          <w:tcPr>
            <w:tcW w:w="1377" w:type="dxa"/>
          </w:tcPr>
          <w:p w:rsidR="00B13F83" w:rsidRPr="00590FD1" w:rsidRDefault="00E77F33" w:rsidP="00447655">
            <w:pPr>
              <w:spacing w:before="40" w:after="40"/>
              <w:rPr>
                <w:sz w:val="22"/>
                <w:szCs w:val="22"/>
              </w:rPr>
            </w:pPr>
            <w:r w:rsidRPr="00590FD1">
              <w:rPr>
                <w:sz w:val="22"/>
                <w:szCs w:val="22"/>
              </w:rPr>
              <w:t>2019</w:t>
            </w:r>
          </w:p>
        </w:tc>
      </w:tr>
      <w:tr w:rsidR="00B13F83" w:rsidRPr="006D1860" w:rsidTr="00447655">
        <w:tc>
          <w:tcPr>
            <w:tcW w:w="6100" w:type="dxa"/>
          </w:tcPr>
          <w:p w:rsidR="00B13F83" w:rsidRPr="0078405D" w:rsidRDefault="00B13F83" w:rsidP="00447655">
            <w:pPr>
              <w:spacing w:before="40" w:after="40"/>
              <w:rPr>
                <w:sz w:val="22"/>
                <w:szCs w:val="22"/>
              </w:rPr>
            </w:pPr>
            <w:r w:rsidRPr="00F41D0E">
              <w:rPr>
                <w:sz w:val="22"/>
                <w:szCs w:val="22"/>
              </w:rPr>
              <w:t>Připravit řádné zdůvodnění případného využití dotací v oblastech vhodných pro FN jako je Podpora podnikání a průmyslu a Posun k nízkouhlíkovému hospodářství a případně dalších</w:t>
            </w:r>
          </w:p>
        </w:tc>
        <w:tc>
          <w:tcPr>
            <w:tcW w:w="1562" w:type="dxa"/>
          </w:tcPr>
          <w:p w:rsidR="00B13F83" w:rsidRDefault="00B13F83" w:rsidP="00447655">
            <w:pPr>
              <w:spacing w:before="40" w:after="40"/>
              <w:rPr>
                <w:sz w:val="22"/>
                <w:szCs w:val="22"/>
              </w:rPr>
            </w:pPr>
            <w:r w:rsidRPr="006D1860">
              <w:rPr>
                <w:sz w:val="22"/>
                <w:szCs w:val="22"/>
              </w:rPr>
              <w:t>MPO,</w:t>
            </w:r>
            <w:r w:rsidR="00D749BC">
              <w:rPr>
                <w:sz w:val="22"/>
                <w:szCs w:val="22"/>
              </w:rPr>
              <w:t xml:space="preserve"> </w:t>
            </w:r>
            <w:r w:rsidRPr="006D1860">
              <w:rPr>
                <w:sz w:val="22"/>
                <w:szCs w:val="22"/>
              </w:rPr>
              <w:t>MŽP, MŠMT, MMR,</w:t>
            </w:r>
            <w:r w:rsidR="00D749BC">
              <w:rPr>
                <w:sz w:val="22"/>
                <w:szCs w:val="22"/>
              </w:rPr>
              <w:t xml:space="preserve"> </w:t>
            </w:r>
            <w:r w:rsidRPr="006D1860">
              <w:rPr>
                <w:sz w:val="22"/>
                <w:szCs w:val="22"/>
              </w:rPr>
              <w:t>MD</w:t>
            </w:r>
            <w:r>
              <w:rPr>
                <w:sz w:val="22"/>
                <w:szCs w:val="22"/>
              </w:rPr>
              <w:t>, MZe</w:t>
            </w:r>
          </w:p>
        </w:tc>
        <w:tc>
          <w:tcPr>
            <w:tcW w:w="1377" w:type="dxa"/>
          </w:tcPr>
          <w:p w:rsidR="00B13F83" w:rsidRPr="006D1860" w:rsidRDefault="00B13F83" w:rsidP="00447655">
            <w:pPr>
              <w:spacing w:before="40" w:after="40"/>
              <w:rPr>
                <w:sz w:val="22"/>
                <w:szCs w:val="22"/>
              </w:rPr>
            </w:pPr>
            <w:r>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Vytvořit nástroj pro osvětu v motivaci dopravců k zapojení do kombinované přepravy.</w:t>
            </w:r>
          </w:p>
        </w:tc>
        <w:tc>
          <w:tcPr>
            <w:tcW w:w="1562" w:type="dxa"/>
          </w:tcPr>
          <w:p w:rsidR="00B13F83" w:rsidRPr="006D1860" w:rsidRDefault="00B13F83" w:rsidP="00447655">
            <w:pPr>
              <w:spacing w:before="40" w:after="40"/>
              <w:rPr>
                <w:sz w:val="22"/>
                <w:szCs w:val="22"/>
                <w:highlight w:val="yellow"/>
              </w:rPr>
            </w:pPr>
            <w:r w:rsidRPr="006D1860">
              <w:rPr>
                <w:sz w:val="22"/>
                <w:szCs w:val="22"/>
              </w:rPr>
              <w:t>MD</w:t>
            </w:r>
          </w:p>
        </w:tc>
        <w:tc>
          <w:tcPr>
            <w:tcW w:w="1377" w:type="dxa"/>
          </w:tcPr>
          <w:p w:rsidR="00B13F83" w:rsidRPr="006D1860" w:rsidRDefault="00B13F83" w:rsidP="00447655">
            <w:pPr>
              <w:spacing w:before="40" w:after="40"/>
              <w:rPr>
                <w:sz w:val="22"/>
                <w:szCs w:val="22"/>
                <w:highlight w:val="yellow"/>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Realizovat průzkum ke zjištění absorpční kapacity a připravenosti projektů pro výstavbu terminálů kombinované přepravy.</w:t>
            </w:r>
          </w:p>
        </w:tc>
        <w:tc>
          <w:tcPr>
            <w:tcW w:w="1562" w:type="dxa"/>
          </w:tcPr>
          <w:p w:rsidR="00B13F83" w:rsidRPr="006D1860" w:rsidRDefault="00B13F83" w:rsidP="00447655">
            <w:pPr>
              <w:spacing w:before="40" w:after="40"/>
              <w:rPr>
                <w:sz w:val="22"/>
                <w:szCs w:val="22"/>
              </w:rPr>
            </w:pPr>
            <w:r w:rsidRPr="006D1860">
              <w:rPr>
                <w:sz w:val="22"/>
                <w:szCs w:val="22"/>
              </w:rPr>
              <w:t>MD</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Aktualizovat zásobník projektů (a zvýšit důraz na jejich kvalitu) v dopravní infrastruktuře pro hladký přechod do období 202</w:t>
            </w:r>
            <w:r>
              <w:rPr>
                <w:sz w:val="22"/>
                <w:szCs w:val="22"/>
              </w:rPr>
              <w:t>1</w:t>
            </w:r>
            <w:r w:rsidRPr="006D1860">
              <w:rPr>
                <w:sz w:val="22"/>
                <w:szCs w:val="22"/>
              </w:rPr>
              <w:t>+.</w:t>
            </w:r>
          </w:p>
        </w:tc>
        <w:tc>
          <w:tcPr>
            <w:tcW w:w="1562" w:type="dxa"/>
          </w:tcPr>
          <w:p w:rsidR="00B13F83" w:rsidRPr="006D1860" w:rsidRDefault="00B13F83" w:rsidP="00447655">
            <w:pPr>
              <w:spacing w:before="40" w:after="40"/>
              <w:rPr>
                <w:sz w:val="22"/>
                <w:szCs w:val="22"/>
              </w:rPr>
            </w:pPr>
            <w:r w:rsidRPr="006D1860">
              <w:rPr>
                <w:sz w:val="22"/>
                <w:szCs w:val="22"/>
              </w:rPr>
              <w:t>MD</w:t>
            </w:r>
          </w:p>
        </w:tc>
        <w:tc>
          <w:tcPr>
            <w:tcW w:w="1377"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S ohledem na stávající bariéry analyzovat rizika vyplývající ze stávající i připravované legislativy s dopadem do výstavby dopravní infrastruktury a iniciovat příslušné kroky k jejich odstranění.</w:t>
            </w:r>
          </w:p>
        </w:tc>
        <w:tc>
          <w:tcPr>
            <w:tcW w:w="1562" w:type="dxa"/>
          </w:tcPr>
          <w:p w:rsidR="00B13F83" w:rsidRPr="006D1860" w:rsidRDefault="00B13F83" w:rsidP="00447655">
            <w:pPr>
              <w:spacing w:before="40" w:after="40"/>
              <w:rPr>
                <w:sz w:val="22"/>
                <w:szCs w:val="22"/>
              </w:rPr>
            </w:pPr>
            <w:r w:rsidRPr="006D1860">
              <w:rPr>
                <w:sz w:val="22"/>
                <w:szCs w:val="22"/>
              </w:rPr>
              <w:t>MD</w:t>
            </w:r>
          </w:p>
        </w:tc>
        <w:tc>
          <w:tcPr>
            <w:tcW w:w="1377" w:type="dxa"/>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Předložit vládě Strategii vzdělávací politiky do roku 2030.</w:t>
            </w:r>
          </w:p>
        </w:tc>
        <w:tc>
          <w:tcPr>
            <w:tcW w:w="1562" w:type="dxa"/>
          </w:tcPr>
          <w:p w:rsidR="00B13F83" w:rsidRPr="006D1860" w:rsidRDefault="00B13F83" w:rsidP="00447655">
            <w:pPr>
              <w:spacing w:before="40" w:after="40"/>
              <w:rPr>
                <w:sz w:val="22"/>
                <w:szCs w:val="22"/>
              </w:rPr>
            </w:pPr>
            <w:r w:rsidRPr="006D1860">
              <w:rPr>
                <w:sz w:val="22"/>
                <w:szCs w:val="22"/>
              </w:rPr>
              <w:t>MŠMT</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Zaktualizovat Národní koncepci rozvoje bezmotorové dopravy.</w:t>
            </w:r>
          </w:p>
        </w:tc>
        <w:tc>
          <w:tcPr>
            <w:tcW w:w="1562" w:type="dxa"/>
          </w:tcPr>
          <w:p w:rsidR="00B13F83" w:rsidRPr="006D1860" w:rsidRDefault="00B13F83" w:rsidP="00447655">
            <w:pPr>
              <w:spacing w:before="40" w:after="40"/>
              <w:rPr>
                <w:sz w:val="22"/>
                <w:szCs w:val="22"/>
              </w:rPr>
            </w:pPr>
            <w:r w:rsidRPr="006D1860">
              <w:rPr>
                <w:sz w:val="22"/>
                <w:szCs w:val="22"/>
              </w:rPr>
              <w:t>MD</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Zajistit pokrytí území krajů strategiemi k rozvoji udržitelné dopravy s důrazem na rozvoj potenciálu páteřní cyklistické dopravy na území krajů</w:t>
            </w:r>
            <w:r>
              <w:rPr>
                <w:sz w:val="22"/>
                <w:szCs w:val="22"/>
              </w:rPr>
              <w:t>, se zohledněním potřeb rozvoje cestovního ruchu</w:t>
            </w:r>
            <w:r w:rsidRPr="006D1860">
              <w:rPr>
                <w:sz w:val="22"/>
                <w:szCs w:val="22"/>
              </w:rPr>
              <w:t>.</w:t>
            </w:r>
          </w:p>
        </w:tc>
        <w:tc>
          <w:tcPr>
            <w:tcW w:w="1562" w:type="dxa"/>
          </w:tcPr>
          <w:p w:rsidR="00B13F83" w:rsidRPr="006D1860" w:rsidRDefault="00B13F83" w:rsidP="00447655">
            <w:pPr>
              <w:spacing w:before="40" w:after="40"/>
              <w:rPr>
                <w:sz w:val="22"/>
                <w:szCs w:val="22"/>
              </w:rPr>
            </w:pPr>
            <w:r w:rsidRPr="006D1860">
              <w:rPr>
                <w:sz w:val="22"/>
                <w:szCs w:val="22"/>
              </w:rPr>
              <w:t>MD</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Pokrýt oblast podpory podnikání a zvláště MSP kvalitními strategiemi zohledňujícími dynamiku ekonomického cyklu a strukturu české ekonomiky.</w:t>
            </w:r>
          </w:p>
        </w:tc>
        <w:tc>
          <w:tcPr>
            <w:tcW w:w="1562" w:type="dxa"/>
          </w:tcPr>
          <w:p w:rsidR="00B13F83" w:rsidRPr="006D1860" w:rsidRDefault="00B13F83" w:rsidP="00447655">
            <w:pPr>
              <w:spacing w:before="40" w:after="40"/>
              <w:rPr>
                <w:sz w:val="22"/>
                <w:szCs w:val="22"/>
              </w:rPr>
            </w:pPr>
            <w:r w:rsidRPr="006D1860">
              <w:rPr>
                <w:sz w:val="22"/>
                <w:szCs w:val="22"/>
              </w:rPr>
              <w:t>MPO</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Připravit relevantní akční plán podpory rozvoje digitalizace v podnicích včetně vyhodnocení rizik pro oblast zaměstnanosti a vzdělávání.</w:t>
            </w:r>
          </w:p>
        </w:tc>
        <w:tc>
          <w:tcPr>
            <w:tcW w:w="1562" w:type="dxa"/>
          </w:tcPr>
          <w:p w:rsidR="00B13F83" w:rsidRPr="006D1860" w:rsidRDefault="00B13F83" w:rsidP="00447655">
            <w:pPr>
              <w:spacing w:before="40" w:after="40"/>
              <w:jc w:val="left"/>
              <w:rPr>
                <w:sz w:val="22"/>
                <w:szCs w:val="22"/>
              </w:rPr>
            </w:pPr>
            <w:r w:rsidRPr="006D1860">
              <w:rPr>
                <w:sz w:val="22"/>
                <w:szCs w:val="22"/>
              </w:rPr>
              <w:t>MPO ve spolupráci s MPSV a MŠMT</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Předložit vládě Strategii sociálního začleňování po roce 2020.</w:t>
            </w:r>
          </w:p>
        </w:tc>
        <w:tc>
          <w:tcPr>
            <w:tcW w:w="1562" w:type="dxa"/>
          </w:tcPr>
          <w:p w:rsidR="00B13F83" w:rsidRPr="006D1860" w:rsidRDefault="00B13F83" w:rsidP="00447655">
            <w:pPr>
              <w:spacing w:before="40" w:after="40"/>
              <w:jc w:val="left"/>
              <w:rPr>
                <w:sz w:val="22"/>
                <w:szCs w:val="22"/>
              </w:rPr>
            </w:pPr>
            <w:r w:rsidRPr="006D1860">
              <w:rPr>
                <w:sz w:val="22"/>
                <w:szCs w:val="22"/>
              </w:rPr>
              <w:t>MPSV</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Předložit vládě Strategický rámec Rozvoj péče o zdraví v České republice do roku 2030.</w:t>
            </w:r>
          </w:p>
        </w:tc>
        <w:tc>
          <w:tcPr>
            <w:tcW w:w="1562" w:type="dxa"/>
          </w:tcPr>
          <w:p w:rsidR="00B13F83" w:rsidRPr="006D1860" w:rsidRDefault="00B13F83" w:rsidP="00447655">
            <w:pPr>
              <w:spacing w:before="40" w:after="40"/>
              <w:jc w:val="left"/>
              <w:rPr>
                <w:sz w:val="22"/>
                <w:szCs w:val="22"/>
              </w:rPr>
            </w:pPr>
            <w:r w:rsidRPr="006D1860">
              <w:rPr>
                <w:sz w:val="22"/>
                <w:szCs w:val="22"/>
              </w:rPr>
              <w:t>MZd</w:t>
            </w:r>
          </w:p>
        </w:tc>
        <w:tc>
          <w:tcPr>
            <w:tcW w:w="1377" w:type="dxa"/>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shd w:val="clear" w:color="auto" w:fill="auto"/>
          </w:tcPr>
          <w:p w:rsidR="00B13F83" w:rsidRPr="006D1860" w:rsidRDefault="00B13F83" w:rsidP="00447655">
            <w:pPr>
              <w:spacing w:before="40" w:after="40"/>
              <w:rPr>
                <w:sz w:val="22"/>
                <w:szCs w:val="22"/>
              </w:rPr>
            </w:pPr>
            <w:r w:rsidRPr="006D1860">
              <w:rPr>
                <w:sz w:val="22"/>
                <w:szCs w:val="22"/>
              </w:rPr>
              <w:t>Systémově podchytit SC Zkvalitnění strategického řízení VaVaI ve strategickém dokumentu a zpracovat implementační dokument s ohledem na posílení synergií mezi aktivitami výzkumné a aplikační sféry.</w:t>
            </w:r>
          </w:p>
        </w:tc>
        <w:tc>
          <w:tcPr>
            <w:tcW w:w="1562" w:type="dxa"/>
            <w:shd w:val="clear" w:color="auto" w:fill="auto"/>
          </w:tcPr>
          <w:p w:rsidR="00B13F83" w:rsidRPr="006D1860" w:rsidRDefault="00B13F83" w:rsidP="00447655">
            <w:pPr>
              <w:spacing w:before="40" w:after="40"/>
              <w:rPr>
                <w:sz w:val="22"/>
                <w:szCs w:val="22"/>
              </w:rPr>
            </w:pPr>
            <w:r w:rsidRPr="006D1860">
              <w:rPr>
                <w:sz w:val="22"/>
                <w:szCs w:val="22"/>
              </w:rPr>
              <w:t>MŠMT ve spolupráci s</w:t>
            </w:r>
            <w:r>
              <w:rPr>
                <w:sz w:val="22"/>
                <w:szCs w:val="22"/>
              </w:rPr>
              <w:t> </w:t>
            </w:r>
            <w:r w:rsidRPr="006D1860">
              <w:rPr>
                <w:sz w:val="22"/>
                <w:szCs w:val="22"/>
              </w:rPr>
              <w:t>MPO</w:t>
            </w:r>
            <w:r>
              <w:rPr>
                <w:sz w:val="22"/>
                <w:szCs w:val="22"/>
              </w:rPr>
              <w:t xml:space="preserve"> a RVVI</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B13F83" w:rsidRPr="006D1860" w:rsidTr="00447655">
        <w:tc>
          <w:tcPr>
            <w:tcW w:w="6100" w:type="dxa"/>
          </w:tcPr>
          <w:p w:rsidR="00B13F83" w:rsidRPr="006D1860" w:rsidRDefault="00B13F83" w:rsidP="00447655">
            <w:pPr>
              <w:spacing w:before="40" w:after="40"/>
              <w:rPr>
                <w:sz w:val="22"/>
                <w:szCs w:val="22"/>
              </w:rPr>
            </w:pPr>
            <w:r w:rsidRPr="006D1860">
              <w:rPr>
                <w:sz w:val="22"/>
                <w:szCs w:val="22"/>
              </w:rPr>
              <w:t>Připravit rámec a implementaci budoucí RIS3</w:t>
            </w:r>
          </w:p>
        </w:tc>
        <w:tc>
          <w:tcPr>
            <w:tcW w:w="1562" w:type="dxa"/>
          </w:tcPr>
          <w:p w:rsidR="00B13F83" w:rsidRPr="006D1860" w:rsidRDefault="00B13F83" w:rsidP="00447655">
            <w:pPr>
              <w:spacing w:before="40" w:after="40"/>
              <w:rPr>
                <w:sz w:val="22"/>
                <w:szCs w:val="22"/>
              </w:rPr>
            </w:pPr>
            <w:r w:rsidRPr="006D1860">
              <w:rPr>
                <w:sz w:val="22"/>
                <w:szCs w:val="22"/>
              </w:rPr>
              <w:t>MPO</w:t>
            </w:r>
          </w:p>
        </w:tc>
        <w:tc>
          <w:tcPr>
            <w:tcW w:w="1377" w:type="dxa"/>
          </w:tcPr>
          <w:p w:rsidR="00B13F83" w:rsidRPr="006D1860" w:rsidRDefault="00B13F83" w:rsidP="00447655">
            <w:pPr>
              <w:spacing w:before="40" w:after="40"/>
              <w:rPr>
                <w:sz w:val="22"/>
                <w:szCs w:val="22"/>
              </w:rPr>
            </w:pPr>
            <w:r w:rsidRPr="006D1860">
              <w:rPr>
                <w:sz w:val="22"/>
                <w:szCs w:val="22"/>
              </w:rPr>
              <w:t>2020</w:t>
            </w:r>
          </w:p>
        </w:tc>
      </w:tr>
    </w:tbl>
    <w:p w:rsidR="00FF4CF6" w:rsidRPr="00FF4CF6" w:rsidRDefault="00FF4CF6" w:rsidP="00FF4CF6">
      <w:pPr>
        <w:spacing w:before="0"/>
        <w:rPr>
          <w:sz w:val="6"/>
          <w:szCs w:val="6"/>
        </w:rPr>
      </w:pPr>
    </w:p>
    <w:tbl>
      <w:tblPr>
        <w:tblStyle w:val="Mkatabulky"/>
        <w:tblW w:w="0" w:type="auto"/>
        <w:tblLook w:val="04A0" w:firstRow="1" w:lastRow="0" w:firstColumn="1" w:lastColumn="0" w:noHBand="0" w:noVBand="1"/>
      </w:tblPr>
      <w:tblGrid>
        <w:gridCol w:w="6100"/>
        <w:gridCol w:w="1562"/>
        <w:gridCol w:w="1377"/>
      </w:tblGrid>
      <w:tr w:rsidR="00B13F83" w:rsidRPr="006D1860" w:rsidTr="00447655">
        <w:tc>
          <w:tcPr>
            <w:tcW w:w="6100" w:type="dxa"/>
            <w:shd w:val="clear" w:color="auto" w:fill="DBE5F1" w:themeFill="accent1" w:themeFillTint="33"/>
          </w:tcPr>
          <w:p w:rsidR="00B13F83" w:rsidRPr="006D1860" w:rsidRDefault="00B13F83" w:rsidP="00447655">
            <w:pPr>
              <w:spacing w:before="40" w:after="40"/>
              <w:rPr>
                <w:sz w:val="22"/>
                <w:szCs w:val="22"/>
              </w:rPr>
            </w:pPr>
            <w:r w:rsidRPr="006D1860">
              <w:rPr>
                <w:b/>
                <w:sz w:val="22"/>
                <w:szCs w:val="22"/>
              </w:rPr>
              <w:t xml:space="preserve">Znění </w:t>
            </w:r>
            <w:r w:rsidRPr="00D43F3C">
              <w:rPr>
                <w:b/>
                <w:sz w:val="22"/>
                <w:szCs w:val="22"/>
              </w:rPr>
              <w:t>doporučení</w:t>
            </w:r>
          </w:p>
        </w:tc>
        <w:tc>
          <w:tcPr>
            <w:tcW w:w="1562" w:type="dxa"/>
            <w:shd w:val="clear" w:color="auto" w:fill="DBE5F1" w:themeFill="accent1" w:themeFillTint="33"/>
          </w:tcPr>
          <w:p w:rsidR="00B13F83" w:rsidRPr="006D1860" w:rsidRDefault="00B13F83" w:rsidP="00447655">
            <w:pPr>
              <w:spacing w:before="40" w:after="40"/>
              <w:rPr>
                <w:sz w:val="22"/>
                <w:szCs w:val="22"/>
              </w:rPr>
            </w:pPr>
            <w:r w:rsidRPr="006D1860">
              <w:rPr>
                <w:b/>
                <w:sz w:val="22"/>
                <w:szCs w:val="22"/>
              </w:rPr>
              <w:t>Kdo by měl realizovat</w:t>
            </w:r>
          </w:p>
        </w:tc>
        <w:tc>
          <w:tcPr>
            <w:tcW w:w="1377" w:type="dxa"/>
            <w:shd w:val="clear" w:color="auto" w:fill="DBE5F1" w:themeFill="accent1" w:themeFillTint="33"/>
          </w:tcPr>
          <w:p w:rsidR="00B13F83" w:rsidRPr="006D1860" w:rsidRDefault="00B13F83" w:rsidP="00447655">
            <w:pPr>
              <w:spacing w:before="40" w:after="40"/>
              <w:rPr>
                <w:sz w:val="22"/>
                <w:szCs w:val="22"/>
              </w:rPr>
            </w:pPr>
            <w:r w:rsidRPr="006D1860">
              <w:rPr>
                <w:b/>
                <w:sz w:val="22"/>
                <w:szCs w:val="22"/>
              </w:rPr>
              <w:t xml:space="preserve">Kdy </w:t>
            </w:r>
            <w:r>
              <w:rPr>
                <w:b/>
                <w:sz w:val="22"/>
                <w:szCs w:val="22"/>
              </w:rPr>
              <w:t xml:space="preserve">nejpozději </w:t>
            </w:r>
            <w:r w:rsidRPr="006D1860">
              <w:rPr>
                <w:b/>
                <w:sz w:val="22"/>
                <w:szCs w:val="22"/>
              </w:rPr>
              <w:t>realizovat</w:t>
            </w:r>
          </w:p>
        </w:tc>
      </w:tr>
      <w:tr w:rsidR="00B13F83" w:rsidRPr="006D1860" w:rsidTr="00447655">
        <w:tc>
          <w:tcPr>
            <w:tcW w:w="6100" w:type="dxa"/>
            <w:shd w:val="clear" w:color="auto" w:fill="auto"/>
          </w:tcPr>
          <w:p w:rsidR="00B13F83" w:rsidRPr="006D1860" w:rsidRDefault="00B13F83" w:rsidP="00447655">
            <w:pPr>
              <w:spacing w:before="40" w:after="40"/>
              <w:rPr>
                <w:sz w:val="22"/>
                <w:szCs w:val="22"/>
              </w:rPr>
            </w:pPr>
            <w:r w:rsidRPr="006D1860">
              <w:rPr>
                <w:sz w:val="22"/>
                <w:szCs w:val="22"/>
              </w:rPr>
              <w:t>Nastavit vhodné možnosti financování zkvalitňování veřejné správy, včetně prioritizace témat určených k podpoře z EU fondů s ohledem na skutečnost, že agenda veřejné správy nepatří mezi priority EK.</w:t>
            </w:r>
          </w:p>
        </w:tc>
        <w:tc>
          <w:tcPr>
            <w:tcW w:w="1562" w:type="dxa"/>
            <w:shd w:val="clear" w:color="auto" w:fill="auto"/>
          </w:tcPr>
          <w:p w:rsidR="00B13F83" w:rsidRPr="006D1860" w:rsidRDefault="00B13F83" w:rsidP="00447655">
            <w:pPr>
              <w:spacing w:before="40" w:after="40"/>
              <w:rPr>
                <w:sz w:val="22"/>
                <w:szCs w:val="22"/>
              </w:rPr>
            </w:pPr>
            <w:r w:rsidRPr="006D1860">
              <w:rPr>
                <w:sz w:val="22"/>
                <w:szCs w:val="22"/>
              </w:rPr>
              <w:t>MV</w:t>
            </w:r>
            <w:r>
              <w:rPr>
                <w:sz w:val="22"/>
                <w:szCs w:val="22"/>
              </w:rPr>
              <w:t xml:space="preserve"> ve spolupráci s MMR a dalšími věcně příslušnými resorty</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2019</w:t>
            </w:r>
          </w:p>
        </w:tc>
      </w:tr>
      <w:tr w:rsidR="00B13F83" w:rsidRPr="006D1860" w:rsidTr="00447655">
        <w:tc>
          <w:tcPr>
            <w:tcW w:w="6100" w:type="dxa"/>
            <w:shd w:val="clear" w:color="auto" w:fill="auto"/>
          </w:tcPr>
          <w:p w:rsidR="00B13F83" w:rsidRPr="006D1860" w:rsidRDefault="00B13F83" w:rsidP="00447655">
            <w:pPr>
              <w:spacing w:before="40" w:after="40"/>
              <w:rPr>
                <w:sz w:val="22"/>
                <w:szCs w:val="22"/>
              </w:rPr>
            </w:pPr>
            <w:r w:rsidRPr="006D1860">
              <w:rPr>
                <w:sz w:val="22"/>
                <w:szCs w:val="22"/>
              </w:rPr>
              <w:t xml:space="preserve">Ve vhodných případech </w:t>
            </w:r>
            <w:r>
              <w:rPr>
                <w:sz w:val="22"/>
                <w:szCs w:val="22"/>
              </w:rPr>
              <w:t>využít</w:t>
            </w:r>
            <w:r w:rsidRPr="006D1860">
              <w:rPr>
                <w:sz w:val="22"/>
                <w:szCs w:val="22"/>
              </w:rPr>
              <w:t xml:space="preserve"> zjednodušen</w:t>
            </w:r>
            <w:r>
              <w:rPr>
                <w:sz w:val="22"/>
                <w:szCs w:val="22"/>
              </w:rPr>
              <w:t>é</w:t>
            </w:r>
            <w:r w:rsidRPr="006D1860">
              <w:rPr>
                <w:sz w:val="22"/>
                <w:szCs w:val="22"/>
              </w:rPr>
              <w:t xml:space="preserve"> metod</w:t>
            </w:r>
            <w:r>
              <w:rPr>
                <w:sz w:val="22"/>
                <w:szCs w:val="22"/>
              </w:rPr>
              <w:t>y</w:t>
            </w:r>
            <w:r w:rsidRPr="006D1860">
              <w:rPr>
                <w:sz w:val="22"/>
                <w:szCs w:val="22"/>
              </w:rPr>
              <w:t xml:space="preserve"> vykazování nákladů, tak aby se zjednodušila administrativa projektů a zvýšil zájem příjemců. Současně je třeba zvážit, kdy je vhodné aplikovat tyto metody v případě veřejné správy, tak, aby nedocházelo k dvojímu vykazování.</w:t>
            </w:r>
          </w:p>
        </w:tc>
        <w:tc>
          <w:tcPr>
            <w:tcW w:w="1562" w:type="dxa"/>
            <w:shd w:val="clear" w:color="auto" w:fill="auto"/>
          </w:tcPr>
          <w:p w:rsidR="00B13F83" w:rsidRPr="006D1860" w:rsidRDefault="00B13F83" w:rsidP="00447655">
            <w:pPr>
              <w:spacing w:before="40" w:after="40"/>
              <w:rPr>
                <w:sz w:val="22"/>
                <w:szCs w:val="22"/>
              </w:rPr>
            </w:pPr>
            <w:r>
              <w:rPr>
                <w:sz w:val="22"/>
                <w:szCs w:val="22"/>
              </w:rPr>
              <w:t>Řídící orgány ve spolupráci s MMR a MF</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Průběžně</w:t>
            </w:r>
          </w:p>
        </w:tc>
      </w:tr>
      <w:tr w:rsidR="00B13F83" w:rsidRPr="006D1860" w:rsidTr="00447655">
        <w:tc>
          <w:tcPr>
            <w:tcW w:w="6100" w:type="dxa"/>
            <w:shd w:val="clear" w:color="auto" w:fill="auto"/>
          </w:tcPr>
          <w:p w:rsidR="00B13F83" w:rsidRPr="00557AE9" w:rsidRDefault="00415626" w:rsidP="00415626">
            <w:pPr>
              <w:spacing w:before="40" w:after="40"/>
              <w:rPr>
                <w:sz w:val="22"/>
                <w:szCs w:val="22"/>
              </w:rPr>
            </w:pPr>
            <w:r w:rsidRPr="00557AE9">
              <w:rPr>
                <w:sz w:val="22"/>
                <w:szCs w:val="22"/>
              </w:rPr>
              <w:t>Popsat základní rizika v současné právní úpravě (např. ve vazbě na programové financování nebo zákon o rozpočtové odpovědnosti tak, aby komplexně zachycovala postupy realizace výdajů ze státního rozpočtu do finančních nástrojů) a navrhnout další postup k jejich odstranění.</w:t>
            </w:r>
          </w:p>
        </w:tc>
        <w:tc>
          <w:tcPr>
            <w:tcW w:w="1562" w:type="dxa"/>
            <w:shd w:val="clear" w:color="auto" w:fill="auto"/>
          </w:tcPr>
          <w:p w:rsidR="00B13F83" w:rsidRPr="00557AE9" w:rsidRDefault="00415626" w:rsidP="00415626">
            <w:pPr>
              <w:spacing w:before="40" w:after="40"/>
              <w:rPr>
                <w:sz w:val="22"/>
                <w:szCs w:val="22"/>
              </w:rPr>
            </w:pPr>
            <w:r w:rsidRPr="00557AE9">
              <w:rPr>
                <w:sz w:val="22"/>
                <w:szCs w:val="22"/>
              </w:rPr>
              <w:t xml:space="preserve">MMR </w:t>
            </w:r>
            <w:r w:rsidR="00B13F83" w:rsidRPr="00557AE9">
              <w:rPr>
                <w:sz w:val="22"/>
                <w:szCs w:val="22"/>
              </w:rPr>
              <w:t xml:space="preserve">ve spolupráci </w:t>
            </w:r>
            <w:r w:rsidRPr="00557AE9">
              <w:rPr>
                <w:sz w:val="22"/>
                <w:szCs w:val="22"/>
              </w:rPr>
              <w:t>MF</w:t>
            </w:r>
          </w:p>
        </w:tc>
        <w:tc>
          <w:tcPr>
            <w:tcW w:w="1377" w:type="dxa"/>
            <w:shd w:val="clear" w:color="auto" w:fill="auto"/>
          </w:tcPr>
          <w:p w:rsidR="00B13F83" w:rsidRPr="00D749BC" w:rsidRDefault="00B13F83" w:rsidP="00447655">
            <w:pPr>
              <w:spacing w:before="40" w:after="40"/>
              <w:rPr>
                <w:sz w:val="22"/>
                <w:szCs w:val="22"/>
              </w:rPr>
            </w:pPr>
            <w:r w:rsidRPr="00557AE9">
              <w:rPr>
                <w:sz w:val="22"/>
                <w:szCs w:val="22"/>
              </w:rPr>
              <w:t>20</w:t>
            </w:r>
            <w:r w:rsidR="00415626" w:rsidRPr="00557AE9">
              <w:rPr>
                <w:sz w:val="22"/>
                <w:szCs w:val="22"/>
              </w:rPr>
              <w:t>19</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Pr>
                <w:sz w:val="22"/>
                <w:szCs w:val="22"/>
              </w:rPr>
              <w:t>Zvážit přednostní</w:t>
            </w:r>
            <w:r w:rsidRPr="006D1860">
              <w:rPr>
                <w:sz w:val="22"/>
                <w:szCs w:val="22"/>
              </w:rPr>
              <w:t xml:space="preserve"> využití finančních nástrojů oproti nenávratné pomoci (dotacím)</w:t>
            </w:r>
            <w:r>
              <w:rPr>
                <w:sz w:val="22"/>
                <w:szCs w:val="22"/>
              </w:rPr>
              <w:t>, případně využití kombinace FN a dotací, a to</w:t>
            </w:r>
            <w:r w:rsidRPr="006D1860">
              <w:rPr>
                <w:sz w:val="22"/>
                <w:szCs w:val="22"/>
              </w:rPr>
              <w:t xml:space="preserve"> </w:t>
            </w:r>
            <w:r>
              <w:rPr>
                <w:sz w:val="22"/>
                <w:szCs w:val="22"/>
              </w:rPr>
              <w:t xml:space="preserve">zejména </w:t>
            </w:r>
            <w:r w:rsidRPr="006D1860">
              <w:rPr>
                <w:sz w:val="22"/>
                <w:szCs w:val="22"/>
              </w:rPr>
              <w:t>v oblastech Podpora podnikání a průmyslu a Posun k nízkouhlíkovému hospodářství</w:t>
            </w:r>
            <w:r>
              <w:rPr>
                <w:sz w:val="22"/>
                <w:szCs w:val="22"/>
              </w:rPr>
              <w:t>.</w:t>
            </w:r>
          </w:p>
        </w:tc>
        <w:tc>
          <w:tcPr>
            <w:tcW w:w="1562" w:type="dxa"/>
            <w:shd w:val="clear" w:color="auto" w:fill="auto"/>
          </w:tcPr>
          <w:p w:rsidR="00B13F83" w:rsidRDefault="00B13F83" w:rsidP="00447655">
            <w:pPr>
              <w:spacing w:before="40" w:after="40"/>
              <w:rPr>
                <w:sz w:val="22"/>
                <w:szCs w:val="22"/>
              </w:rPr>
            </w:pPr>
            <w:r w:rsidRPr="006D1860">
              <w:rPr>
                <w:sz w:val="22"/>
                <w:szCs w:val="22"/>
              </w:rPr>
              <w:t>MPO</w:t>
            </w:r>
            <w:r>
              <w:rPr>
                <w:sz w:val="22"/>
                <w:szCs w:val="22"/>
              </w:rPr>
              <w:t>, MŽP</w:t>
            </w:r>
          </w:p>
        </w:tc>
        <w:tc>
          <w:tcPr>
            <w:tcW w:w="1377" w:type="dxa"/>
            <w:shd w:val="clear" w:color="auto" w:fill="auto"/>
          </w:tcPr>
          <w:p w:rsidR="00B13F83" w:rsidRDefault="00B13F83" w:rsidP="00447655">
            <w:pPr>
              <w:spacing w:before="40" w:after="40"/>
              <w:rPr>
                <w:sz w:val="22"/>
                <w:szCs w:val="22"/>
              </w:rPr>
            </w:pPr>
            <w:r w:rsidRPr="006D1860">
              <w:rPr>
                <w:sz w:val="22"/>
                <w:szCs w:val="22"/>
              </w:rPr>
              <w:t>2020</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0B074A">
              <w:rPr>
                <w:rStyle w:val="normaltextrun1"/>
                <w:sz w:val="22"/>
              </w:rPr>
              <w:t>Hledat efektivní formy stimulace rozvoje vysokorychlostních sítí elektronických komunikací na celém území ČR jako nezbytné podmínky pro přechod na Společnost 4.0, včetně prověření možností financování skrze FN.</w:t>
            </w:r>
            <w:r w:rsidRPr="000B074A">
              <w:rPr>
                <w:rStyle w:val="normaltextrun1"/>
                <w:b/>
                <w:sz w:val="22"/>
              </w:rPr>
              <w:t xml:space="preserve"> </w:t>
            </w:r>
          </w:p>
        </w:tc>
        <w:tc>
          <w:tcPr>
            <w:tcW w:w="1562" w:type="dxa"/>
            <w:shd w:val="clear" w:color="auto" w:fill="auto"/>
          </w:tcPr>
          <w:p w:rsidR="00B13F83" w:rsidRDefault="00B13F83" w:rsidP="00447655">
            <w:pPr>
              <w:spacing w:before="40" w:after="40"/>
              <w:rPr>
                <w:sz w:val="22"/>
                <w:szCs w:val="22"/>
              </w:rPr>
            </w:pPr>
            <w:r>
              <w:rPr>
                <w:sz w:val="22"/>
                <w:szCs w:val="22"/>
              </w:rPr>
              <w:t>MPO</w:t>
            </w:r>
          </w:p>
        </w:tc>
        <w:tc>
          <w:tcPr>
            <w:tcW w:w="1377" w:type="dxa"/>
            <w:shd w:val="clear" w:color="auto" w:fill="auto"/>
          </w:tcPr>
          <w:p w:rsidR="00B13F83" w:rsidRDefault="00B13F83" w:rsidP="00447655">
            <w:pPr>
              <w:spacing w:before="40" w:after="40"/>
              <w:rPr>
                <w:sz w:val="22"/>
                <w:szCs w:val="22"/>
              </w:rPr>
            </w:pPr>
            <w:r>
              <w:rPr>
                <w:sz w:val="22"/>
                <w:szCs w:val="22"/>
              </w:rPr>
              <w:t>2020</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6D1860">
              <w:rPr>
                <w:sz w:val="22"/>
                <w:szCs w:val="22"/>
              </w:rPr>
              <w:t xml:space="preserve">Vhodně využít tematicky komplementárních unijních programů k jednotlivým specifickým cílům NKR jako doplňkového zdroje pro financování </w:t>
            </w:r>
          </w:p>
        </w:tc>
        <w:tc>
          <w:tcPr>
            <w:tcW w:w="1562" w:type="dxa"/>
            <w:shd w:val="clear" w:color="auto" w:fill="auto"/>
          </w:tcPr>
          <w:p w:rsidR="00B13F83" w:rsidRDefault="00B13F83" w:rsidP="00447655">
            <w:pPr>
              <w:spacing w:before="40" w:after="40"/>
              <w:rPr>
                <w:sz w:val="22"/>
                <w:szCs w:val="22"/>
              </w:rPr>
            </w:pPr>
            <w:r w:rsidRPr="006D1860">
              <w:rPr>
                <w:sz w:val="22"/>
                <w:szCs w:val="22"/>
              </w:rPr>
              <w:t>MPO, MŽP, MŠMT, MPSV, MMR, MD</w:t>
            </w:r>
            <w:r>
              <w:rPr>
                <w:sz w:val="22"/>
                <w:szCs w:val="22"/>
              </w:rPr>
              <w:t>, MZe</w:t>
            </w:r>
          </w:p>
        </w:tc>
        <w:tc>
          <w:tcPr>
            <w:tcW w:w="1377" w:type="dxa"/>
            <w:shd w:val="clear" w:color="auto" w:fill="auto"/>
          </w:tcPr>
          <w:p w:rsidR="00B13F83" w:rsidRDefault="00B13F83" w:rsidP="00447655">
            <w:pPr>
              <w:spacing w:before="40" w:after="40"/>
              <w:rPr>
                <w:sz w:val="22"/>
                <w:szCs w:val="22"/>
              </w:rPr>
            </w:pPr>
            <w:r w:rsidRPr="006D1860">
              <w:rPr>
                <w:sz w:val="22"/>
                <w:szCs w:val="22"/>
              </w:rPr>
              <w:t>2020</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6D1860">
              <w:rPr>
                <w:sz w:val="22"/>
                <w:szCs w:val="22"/>
              </w:rPr>
              <w:t>Usilovat o maximální využití unijních programů při realizaci specifických cílů NKR Ochrana obyvatelstva; Zavedení moderních technologií pro organizaci dopravy a snížení dopravní zátěže; Efektivní využití multimodální nákladní dopravy; Ochrana, rozvoj a podpora kulturního dědictví; Digitalizace územního plánování.</w:t>
            </w:r>
          </w:p>
        </w:tc>
        <w:tc>
          <w:tcPr>
            <w:tcW w:w="1562" w:type="dxa"/>
            <w:shd w:val="clear" w:color="auto" w:fill="auto"/>
          </w:tcPr>
          <w:p w:rsidR="00B13F83" w:rsidRDefault="00B13F83" w:rsidP="00447655">
            <w:pPr>
              <w:spacing w:before="40" w:after="40"/>
              <w:rPr>
                <w:sz w:val="22"/>
                <w:szCs w:val="22"/>
              </w:rPr>
            </w:pPr>
            <w:r w:rsidRPr="006D1860">
              <w:rPr>
                <w:sz w:val="22"/>
                <w:szCs w:val="22"/>
              </w:rPr>
              <w:t>MV, MD, MK, MMR</w:t>
            </w:r>
          </w:p>
        </w:tc>
        <w:tc>
          <w:tcPr>
            <w:tcW w:w="1377" w:type="dxa"/>
            <w:shd w:val="clear" w:color="auto" w:fill="auto"/>
          </w:tcPr>
          <w:p w:rsidR="00B13F83" w:rsidRDefault="00B13F83" w:rsidP="00447655">
            <w:pPr>
              <w:spacing w:before="40" w:after="40"/>
              <w:rPr>
                <w:sz w:val="22"/>
                <w:szCs w:val="22"/>
              </w:rPr>
            </w:pPr>
            <w:r w:rsidRPr="006D1860">
              <w:rPr>
                <w:sz w:val="22"/>
                <w:szCs w:val="22"/>
              </w:rPr>
              <w:t>2020</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6D1860">
              <w:rPr>
                <w:sz w:val="22"/>
                <w:szCs w:val="22"/>
              </w:rPr>
              <w:t>Zvýšit zájem soukromých žadatelů v oblasti biodiverzity, zejména tam, kde není zjevný ekonomický přínos.</w:t>
            </w:r>
          </w:p>
        </w:tc>
        <w:tc>
          <w:tcPr>
            <w:tcW w:w="1562" w:type="dxa"/>
            <w:shd w:val="clear" w:color="auto" w:fill="auto"/>
          </w:tcPr>
          <w:p w:rsidR="00B13F83" w:rsidRDefault="00B13F83" w:rsidP="00447655">
            <w:pPr>
              <w:spacing w:before="40" w:after="40"/>
              <w:rPr>
                <w:sz w:val="22"/>
                <w:szCs w:val="22"/>
              </w:rPr>
            </w:pPr>
            <w:r w:rsidRPr="006D1860">
              <w:rPr>
                <w:sz w:val="22"/>
                <w:szCs w:val="22"/>
              </w:rPr>
              <w:t xml:space="preserve">MŽP, </w:t>
            </w:r>
            <w:r>
              <w:rPr>
                <w:sz w:val="22"/>
                <w:szCs w:val="22"/>
              </w:rPr>
              <w:t>MZe</w:t>
            </w:r>
          </w:p>
        </w:tc>
        <w:tc>
          <w:tcPr>
            <w:tcW w:w="1377" w:type="dxa"/>
            <w:shd w:val="clear" w:color="auto" w:fill="auto"/>
          </w:tcPr>
          <w:p w:rsidR="00B13F83" w:rsidRDefault="00B13F83" w:rsidP="00447655">
            <w:pPr>
              <w:spacing w:before="40" w:after="40"/>
              <w:rPr>
                <w:sz w:val="22"/>
                <w:szCs w:val="22"/>
              </w:rPr>
            </w:pPr>
            <w:r w:rsidRPr="006D1860">
              <w:rPr>
                <w:sz w:val="22"/>
                <w:szCs w:val="22"/>
              </w:rPr>
              <w:t>Průběžně</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6D1860">
              <w:rPr>
                <w:sz w:val="22"/>
                <w:szCs w:val="22"/>
              </w:rPr>
              <w:t>Po dohodě MMR a MŽP, vést jednotnou komunikaci a osvětu ve vztahu k budoucím potenciálním příjemcům (města a obce) ohledně zohlednění prvků zelené a modré infrastruktury při plánování rekonstrukcí veřejných prostranství.</w:t>
            </w:r>
          </w:p>
        </w:tc>
        <w:tc>
          <w:tcPr>
            <w:tcW w:w="1562" w:type="dxa"/>
            <w:shd w:val="clear" w:color="auto" w:fill="auto"/>
          </w:tcPr>
          <w:p w:rsidR="00B13F83" w:rsidRDefault="00B13F83" w:rsidP="00447655">
            <w:pPr>
              <w:spacing w:before="40" w:after="40"/>
              <w:rPr>
                <w:sz w:val="22"/>
                <w:szCs w:val="22"/>
              </w:rPr>
            </w:pPr>
            <w:r w:rsidRPr="006D1860">
              <w:rPr>
                <w:sz w:val="22"/>
                <w:szCs w:val="22"/>
              </w:rPr>
              <w:t xml:space="preserve">MŽP a MMR, </w:t>
            </w:r>
          </w:p>
        </w:tc>
        <w:tc>
          <w:tcPr>
            <w:tcW w:w="1377" w:type="dxa"/>
            <w:shd w:val="clear" w:color="auto" w:fill="auto"/>
          </w:tcPr>
          <w:p w:rsidR="00B13F83" w:rsidRDefault="00B13F83" w:rsidP="00447655">
            <w:pPr>
              <w:spacing w:before="40" w:after="40"/>
              <w:rPr>
                <w:sz w:val="22"/>
                <w:szCs w:val="22"/>
              </w:rPr>
            </w:pPr>
            <w:r w:rsidRPr="006D1860">
              <w:rPr>
                <w:sz w:val="22"/>
                <w:szCs w:val="22"/>
              </w:rPr>
              <w:t>Průběžně</w:t>
            </w:r>
          </w:p>
        </w:tc>
      </w:tr>
      <w:tr w:rsidR="00B13F83" w:rsidRPr="006D1860" w:rsidTr="00447655">
        <w:tc>
          <w:tcPr>
            <w:tcW w:w="6100" w:type="dxa"/>
            <w:shd w:val="clear" w:color="auto" w:fill="auto"/>
          </w:tcPr>
          <w:p w:rsidR="00B13F83" w:rsidRPr="000B074A" w:rsidRDefault="00B13F83" w:rsidP="00447655">
            <w:pPr>
              <w:spacing w:before="40" w:after="40"/>
              <w:rPr>
                <w:bCs/>
                <w:sz w:val="22"/>
                <w:szCs w:val="22"/>
              </w:rPr>
            </w:pPr>
            <w:r w:rsidRPr="006D1860">
              <w:rPr>
                <w:sz w:val="22"/>
                <w:szCs w:val="22"/>
              </w:rPr>
              <w:t>Motivovat firmy a podnikatele k masivnějšímu využívání podpory v oblasti energetických úspor a OZE.</w:t>
            </w:r>
          </w:p>
        </w:tc>
        <w:tc>
          <w:tcPr>
            <w:tcW w:w="1562" w:type="dxa"/>
            <w:shd w:val="clear" w:color="auto" w:fill="auto"/>
          </w:tcPr>
          <w:p w:rsidR="00B13F83" w:rsidRDefault="00B13F83" w:rsidP="00447655">
            <w:pPr>
              <w:spacing w:before="40" w:after="40"/>
              <w:rPr>
                <w:sz w:val="22"/>
                <w:szCs w:val="22"/>
              </w:rPr>
            </w:pPr>
            <w:r w:rsidRPr="006D1860">
              <w:rPr>
                <w:sz w:val="22"/>
                <w:szCs w:val="22"/>
              </w:rPr>
              <w:t xml:space="preserve">MPO, </w:t>
            </w:r>
            <w:r>
              <w:rPr>
                <w:sz w:val="22"/>
                <w:szCs w:val="22"/>
              </w:rPr>
              <w:t>MZe</w:t>
            </w:r>
          </w:p>
        </w:tc>
        <w:tc>
          <w:tcPr>
            <w:tcW w:w="1377" w:type="dxa"/>
            <w:shd w:val="clear" w:color="auto" w:fill="auto"/>
          </w:tcPr>
          <w:p w:rsidR="00B13F83" w:rsidRDefault="00B13F83" w:rsidP="00447655">
            <w:pPr>
              <w:spacing w:before="40" w:after="40"/>
              <w:rPr>
                <w:sz w:val="22"/>
                <w:szCs w:val="22"/>
              </w:rPr>
            </w:pPr>
            <w:r w:rsidRPr="006D1860">
              <w:rPr>
                <w:sz w:val="22"/>
                <w:szCs w:val="22"/>
              </w:rPr>
              <w:t>Průběžně</w:t>
            </w:r>
          </w:p>
        </w:tc>
      </w:tr>
      <w:tr w:rsidR="00B13F83" w:rsidRPr="006D1860" w:rsidTr="00447655">
        <w:tc>
          <w:tcPr>
            <w:tcW w:w="6100" w:type="dxa"/>
            <w:shd w:val="clear" w:color="auto" w:fill="auto"/>
          </w:tcPr>
          <w:p w:rsidR="00B13F83" w:rsidRPr="006D1860" w:rsidRDefault="00B13F83" w:rsidP="00447655">
            <w:pPr>
              <w:spacing w:before="40" w:after="40"/>
              <w:rPr>
                <w:sz w:val="22"/>
                <w:szCs w:val="22"/>
              </w:rPr>
            </w:pPr>
            <w:r w:rsidRPr="006D1860">
              <w:rPr>
                <w:sz w:val="22"/>
                <w:szCs w:val="22"/>
              </w:rPr>
              <w:t>S ohledem na sociodemografické prognózy dbát na vyšší míru inovativních opatření v oblasti sociálního začleňování v přípravě strategických dokumentů i příslušného operačního programu.</w:t>
            </w:r>
          </w:p>
        </w:tc>
        <w:tc>
          <w:tcPr>
            <w:tcW w:w="1562" w:type="dxa"/>
            <w:shd w:val="clear" w:color="auto" w:fill="auto"/>
          </w:tcPr>
          <w:p w:rsidR="00B13F83" w:rsidRPr="006D1860" w:rsidRDefault="00B13F83" w:rsidP="00447655">
            <w:pPr>
              <w:spacing w:before="40" w:after="40"/>
              <w:rPr>
                <w:sz w:val="22"/>
                <w:szCs w:val="22"/>
              </w:rPr>
            </w:pPr>
            <w:r w:rsidRPr="006D1860">
              <w:rPr>
                <w:sz w:val="22"/>
                <w:szCs w:val="22"/>
              </w:rPr>
              <w:t>MPSV</w:t>
            </w:r>
          </w:p>
        </w:tc>
        <w:tc>
          <w:tcPr>
            <w:tcW w:w="1377" w:type="dxa"/>
            <w:shd w:val="clear" w:color="auto" w:fill="auto"/>
          </w:tcPr>
          <w:p w:rsidR="00B13F83" w:rsidRPr="006D1860" w:rsidRDefault="00B13F83" w:rsidP="00447655">
            <w:pPr>
              <w:spacing w:before="40" w:after="40"/>
              <w:rPr>
                <w:sz w:val="22"/>
                <w:szCs w:val="22"/>
              </w:rPr>
            </w:pPr>
            <w:r w:rsidRPr="006D1860">
              <w:rPr>
                <w:sz w:val="22"/>
                <w:szCs w:val="22"/>
              </w:rPr>
              <w:t>2020</w:t>
            </w:r>
          </w:p>
        </w:tc>
      </w:tr>
      <w:tr w:rsidR="00511BC5" w:rsidRPr="006D1860" w:rsidTr="00447655">
        <w:tc>
          <w:tcPr>
            <w:tcW w:w="6100" w:type="dxa"/>
            <w:shd w:val="clear" w:color="auto" w:fill="auto"/>
          </w:tcPr>
          <w:p w:rsidR="00511BC5" w:rsidRPr="00D749BC" w:rsidRDefault="00511BC5" w:rsidP="00447655">
            <w:pPr>
              <w:spacing w:before="40" w:after="40"/>
              <w:rPr>
                <w:sz w:val="22"/>
                <w:szCs w:val="22"/>
              </w:rPr>
            </w:pPr>
            <w:r w:rsidRPr="00D749BC">
              <w:rPr>
                <w:sz w:val="22"/>
              </w:rPr>
              <w:t>Eliminovat duplicity mezi operačními programy navzájem, mezi operačními programy a národními dotačními programy, přímo řízenými programy Evropské unie a Společnou zemědělskou politikou a efektivně nastavit jejich doplňkovost a vzájemnou provázanost;</w:t>
            </w:r>
          </w:p>
        </w:tc>
        <w:tc>
          <w:tcPr>
            <w:tcW w:w="1562" w:type="dxa"/>
            <w:shd w:val="clear" w:color="auto" w:fill="auto"/>
          </w:tcPr>
          <w:p w:rsidR="00511BC5" w:rsidRPr="00D749BC" w:rsidRDefault="00511BC5" w:rsidP="00447655">
            <w:pPr>
              <w:rPr>
                <w:sz w:val="22"/>
              </w:rPr>
            </w:pPr>
            <w:r w:rsidRPr="00D749BC">
              <w:rPr>
                <w:sz w:val="22"/>
              </w:rPr>
              <w:t>MPO, MŽP, MPSV, MD, MŠMT, MZe, MK, MZdr, MV, MŠMT, MMR,</w:t>
            </w:r>
          </w:p>
          <w:p w:rsidR="00511BC5" w:rsidRPr="00D749BC" w:rsidRDefault="00511BC5" w:rsidP="00447655">
            <w:pPr>
              <w:spacing w:before="40" w:after="40"/>
              <w:rPr>
                <w:sz w:val="22"/>
                <w:szCs w:val="22"/>
              </w:rPr>
            </w:pPr>
            <w:r w:rsidRPr="00D749BC">
              <w:rPr>
                <w:sz w:val="22"/>
              </w:rPr>
              <w:t>ve spolupráci s MF</w:t>
            </w:r>
          </w:p>
        </w:tc>
        <w:tc>
          <w:tcPr>
            <w:tcW w:w="1377" w:type="dxa"/>
            <w:shd w:val="clear" w:color="auto" w:fill="auto"/>
          </w:tcPr>
          <w:p w:rsidR="00511BC5" w:rsidRPr="00D749BC" w:rsidRDefault="00511BC5" w:rsidP="00447655">
            <w:pPr>
              <w:spacing w:before="40" w:after="40"/>
              <w:rPr>
                <w:sz w:val="22"/>
                <w:szCs w:val="22"/>
              </w:rPr>
            </w:pPr>
            <w:r w:rsidRPr="00D749BC">
              <w:rPr>
                <w:sz w:val="22"/>
              </w:rPr>
              <w:t>2019-2027</w:t>
            </w:r>
          </w:p>
        </w:tc>
      </w:tr>
    </w:tbl>
    <w:p w:rsidR="00B13F83" w:rsidRDefault="00B13F83" w:rsidP="00B13F83">
      <w:r>
        <w:br w:type="textWrapping" w:clear="all"/>
      </w:r>
    </w:p>
    <w:p w:rsidR="00516FB1" w:rsidRDefault="00516FB1" w:rsidP="00516FB1"/>
    <w:p w:rsidR="006D1860" w:rsidRDefault="006D1860">
      <w:pPr>
        <w:spacing w:before="0" w:line="240" w:lineRule="auto"/>
        <w:jc w:val="left"/>
        <w:rPr>
          <w:sz w:val="22"/>
          <w:szCs w:val="22"/>
        </w:rPr>
      </w:pPr>
      <w:r>
        <w:rPr>
          <w:sz w:val="22"/>
          <w:szCs w:val="22"/>
        </w:rPr>
        <w:br w:type="page"/>
      </w:r>
    </w:p>
    <w:p w:rsidR="00E853A4" w:rsidRPr="00004045" w:rsidRDefault="00E93AF0" w:rsidP="00254F4C">
      <w:pPr>
        <w:pStyle w:val="Nadpis1"/>
        <w:numPr>
          <w:ilvl w:val="0"/>
          <w:numId w:val="9"/>
        </w:numPr>
        <w:spacing w:line="240" w:lineRule="auto"/>
        <w:ind w:left="357" w:hanging="357"/>
        <w:jc w:val="left"/>
      </w:pPr>
      <w:bookmarkStart w:id="106" w:name="_Toc7774243"/>
      <w:bookmarkStart w:id="107" w:name="_Toc13828238"/>
      <w:r w:rsidRPr="00004045">
        <w:t>SEZNAM POUŽITÝCH ZDROJŮ</w:t>
      </w:r>
      <w:bookmarkEnd w:id="106"/>
      <w:bookmarkEnd w:id="107"/>
      <w:r w:rsidRPr="00004045">
        <w:t xml:space="preserve"> </w:t>
      </w:r>
    </w:p>
    <w:p w:rsidR="00E853A4" w:rsidRDefault="00E853A4" w:rsidP="00E853A4">
      <w:pPr>
        <w:rPr>
          <w:sz w:val="22"/>
          <w:szCs w:val="22"/>
        </w:rPr>
      </w:pPr>
      <w:r w:rsidRPr="2D57A07C">
        <w:rPr>
          <w:sz w:val="22"/>
          <w:szCs w:val="22"/>
        </w:rPr>
        <w:t>Strategické, evaluační, analytické podklady resortů</w:t>
      </w:r>
    </w:p>
    <w:p w:rsidR="00E853A4" w:rsidRDefault="00E853A4" w:rsidP="00E853A4">
      <w:pPr>
        <w:rPr>
          <w:sz w:val="22"/>
          <w:szCs w:val="22"/>
        </w:rPr>
      </w:pPr>
      <w:r w:rsidRPr="2D57A07C">
        <w:rPr>
          <w:sz w:val="22"/>
          <w:szCs w:val="22"/>
        </w:rPr>
        <w:t>7. Kohezní zpráva (EK, 2017)</w:t>
      </w:r>
    </w:p>
    <w:p w:rsidR="00E853A4" w:rsidRDefault="00E853A4" w:rsidP="00E853A4">
      <w:pPr>
        <w:rPr>
          <w:sz w:val="22"/>
          <w:szCs w:val="22"/>
        </w:rPr>
      </w:pPr>
      <w:r w:rsidRPr="2D57A07C">
        <w:rPr>
          <w:sz w:val="22"/>
          <w:szCs w:val="22"/>
        </w:rPr>
        <w:t>Akční plán Práce 4.0 (ÚV ČR, 2017, pracovní verze)</w:t>
      </w:r>
    </w:p>
    <w:p w:rsidR="00E853A4" w:rsidRDefault="00E853A4" w:rsidP="00E853A4">
      <w:pPr>
        <w:rPr>
          <w:sz w:val="22"/>
          <w:szCs w:val="22"/>
        </w:rPr>
      </w:pPr>
      <w:r w:rsidRPr="2D57A07C">
        <w:rPr>
          <w:sz w:val="22"/>
          <w:szCs w:val="22"/>
        </w:rPr>
        <w:t>Akční plán pro rozvoj digitálního trhu (ÚV ČR, 2015)</w:t>
      </w:r>
    </w:p>
    <w:p w:rsidR="00E853A4" w:rsidRDefault="00E853A4" w:rsidP="00E853A4">
      <w:pPr>
        <w:rPr>
          <w:sz w:val="22"/>
          <w:szCs w:val="22"/>
        </w:rPr>
      </w:pPr>
      <w:r w:rsidRPr="2D57A07C">
        <w:rPr>
          <w:sz w:val="22"/>
          <w:szCs w:val="22"/>
        </w:rPr>
        <w:t>Akční plán pro Společnost 4.0 (ÚV ČR, 2017, pracovní verze)</w:t>
      </w:r>
    </w:p>
    <w:p w:rsidR="00E853A4" w:rsidRDefault="00E853A4" w:rsidP="00E853A4">
      <w:pPr>
        <w:rPr>
          <w:sz w:val="22"/>
          <w:szCs w:val="22"/>
        </w:rPr>
      </w:pPr>
      <w:r w:rsidRPr="2D57A07C">
        <w:rPr>
          <w:sz w:val="22"/>
          <w:szCs w:val="22"/>
        </w:rPr>
        <w:t>Akční plány Zdraví 2020 – Národní strategie ochrany a podpory zdraví a prevence nemocí (MZd, 2015)</w:t>
      </w:r>
    </w:p>
    <w:p w:rsidR="00E853A4" w:rsidRDefault="00E853A4" w:rsidP="00E853A4">
      <w:pPr>
        <w:rPr>
          <w:sz w:val="22"/>
          <w:szCs w:val="22"/>
        </w:rPr>
      </w:pPr>
      <w:r w:rsidRPr="2D57A07C">
        <w:rPr>
          <w:sz w:val="22"/>
          <w:szCs w:val="22"/>
        </w:rPr>
        <w:t>Audit vzdělávacího systému v ČR: rizika a příležitosti (EDUin, 2016)</w:t>
      </w:r>
    </w:p>
    <w:p w:rsidR="00E853A4" w:rsidRDefault="00E853A4" w:rsidP="00E853A4">
      <w:pPr>
        <w:rPr>
          <w:sz w:val="22"/>
          <w:szCs w:val="22"/>
        </w:rPr>
      </w:pPr>
      <w:r w:rsidRPr="2D57A07C">
        <w:rPr>
          <w:sz w:val="22"/>
          <w:szCs w:val="22"/>
        </w:rPr>
        <w:t>Iniciativa Průmysl 4.0 (MPO, 2016)</w:t>
      </w:r>
    </w:p>
    <w:p w:rsidR="00E853A4" w:rsidRDefault="00E853A4" w:rsidP="00E853A4">
      <w:pPr>
        <w:rPr>
          <w:sz w:val="22"/>
          <w:szCs w:val="22"/>
        </w:rPr>
      </w:pPr>
      <w:r w:rsidRPr="2D57A07C">
        <w:rPr>
          <w:sz w:val="22"/>
          <w:szCs w:val="22"/>
        </w:rPr>
        <w:t>INKA -  Inovační kapacita ČR: hlavní závěry ověřovacích analýz (TA ČR, 2016)</w:t>
      </w:r>
    </w:p>
    <w:p w:rsidR="00E853A4" w:rsidRDefault="00E853A4" w:rsidP="00E853A4">
      <w:pPr>
        <w:rPr>
          <w:sz w:val="22"/>
          <w:szCs w:val="22"/>
        </w:rPr>
      </w:pPr>
      <w:r w:rsidRPr="2D57A07C">
        <w:rPr>
          <w:sz w:val="22"/>
          <w:szCs w:val="22"/>
        </w:rPr>
        <w:t>Koncepce památkové péče v ČR pro období 2017–2020</w:t>
      </w:r>
    </w:p>
    <w:p w:rsidR="00A55F8D" w:rsidRDefault="00A55F8D" w:rsidP="00E853A4">
      <w:pPr>
        <w:rPr>
          <w:sz w:val="22"/>
          <w:szCs w:val="22"/>
        </w:rPr>
      </w:pPr>
      <w:r>
        <w:rPr>
          <w:sz w:val="22"/>
          <w:szCs w:val="22"/>
        </w:rPr>
        <w:t>Koncepce státní politiky cestovního ruchu v ČR na období 2014-2020</w:t>
      </w:r>
    </w:p>
    <w:p w:rsidR="00E853A4" w:rsidRDefault="00E853A4" w:rsidP="00E853A4">
      <w:pPr>
        <w:rPr>
          <w:sz w:val="22"/>
          <w:szCs w:val="22"/>
        </w:rPr>
      </w:pPr>
      <w:r w:rsidRPr="2D57A07C">
        <w:rPr>
          <w:sz w:val="22"/>
          <w:szCs w:val="22"/>
        </w:rPr>
        <w:t>Koncepce vězeňství ČR do roku 2025 (MSp, 2016)</w:t>
      </w:r>
    </w:p>
    <w:p w:rsidR="00E853A4" w:rsidRDefault="00E853A4" w:rsidP="00E853A4">
      <w:pPr>
        <w:rPr>
          <w:sz w:val="22"/>
          <w:szCs w:val="22"/>
        </w:rPr>
      </w:pPr>
      <w:r w:rsidRPr="2D57A07C">
        <w:rPr>
          <w:sz w:val="22"/>
          <w:szCs w:val="22"/>
        </w:rPr>
        <w:t>Koncepce ochrany obyvatelstva ČR (MV, 2015)</w:t>
      </w:r>
    </w:p>
    <w:p w:rsidR="00E853A4" w:rsidRDefault="00E853A4" w:rsidP="00E853A4">
      <w:pPr>
        <w:rPr>
          <w:sz w:val="22"/>
          <w:szCs w:val="22"/>
        </w:rPr>
      </w:pPr>
      <w:r w:rsidRPr="2D57A07C">
        <w:rPr>
          <w:sz w:val="22"/>
          <w:szCs w:val="22"/>
        </w:rPr>
        <w:t>Makroekonomická a sektorová analýza ČR (MMR, 2017)</w:t>
      </w:r>
    </w:p>
    <w:p w:rsidR="00E853A4" w:rsidRDefault="00E853A4" w:rsidP="00E853A4">
      <w:pPr>
        <w:rPr>
          <w:sz w:val="22"/>
          <w:szCs w:val="22"/>
        </w:rPr>
      </w:pPr>
      <w:r w:rsidRPr="2D57A07C">
        <w:rPr>
          <w:sz w:val="22"/>
          <w:szCs w:val="22"/>
        </w:rPr>
        <w:t>Makroekonomická predikce ČR (MF, 2017)</w:t>
      </w:r>
    </w:p>
    <w:p w:rsidR="00E853A4" w:rsidRDefault="00E853A4" w:rsidP="00E853A4">
      <w:pPr>
        <w:rPr>
          <w:sz w:val="22"/>
          <w:szCs w:val="22"/>
        </w:rPr>
      </w:pPr>
      <w:r w:rsidRPr="2D57A07C">
        <w:rPr>
          <w:sz w:val="22"/>
          <w:szCs w:val="22"/>
        </w:rPr>
        <w:t>Memorandum a Akční plán o budoucnosti automobilového průmyslu v ČR (MPO, 2017)</w:t>
      </w:r>
    </w:p>
    <w:p w:rsidR="00E853A4" w:rsidRDefault="00E853A4" w:rsidP="00E853A4">
      <w:pPr>
        <w:rPr>
          <w:sz w:val="22"/>
          <w:szCs w:val="22"/>
        </w:rPr>
      </w:pPr>
      <w:r w:rsidRPr="2D57A07C">
        <w:rPr>
          <w:sz w:val="22"/>
          <w:szCs w:val="22"/>
        </w:rPr>
        <w:t>Národní investiční strategie - investiční plán ČR (2017, pracovní verze)</w:t>
      </w:r>
    </w:p>
    <w:p w:rsidR="00E853A4" w:rsidRDefault="00E853A4" w:rsidP="00E853A4">
      <w:pPr>
        <w:rPr>
          <w:sz w:val="22"/>
          <w:szCs w:val="22"/>
        </w:rPr>
      </w:pPr>
      <w:r w:rsidRPr="2D57A07C">
        <w:rPr>
          <w:sz w:val="22"/>
          <w:szCs w:val="22"/>
        </w:rPr>
        <w:t>Národní priority orientovaného výzkumu, experimentálního vývoje a inovací (ÚV ČR, 2012)</w:t>
      </w:r>
    </w:p>
    <w:p w:rsidR="00E853A4" w:rsidRDefault="00E853A4" w:rsidP="00E853A4">
      <w:pPr>
        <w:rPr>
          <w:sz w:val="22"/>
          <w:szCs w:val="22"/>
        </w:rPr>
      </w:pPr>
      <w:r w:rsidRPr="2D57A07C">
        <w:rPr>
          <w:sz w:val="22"/>
          <w:szCs w:val="22"/>
        </w:rPr>
        <w:t>Národní program reforem ČR (ÚV ČR, 2017)</w:t>
      </w:r>
    </w:p>
    <w:p w:rsidR="00435F35" w:rsidRDefault="00435F35" w:rsidP="00E853A4">
      <w:pPr>
        <w:rPr>
          <w:sz w:val="22"/>
          <w:szCs w:val="22"/>
        </w:rPr>
      </w:pPr>
      <w:r w:rsidRPr="00435F35">
        <w:rPr>
          <w:sz w:val="22"/>
          <w:szCs w:val="22"/>
        </w:rPr>
        <w:t>Národní strategie protidrogové politiky 2010-2018 (ÚV ČR, 2010)</w:t>
      </w:r>
    </w:p>
    <w:p w:rsidR="00E853A4" w:rsidRDefault="00E853A4" w:rsidP="00E853A4">
      <w:pPr>
        <w:rPr>
          <w:sz w:val="22"/>
          <w:szCs w:val="22"/>
        </w:rPr>
      </w:pPr>
      <w:r w:rsidRPr="2D57A07C">
        <w:rPr>
          <w:sz w:val="22"/>
          <w:szCs w:val="22"/>
        </w:rPr>
        <w:t>Národní strategie rozvoje sociálních služeb 2016–2025  (MPSV, 2016)</w:t>
      </w:r>
    </w:p>
    <w:p w:rsidR="00E853A4" w:rsidRDefault="00E853A4" w:rsidP="00E853A4">
      <w:pPr>
        <w:rPr>
          <w:sz w:val="22"/>
          <w:szCs w:val="22"/>
        </w:rPr>
      </w:pPr>
      <w:r w:rsidRPr="2D57A07C">
        <w:rPr>
          <w:sz w:val="22"/>
          <w:szCs w:val="22"/>
        </w:rPr>
        <w:t>Národní výzkumná a inovační strategie pro inteligentní specializaci ČR (MŠMT, 2014)</w:t>
      </w:r>
    </w:p>
    <w:p w:rsidR="00E853A4" w:rsidRDefault="00E853A4" w:rsidP="00E853A4">
      <w:pPr>
        <w:rPr>
          <w:sz w:val="22"/>
          <w:szCs w:val="22"/>
        </w:rPr>
      </w:pPr>
      <w:r w:rsidRPr="2D57A07C">
        <w:rPr>
          <w:sz w:val="22"/>
          <w:szCs w:val="22"/>
        </w:rPr>
        <w:t>Nedostatek kvalifikovaných zaměstnanců na českém trhu práce (AMSP ČR/ČTK, 2017)</w:t>
      </w:r>
    </w:p>
    <w:p w:rsidR="00E853A4" w:rsidRDefault="00E853A4" w:rsidP="00E853A4">
      <w:pPr>
        <w:rPr>
          <w:sz w:val="22"/>
          <w:szCs w:val="22"/>
        </w:rPr>
      </w:pPr>
      <w:r w:rsidRPr="2D57A07C">
        <w:rPr>
          <w:sz w:val="22"/>
          <w:szCs w:val="22"/>
        </w:rPr>
        <w:t>Ověřovací studie prostředí pro realizaci intervencí prioritních os 1, 2 a 3 OP VVV a ověření relevance jejich specifických cílů (MŠMT, 2017)</w:t>
      </w:r>
    </w:p>
    <w:p w:rsidR="00CB0270" w:rsidRDefault="00CB0270" w:rsidP="00E853A4">
      <w:pPr>
        <w:rPr>
          <w:sz w:val="22"/>
          <w:szCs w:val="22"/>
        </w:rPr>
      </w:pPr>
      <w:r>
        <w:rPr>
          <w:sz w:val="22"/>
          <w:szCs w:val="22"/>
        </w:rPr>
        <w:t>Posouzení oblastí vhodných pro návratnou formu podpory v období 2020+</w:t>
      </w:r>
      <w:r w:rsidR="00C431DC">
        <w:rPr>
          <w:sz w:val="22"/>
          <w:szCs w:val="22"/>
        </w:rPr>
        <w:t xml:space="preserve"> (MMR/Deloitte, 2019) – závěrečná zpráva evaluace dostupná na adrese dotaceEU.cz/knihovna-evaluaci</w:t>
      </w:r>
    </w:p>
    <w:p w:rsidR="00971C07" w:rsidRPr="00BD2246" w:rsidRDefault="00971C07" w:rsidP="00BD2246">
      <w:pPr>
        <w:rPr>
          <w:sz w:val="22"/>
          <w:szCs w:val="22"/>
        </w:rPr>
      </w:pPr>
      <w:r w:rsidRPr="00BD2246">
        <w:rPr>
          <w:sz w:val="22"/>
          <w:szCs w:val="22"/>
        </w:rPr>
        <w:t>Státní politika životního prostředí 2012-2020 (MŽP, 2013)</w:t>
      </w:r>
    </w:p>
    <w:p w:rsidR="00971C07" w:rsidRPr="00BD2246" w:rsidRDefault="00971C07" w:rsidP="00BD2246">
      <w:pPr>
        <w:rPr>
          <w:sz w:val="22"/>
          <w:szCs w:val="22"/>
        </w:rPr>
      </w:pPr>
      <w:r w:rsidRPr="00BD2246">
        <w:rPr>
          <w:sz w:val="22"/>
          <w:szCs w:val="22"/>
        </w:rPr>
        <w:t>Strategie přizpůsobení se změně klimatu v podmínkách ČR (MŽP, 2015)</w:t>
      </w:r>
    </w:p>
    <w:p w:rsidR="00E853A4" w:rsidRDefault="00E853A4" w:rsidP="00E853A4">
      <w:pPr>
        <w:rPr>
          <w:sz w:val="22"/>
          <w:szCs w:val="22"/>
        </w:rPr>
      </w:pPr>
      <w:r w:rsidRPr="2D57A07C">
        <w:rPr>
          <w:sz w:val="22"/>
          <w:szCs w:val="22"/>
        </w:rPr>
        <w:t xml:space="preserve">Politika ochrany klimatu v ČR (MŽP, 2017) </w:t>
      </w:r>
    </w:p>
    <w:p w:rsidR="00971C07" w:rsidRPr="00BD2246" w:rsidRDefault="00971C07" w:rsidP="00BD2246">
      <w:pPr>
        <w:rPr>
          <w:sz w:val="22"/>
          <w:szCs w:val="22"/>
        </w:rPr>
      </w:pPr>
      <w:r w:rsidRPr="00BD2246">
        <w:rPr>
          <w:sz w:val="22"/>
          <w:szCs w:val="22"/>
        </w:rPr>
        <w:t xml:space="preserve">Plán </w:t>
      </w:r>
      <w:r w:rsidR="00E05F54">
        <w:rPr>
          <w:sz w:val="22"/>
          <w:szCs w:val="22"/>
        </w:rPr>
        <w:t>odpadového hospodářství ČR 2015–</w:t>
      </w:r>
      <w:r w:rsidRPr="00BD2246">
        <w:rPr>
          <w:sz w:val="22"/>
          <w:szCs w:val="22"/>
        </w:rPr>
        <w:t>2024</w:t>
      </w:r>
    </w:p>
    <w:p w:rsidR="00E853A4" w:rsidRDefault="00E853A4" w:rsidP="00E853A4">
      <w:pPr>
        <w:rPr>
          <w:sz w:val="22"/>
          <w:szCs w:val="22"/>
        </w:rPr>
      </w:pPr>
      <w:r w:rsidRPr="2D57A07C">
        <w:rPr>
          <w:sz w:val="22"/>
          <w:szCs w:val="22"/>
        </w:rPr>
        <w:t>Politika územního rozvoje ČR, ve znění Aktualizace č. 1 (MMR, 2015)</w:t>
      </w:r>
    </w:p>
    <w:p w:rsidR="00E853A4" w:rsidRDefault="00E853A4" w:rsidP="00E853A4">
      <w:pPr>
        <w:rPr>
          <w:sz w:val="22"/>
          <w:szCs w:val="22"/>
        </w:rPr>
      </w:pPr>
      <w:r w:rsidRPr="2D57A07C">
        <w:rPr>
          <w:sz w:val="22"/>
          <w:szCs w:val="22"/>
        </w:rPr>
        <w:t>Státní energetická koncepce ČR 2015–2040 (MPO, 2015)</w:t>
      </w:r>
    </w:p>
    <w:p w:rsidR="00E853A4" w:rsidRDefault="00E853A4" w:rsidP="00E853A4">
      <w:pPr>
        <w:rPr>
          <w:sz w:val="22"/>
          <w:szCs w:val="22"/>
        </w:rPr>
      </w:pPr>
      <w:r w:rsidRPr="2D57A07C">
        <w:rPr>
          <w:sz w:val="22"/>
          <w:szCs w:val="22"/>
        </w:rPr>
        <w:t>Státní kulturní politika na léta 2015–2020 (s výhledem do roku 2025)</w:t>
      </w:r>
    </w:p>
    <w:p w:rsidR="00E853A4" w:rsidRDefault="00E853A4" w:rsidP="00E853A4">
      <w:pPr>
        <w:rPr>
          <w:sz w:val="22"/>
          <w:szCs w:val="22"/>
        </w:rPr>
      </w:pPr>
      <w:r w:rsidRPr="2D57A07C">
        <w:rPr>
          <w:sz w:val="22"/>
          <w:szCs w:val="22"/>
        </w:rPr>
        <w:t>Strategický rámec ČR 2030 (ÚV ČR, 2017)</w:t>
      </w:r>
    </w:p>
    <w:p w:rsidR="00E853A4" w:rsidRDefault="00E853A4" w:rsidP="00E853A4">
      <w:pPr>
        <w:rPr>
          <w:sz w:val="22"/>
          <w:szCs w:val="22"/>
        </w:rPr>
      </w:pPr>
      <w:r w:rsidRPr="2D57A07C">
        <w:rPr>
          <w:sz w:val="22"/>
          <w:szCs w:val="22"/>
        </w:rPr>
        <w:t>Strategický rámec rozvoje veřejné správy 2014−2020 (MV, 2015)</w:t>
      </w:r>
    </w:p>
    <w:p w:rsidR="00E853A4" w:rsidRDefault="00E853A4" w:rsidP="00E853A4">
      <w:pPr>
        <w:rPr>
          <w:sz w:val="22"/>
          <w:szCs w:val="22"/>
        </w:rPr>
      </w:pPr>
      <w:r w:rsidRPr="2D57A07C">
        <w:rPr>
          <w:sz w:val="22"/>
          <w:szCs w:val="22"/>
        </w:rPr>
        <w:t>Strategie regionálního rozvoje ČR 2021-2027 (MMR, 2017, pracovní verze, analytický podklad)</w:t>
      </w:r>
    </w:p>
    <w:p w:rsidR="00E853A4" w:rsidRDefault="00E853A4" w:rsidP="00E853A4">
      <w:pPr>
        <w:rPr>
          <w:sz w:val="22"/>
          <w:szCs w:val="22"/>
        </w:rPr>
      </w:pPr>
      <w:r w:rsidRPr="2D57A07C">
        <w:rPr>
          <w:sz w:val="22"/>
          <w:szCs w:val="22"/>
        </w:rPr>
        <w:t>Strategie resortu Ministerstva zemědělství ČR s výhledem do roku 2030 (</w:t>
      </w:r>
      <w:r w:rsidR="003866C7">
        <w:rPr>
          <w:sz w:val="22"/>
          <w:szCs w:val="22"/>
        </w:rPr>
        <w:t>MZe</w:t>
      </w:r>
      <w:r w:rsidRPr="2D57A07C">
        <w:rPr>
          <w:sz w:val="22"/>
          <w:szCs w:val="22"/>
        </w:rPr>
        <w:t>, 2016)</w:t>
      </w:r>
    </w:p>
    <w:p w:rsidR="00E853A4" w:rsidRDefault="00E853A4" w:rsidP="00E853A4">
      <w:pPr>
        <w:rPr>
          <w:sz w:val="22"/>
          <w:szCs w:val="22"/>
        </w:rPr>
      </w:pPr>
      <w:r w:rsidRPr="2D57A07C">
        <w:rPr>
          <w:sz w:val="22"/>
          <w:szCs w:val="22"/>
        </w:rPr>
        <w:t>Strategie sociálního začleňování 2014–2020  (MPSV, 2014)</w:t>
      </w:r>
    </w:p>
    <w:p w:rsidR="00E853A4" w:rsidRDefault="00E853A4" w:rsidP="00E853A4">
      <w:pPr>
        <w:rPr>
          <w:sz w:val="22"/>
          <w:szCs w:val="22"/>
        </w:rPr>
      </w:pPr>
      <w:r w:rsidRPr="2D57A07C">
        <w:rPr>
          <w:sz w:val="22"/>
          <w:szCs w:val="22"/>
        </w:rPr>
        <w:t>Strategie reformy psychiatrické péče (MZd, 2013)</w:t>
      </w:r>
    </w:p>
    <w:p w:rsidR="00E853A4" w:rsidRDefault="00E853A4" w:rsidP="00E853A4">
      <w:pPr>
        <w:rPr>
          <w:sz w:val="22"/>
          <w:szCs w:val="22"/>
        </w:rPr>
      </w:pPr>
      <w:r w:rsidRPr="2D57A07C">
        <w:rPr>
          <w:sz w:val="22"/>
          <w:szCs w:val="22"/>
        </w:rPr>
        <w:t>Veřejné výdaje a fondy EU 2007–2015  (MMR, 2017)</w:t>
      </w:r>
    </w:p>
    <w:p w:rsidR="00E853A4" w:rsidRDefault="00E853A4" w:rsidP="00E853A4">
      <w:pPr>
        <w:rPr>
          <w:sz w:val="22"/>
          <w:szCs w:val="22"/>
        </w:rPr>
      </w:pPr>
      <w:r w:rsidRPr="2D57A07C">
        <w:rPr>
          <w:sz w:val="22"/>
          <w:szCs w:val="22"/>
        </w:rPr>
        <w:t>Vzdělávání 4.0 (MŠMT, 2017, pracovní verze)</w:t>
      </w:r>
    </w:p>
    <w:p w:rsidR="00E853A4" w:rsidRDefault="00E853A4" w:rsidP="00E853A4">
      <w:pPr>
        <w:rPr>
          <w:sz w:val="22"/>
          <w:szCs w:val="22"/>
        </w:rPr>
      </w:pPr>
      <w:r w:rsidRPr="2D57A07C">
        <w:rPr>
          <w:sz w:val="22"/>
          <w:szCs w:val="22"/>
        </w:rPr>
        <w:t>Zásady urbánní politiky II (MMR, 2017, pracovní verze)</w:t>
      </w:r>
    </w:p>
    <w:p w:rsidR="00E853A4" w:rsidRDefault="00E853A4" w:rsidP="00E853A4">
      <w:pPr>
        <w:rPr>
          <w:sz w:val="22"/>
          <w:szCs w:val="22"/>
        </w:rPr>
      </w:pPr>
      <w:r w:rsidRPr="2D57A07C">
        <w:rPr>
          <w:sz w:val="22"/>
          <w:szCs w:val="22"/>
        </w:rPr>
        <w:t>Zmapování a syntéza poznatků o výsledcích a přínosech EU fondů v období 2007–2013 (MMR, 2017)</w:t>
      </w:r>
    </w:p>
    <w:p w:rsidR="00E853A4" w:rsidRDefault="00E853A4" w:rsidP="00E853A4">
      <w:pPr>
        <w:rPr>
          <w:sz w:val="22"/>
          <w:szCs w:val="22"/>
        </w:rPr>
      </w:pPr>
      <w:r w:rsidRPr="2D57A07C">
        <w:rPr>
          <w:sz w:val="22"/>
          <w:szCs w:val="22"/>
        </w:rPr>
        <w:t>Zpráva o pokroku při provádění Dohody o partnerství k 31. 12. 2016 (MMR, 2017)</w:t>
      </w:r>
    </w:p>
    <w:p w:rsidR="00E853A4" w:rsidRDefault="00E853A4" w:rsidP="00E853A4">
      <w:pPr>
        <w:rPr>
          <w:sz w:val="22"/>
          <w:szCs w:val="22"/>
        </w:rPr>
      </w:pPr>
      <w:r w:rsidRPr="2D57A07C">
        <w:rPr>
          <w:sz w:val="22"/>
          <w:szCs w:val="22"/>
        </w:rPr>
        <w:t>Zpráva o realizaci Národního programu reforem České republiky 2017 (ÚV ČR, 2016)</w:t>
      </w:r>
    </w:p>
    <w:p w:rsidR="00E853A4" w:rsidRDefault="00E853A4" w:rsidP="00E853A4">
      <w:pPr>
        <w:rPr>
          <w:sz w:val="22"/>
          <w:szCs w:val="22"/>
        </w:rPr>
      </w:pPr>
      <w:r w:rsidRPr="2D57A07C">
        <w:rPr>
          <w:sz w:val="22"/>
          <w:szCs w:val="22"/>
        </w:rPr>
        <w:t>Zvláštní zpráva č. 5 - Nezaměstnanost mladých lidí (EÚD, 2017)</w:t>
      </w:r>
    </w:p>
    <w:p w:rsidR="006D1860" w:rsidRDefault="00E10A37">
      <w:pPr>
        <w:spacing w:before="0" w:line="240" w:lineRule="auto"/>
        <w:jc w:val="left"/>
        <w:rPr>
          <w:sz w:val="22"/>
          <w:szCs w:val="22"/>
        </w:rPr>
      </w:pPr>
      <w:r>
        <w:rPr>
          <w:sz w:val="22"/>
          <w:szCs w:val="22"/>
        </w:rPr>
        <w:br w:type="page"/>
      </w:r>
    </w:p>
    <w:p w:rsidR="00E10A37" w:rsidRPr="00F41D0E" w:rsidRDefault="00E93AF0" w:rsidP="00254F4C">
      <w:pPr>
        <w:pStyle w:val="Nadpis1"/>
        <w:numPr>
          <w:ilvl w:val="0"/>
          <w:numId w:val="9"/>
        </w:numPr>
        <w:spacing w:line="240" w:lineRule="auto"/>
        <w:ind w:left="357" w:hanging="357"/>
        <w:jc w:val="left"/>
        <w:rPr>
          <w:bCs w:val="0"/>
        </w:rPr>
      </w:pPr>
      <w:bookmarkStart w:id="108" w:name="_Toc13828239"/>
      <w:r w:rsidRPr="00F41D0E">
        <w:rPr>
          <w:bCs w:val="0"/>
        </w:rPr>
        <w:t>SEZNAM PŘÍLOH</w:t>
      </w:r>
      <w:bookmarkEnd w:id="108"/>
    </w:p>
    <w:p w:rsidR="00B14D6A" w:rsidRPr="00A9356E" w:rsidRDefault="00B14D6A" w:rsidP="00F41D0E">
      <w:pPr>
        <w:pStyle w:val="Odstavecseseznamem"/>
        <w:numPr>
          <w:ilvl w:val="0"/>
          <w:numId w:val="26"/>
        </w:numPr>
        <w:spacing w:after="0"/>
        <w:ind w:left="714" w:hanging="357"/>
        <w:rPr>
          <w:rFonts w:ascii="Arial" w:hAnsi="Arial"/>
          <w:sz w:val="22"/>
          <w:szCs w:val="22"/>
        </w:rPr>
      </w:pPr>
      <w:r w:rsidRPr="00A9356E">
        <w:rPr>
          <w:rFonts w:ascii="Arial" w:hAnsi="Arial"/>
          <w:sz w:val="22"/>
          <w:szCs w:val="22"/>
        </w:rPr>
        <w:t xml:space="preserve">Příloha č. 1: </w:t>
      </w:r>
      <w:r w:rsidRPr="00A9356E">
        <w:rPr>
          <w:rFonts w:ascii="Arial" w:hAnsi="Arial"/>
          <w:sz w:val="22"/>
          <w:szCs w:val="22"/>
        </w:rPr>
        <w:tab/>
        <w:t>Karty specifických cílů NKR – podklad pro prioritizaci</w:t>
      </w:r>
    </w:p>
    <w:p w:rsidR="00B14D6A" w:rsidRPr="00A9356E" w:rsidRDefault="00B14D6A" w:rsidP="00F41D0E">
      <w:pPr>
        <w:pStyle w:val="Odstavecseseznamem"/>
        <w:numPr>
          <w:ilvl w:val="0"/>
          <w:numId w:val="26"/>
        </w:numPr>
        <w:spacing w:after="0"/>
        <w:ind w:left="714" w:hanging="357"/>
        <w:rPr>
          <w:rFonts w:ascii="Arial" w:hAnsi="Arial"/>
          <w:sz w:val="22"/>
          <w:szCs w:val="22"/>
        </w:rPr>
      </w:pPr>
      <w:r w:rsidRPr="00A9356E">
        <w:rPr>
          <w:rFonts w:ascii="Arial" w:hAnsi="Arial"/>
          <w:sz w:val="22"/>
          <w:szCs w:val="22"/>
        </w:rPr>
        <w:t>Příloha č. 2:</w:t>
      </w:r>
      <w:r w:rsidRPr="00A9356E">
        <w:rPr>
          <w:rFonts w:ascii="Arial" w:hAnsi="Arial"/>
          <w:sz w:val="22"/>
          <w:szCs w:val="22"/>
        </w:rPr>
        <w:tab/>
        <w:t>Vazba tematických oblastí a specifických cílů NKR na cíle politik EU</w:t>
      </w:r>
    </w:p>
    <w:p w:rsidR="00B14D6A" w:rsidRPr="00A9356E" w:rsidRDefault="00B14D6A" w:rsidP="00F41D0E">
      <w:pPr>
        <w:pStyle w:val="Odstavecseseznamem"/>
        <w:numPr>
          <w:ilvl w:val="0"/>
          <w:numId w:val="26"/>
        </w:numPr>
        <w:spacing w:after="0"/>
        <w:ind w:left="714" w:hanging="357"/>
        <w:rPr>
          <w:rFonts w:ascii="Arial" w:hAnsi="Arial"/>
          <w:sz w:val="22"/>
          <w:szCs w:val="22"/>
        </w:rPr>
      </w:pPr>
      <w:r w:rsidRPr="00A9356E">
        <w:rPr>
          <w:rFonts w:ascii="Arial" w:hAnsi="Arial"/>
          <w:sz w:val="22"/>
          <w:szCs w:val="22"/>
        </w:rPr>
        <w:t>Příloha č. 3:</w:t>
      </w:r>
      <w:r w:rsidRPr="00A9356E">
        <w:rPr>
          <w:rFonts w:ascii="Arial" w:hAnsi="Arial"/>
          <w:sz w:val="22"/>
          <w:szCs w:val="22"/>
        </w:rPr>
        <w:tab/>
        <w:t xml:space="preserve">Vazba specifických cílů NKR k průřezovým tématům </w:t>
      </w:r>
    </w:p>
    <w:p w:rsidR="00B14D6A" w:rsidRPr="00A9356E" w:rsidRDefault="00B14D6A" w:rsidP="00F41D0E">
      <w:pPr>
        <w:pStyle w:val="Odstavecseseznamem"/>
        <w:numPr>
          <w:ilvl w:val="0"/>
          <w:numId w:val="26"/>
        </w:numPr>
        <w:spacing w:after="0"/>
        <w:ind w:left="714" w:hanging="357"/>
        <w:rPr>
          <w:rFonts w:ascii="Arial" w:hAnsi="Arial"/>
          <w:sz w:val="22"/>
          <w:szCs w:val="22"/>
        </w:rPr>
      </w:pPr>
      <w:r w:rsidRPr="00A9356E">
        <w:rPr>
          <w:rFonts w:ascii="Arial" w:hAnsi="Arial"/>
          <w:sz w:val="22"/>
          <w:szCs w:val="22"/>
        </w:rPr>
        <w:t>Příloha č. 4:</w:t>
      </w:r>
      <w:r w:rsidRPr="00A9356E">
        <w:rPr>
          <w:rFonts w:ascii="Arial" w:hAnsi="Arial"/>
          <w:sz w:val="22"/>
          <w:szCs w:val="22"/>
        </w:rPr>
        <w:tab/>
        <w:t>Vztah specifických cílů NKR k procesu evropského semestru</w:t>
      </w:r>
    </w:p>
    <w:p w:rsidR="00B14D6A" w:rsidRPr="00A9356E" w:rsidRDefault="00B14D6A" w:rsidP="00F41D0E">
      <w:pPr>
        <w:pStyle w:val="Odstavecseseznamem"/>
        <w:numPr>
          <w:ilvl w:val="0"/>
          <w:numId w:val="26"/>
        </w:numPr>
        <w:spacing w:after="0"/>
        <w:ind w:left="714" w:hanging="357"/>
        <w:rPr>
          <w:rFonts w:ascii="Arial" w:hAnsi="Arial"/>
          <w:sz w:val="22"/>
          <w:szCs w:val="22"/>
        </w:rPr>
      </w:pPr>
      <w:r w:rsidRPr="00A9356E">
        <w:rPr>
          <w:rFonts w:ascii="Arial" w:hAnsi="Arial"/>
          <w:sz w:val="22"/>
          <w:szCs w:val="22"/>
        </w:rPr>
        <w:t>Příloha č. 5:</w:t>
      </w:r>
      <w:r w:rsidRPr="00A9356E">
        <w:rPr>
          <w:rFonts w:ascii="Arial" w:hAnsi="Arial"/>
          <w:sz w:val="22"/>
          <w:szCs w:val="22"/>
        </w:rPr>
        <w:tab/>
        <w:t>Přehled specifických cílů NKR a k nim doplňkových unijních programů</w:t>
      </w:r>
    </w:p>
    <w:p w:rsidR="00E853A4" w:rsidRPr="00F86BC2" w:rsidRDefault="00E853A4" w:rsidP="00F86BC2">
      <w:pPr>
        <w:pStyle w:val="Nadpis2"/>
        <w:numPr>
          <w:ilvl w:val="0"/>
          <w:numId w:val="0"/>
        </w:numPr>
        <w:spacing w:line="240" w:lineRule="auto"/>
        <w:ind w:left="999" w:hanging="432"/>
        <w:jc w:val="left"/>
        <w:rPr>
          <w:sz w:val="18"/>
          <w:szCs w:val="18"/>
        </w:rPr>
      </w:pPr>
    </w:p>
    <w:sectPr w:rsidR="00E853A4" w:rsidRPr="00F86BC2" w:rsidSect="00536A06">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F1E" w:rsidRDefault="00945F1E" w:rsidP="003152D2">
      <w:r>
        <w:separator/>
      </w:r>
    </w:p>
    <w:p w:rsidR="00945F1E" w:rsidRDefault="00945F1E" w:rsidP="003152D2"/>
  </w:endnote>
  <w:endnote w:type="continuationSeparator" w:id="0">
    <w:p w:rsidR="00945F1E" w:rsidRDefault="00945F1E" w:rsidP="003152D2">
      <w:r>
        <w:continuationSeparator/>
      </w:r>
    </w:p>
    <w:p w:rsidR="00945F1E" w:rsidRDefault="00945F1E" w:rsidP="003152D2"/>
  </w:endnote>
  <w:endnote w:type="continuationNotice" w:id="1">
    <w:p w:rsidR="00945F1E" w:rsidRDefault="00945F1E" w:rsidP="003152D2"/>
    <w:p w:rsidR="00945F1E" w:rsidRDefault="00945F1E" w:rsidP="0031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EUAlbertina">
    <w:altName w:val="MV Boli"/>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EC Square Sans Pro Light">
    <w:altName w:val="EC Square Sans Pro Light"/>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28274"/>
      <w:docPartObj>
        <w:docPartGallery w:val="Page Numbers (Bottom of Page)"/>
        <w:docPartUnique/>
      </w:docPartObj>
    </w:sdtPr>
    <w:sdtEndPr/>
    <w:sdtContent>
      <w:p w:rsidR="00447655" w:rsidRDefault="00447655" w:rsidP="005D45A9">
        <w:pPr>
          <w:pStyle w:val="Zpat"/>
          <w:jc w:val="center"/>
        </w:pPr>
        <w:r>
          <w:fldChar w:fldCharType="begin"/>
        </w:r>
        <w:r>
          <w:instrText xml:space="preserve"> PAGE  \* Arabic  \* MERGEFORMAT </w:instrText>
        </w:r>
        <w:r>
          <w:fldChar w:fldCharType="separate"/>
        </w:r>
        <w:r w:rsidR="006C1DA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F1E" w:rsidRDefault="00945F1E" w:rsidP="003152D2">
      <w:r>
        <w:separator/>
      </w:r>
    </w:p>
    <w:p w:rsidR="00945F1E" w:rsidRDefault="00945F1E" w:rsidP="003152D2"/>
  </w:footnote>
  <w:footnote w:type="continuationSeparator" w:id="0">
    <w:p w:rsidR="00945F1E" w:rsidRDefault="00945F1E" w:rsidP="003152D2">
      <w:r>
        <w:continuationSeparator/>
      </w:r>
    </w:p>
    <w:p w:rsidR="00945F1E" w:rsidRDefault="00945F1E" w:rsidP="003152D2"/>
  </w:footnote>
  <w:footnote w:type="continuationNotice" w:id="1">
    <w:p w:rsidR="00945F1E" w:rsidRDefault="00945F1E" w:rsidP="003152D2"/>
    <w:p w:rsidR="00945F1E" w:rsidRDefault="00945F1E" w:rsidP="003152D2"/>
  </w:footnote>
  <w:footnote w:id="2">
    <w:p w:rsidR="00447655" w:rsidRDefault="00447655">
      <w:pPr>
        <w:pStyle w:val="Textpoznpodarou"/>
      </w:pPr>
      <w:r>
        <w:rPr>
          <w:rStyle w:val="Znakapoznpodarou"/>
        </w:rPr>
        <w:footnoteRef/>
      </w:r>
      <w:r>
        <w:t xml:space="preserve"> </w:t>
      </w:r>
      <w:r w:rsidRPr="00E829A2">
        <w:t xml:space="preserve">název </w:t>
      </w:r>
      <w:r>
        <w:t xml:space="preserve">tohoto </w:t>
      </w:r>
      <w:r w:rsidRPr="00E829A2">
        <w:t>OP se může po dohodě MMR-NOK a ŘO OP změnit</w:t>
      </w:r>
    </w:p>
  </w:footnote>
  <w:footnote w:id="3">
    <w:p w:rsidR="00447655" w:rsidRDefault="00447655">
      <w:pPr>
        <w:pStyle w:val="Textpoznpodarou"/>
      </w:pPr>
      <w:r>
        <w:rPr>
          <w:rStyle w:val="Znakapoznpodarou"/>
        </w:rPr>
        <w:footnoteRef/>
      </w:r>
      <w:r>
        <w:t xml:space="preserve"> </w:t>
      </w:r>
      <w:r w:rsidRPr="00E829A2">
        <w:t xml:space="preserve">název </w:t>
      </w:r>
      <w:r>
        <w:t xml:space="preserve">tohoto </w:t>
      </w:r>
      <w:r w:rsidRPr="00E829A2">
        <w:t>OP se může po dohodě MMR-NOK a ŘO OP změnit</w:t>
      </w:r>
    </w:p>
  </w:footnote>
  <w:footnote w:id="4">
    <w:p w:rsidR="00447655" w:rsidRDefault="00447655">
      <w:pPr>
        <w:pStyle w:val="Textpoznpodarou"/>
      </w:pPr>
      <w:r>
        <w:rPr>
          <w:rStyle w:val="Znakapoznpodarou"/>
        </w:rPr>
        <w:footnoteRef/>
      </w:r>
      <w:r>
        <w:t xml:space="preserve"> </w:t>
      </w:r>
      <w:r w:rsidRPr="00D14331">
        <w:t>V období od září 2017 do června 2018 byla ve spolupráci s rezorty a dalšími partnery zpracována analytická část NKR, kterou schválila rada pro ESI fondy na ministerské úrovni dne 24. 7. 2018. S ohledem na rozsah zde předkládáme shrnutí anal</w:t>
      </w:r>
      <w:r>
        <w:t>ytické části.</w:t>
      </w:r>
    </w:p>
  </w:footnote>
  <w:footnote w:id="5">
    <w:p w:rsidR="00447655" w:rsidRDefault="00447655">
      <w:pPr>
        <w:pStyle w:val="Textpoznpodarou"/>
      </w:pPr>
      <w:r>
        <w:rPr>
          <w:rStyle w:val="Znakapoznpodarou"/>
        </w:rPr>
        <w:footnoteRef/>
      </w:r>
      <w:r>
        <w:t xml:space="preserve"> Vybrány byly nejrelevantnější výroky pro danou tematickou oblast.</w:t>
      </w:r>
    </w:p>
  </w:footnote>
  <w:footnote w:id="6">
    <w:p w:rsidR="00447655" w:rsidRDefault="00447655">
      <w:pPr>
        <w:pStyle w:val="Textpoznpodarou"/>
      </w:pPr>
      <w:r>
        <w:rPr>
          <w:rStyle w:val="Znakapoznpodarou"/>
        </w:rPr>
        <w:footnoteRef/>
      </w:r>
      <w:r>
        <w:t xml:space="preserve"> </w:t>
      </w:r>
      <w:r w:rsidRPr="00270225">
        <w:t>Jedná se o výběr relevantních megatrendů blíže popsaných v dokumentu “Globální megatrendy pro aktualizovaný Strategický rámec udržitelného rozvoje” vydaného Úřadem vlády v roce 2016.</w:t>
      </w:r>
    </w:p>
  </w:footnote>
  <w:footnote w:id="7">
    <w:p w:rsidR="00447655" w:rsidRDefault="00447655">
      <w:pPr>
        <w:pStyle w:val="Textpoznpodarou"/>
      </w:pPr>
      <w:r>
        <w:rPr>
          <w:rStyle w:val="Znakapoznpodarou"/>
        </w:rPr>
        <w:footnoteRef/>
      </w:r>
      <w:r>
        <w:t xml:space="preserve"> Z celkové částky jde ještě cca 0,31 mld. EUR na Evropskou územní spolupráci.</w:t>
      </w:r>
    </w:p>
  </w:footnote>
  <w:footnote w:id="8">
    <w:p w:rsidR="00447655" w:rsidRPr="00282C7A" w:rsidRDefault="00447655" w:rsidP="00282C7A">
      <w:pPr>
        <w:pStyle w:val="Textpoznpodarou"/>
      </w:pPr>
      <w:r>
        <w:rPr>
          <w:rStyle w:val="Znakapoznpodarou"/>
        </w:rPr>
        <w:footnoteRef/>
      </w:r>
      <w:r>
        <w:t xml:space="preserve"> S</w:t>
      </w:r>
      <w:r w:rsidRPr="00282C7A">
        <w:t>tav těchto pravidel a jejich poměrů je poplatný k době tvorby aktualizace NKR, tj. k červnu 2019</w:t>
      </w:r>
      <w:r>
        <w:t>.</w:t>
      </w:r>
    </w:p>
  </w:footnote>
  <w:footnote w:id="9">
    <w:p w:rsidR="00447655" w:rsidRDefault="00447655" w:rsidP="00A9737F">
      <w:pPr>
        <w:pStyle w:val="Textpoznpodarou"/>
      </w:pPr>
      <w:r>
        <w:rPr>
          <w:rStyle w:val="Znakapoznpodarou"/>
        </w:rPr>
        <w:footnoteRef/>
      </w:r>
      <w:r>
        <w:t xml:space="preserve"> Průměr všech specifických cílů je znázorněn červenou osou.</w:t>
      </w:r>
    </w:p>
  </w:footnote>
  <w:footnote w:id="10">
    <w:p w:rsidR="00447655" w:rsidRPr="00FC508E" w:rsidRDefault="00447655" w:rsidP="00C4383C">
      <w:pPr>
        <w:pStyle w:val="Textpoznpodarou"/>
        <w:rPr>
          <w:sz w:val="16"/>
          <w:szCs w:val="16"/>
        </w:rPr>
      </w:pPr>
      <w:r w:rsidRPr="00FC508E">
        <w:rPr>
          <w:rStyle w:val="Znakapoznpodarou"/>
          <w:sz w:val="16"/>
          <w:szCs w:val="16"/>
        </w:rPr>
        <w:footnoteRef/>
      </w:r>
      <w:r w:rsidRPr="00FC508E">
        <w:rPr>
          <w:sz w:val="16"/>
          <w:szCs w:val="16"/>
        </w:rPr>
        <w:t xml:space="preserve"> V návaznosti na nová nařízení EK dochází v novém programovém období 2021+ u některých unijních programů</w:t>
      </w:r>
      <w:r>
        <w:rPr>
          <w:sz w:val="16"/>
          <w:szCs w:val="16"/>
        </w:rPr>
        <w:t xml:space="preserve"> implementovaných v současném programovém období 2014-2020</w:t>
      </w:r>
      <w:r w:rsidRPr="00FC508E">
        <w:rPr>
          <w:sz w:val="16"/>
          <w:szCs w:val="16"/>
        </w:rPr>
        <w:t xml:space="preserve"> k určitým změ</w:t>
      </w:r>
      <w:r w:rsidRPr="2D57A07C">
        <w:rPr>
          <w:i/>
          <w:iCs/>
          <w:sz w:val="16"/>
          <w:szCs w:val="16"/>
        </w:rPr>
        <w:t>ná</w:t>
      </w:r>
      <w:r>
        <w:rPr>
          <w:sz w:val="16"/>
          <w:szCs w:val="16"/>
        </w:rPr>
        <w:t>m. Jedná se zejména o tyto změny:</w:t>
      </w:r>
    </w:p>
    <w:p w:rsidR="00447655" w:rsidRPr="00E52E8B" w:rsidRDefault="00447655" w:rsidP="00254F4C">
      <w:pPr>
        <w:pStyle w:val="Textpoznpodarou"/>
        <w:numPr>
          <w:ilvl w:val="0"/>
          <w:numId w:val="13"/>
        </w:numPr>
        <w:rPr>
          <w:color w:val="000000"/>
          <w:sz w:val="16"/>
          <w:szCs w:val="16"/>
        </w:rPr>
      </w:pPr>
      <w:r>
        <w:rPr>
          <w:rFonts w:eastAsia="Arial"/>
          <w:sz w:val="16"/>
          <w:szCs w:val="16"/>
        </w:rPr>
        <w:t>Fungující</w:t>
      </w:r>
      <w:r w:rsidRPr="2D57A07C">
        <w:rPr>
          <w:rFonts w:eastAsia="Arial"/>
          <w:sz w:val="16"/>
          <w:szCs w:val="16"/>
        </w:rPr>
        <w:t xml:space="preserve"> program COSME pro malé a střední podniky v 2021+ zaniká a bude bez části finančních nástrojů (záruky a equity) integrován spolu s dalšími doposud roztříštěnými programy do Programu pro jednotný trh (Single Market Programme) </w:t>
      </w:r>
      <w:r>
        <w:rPr>
          <w:rFonts w:eastAsia="Arial"/>
          <w:sz w:val="16"/>
          <w:szCs w:val="16"/>
        </w:rPr>
        <w:t>jako jeho</w:t>
      </w:r>
      <w:r w:rsidRPr="2D57A07C">
        <w:rPr>
          <w:rFonts w:eastAsia="Arial"/>
          <w:sz w:val="16"/>
          <w:szCs w:val="16"/>
        </w:rPr>
        <w:t xml:space="preserve"> specifický cíl. </w:t>
      </w:r>
    </w:p>
    <w:p w:rsidR="00447655" w:rsidRPr="00E52E8B" w:rsidRDefault="00447655" w:rsidP="00254F4C">
      <w:pPr>
        <w:pStyle w:val="Textpoznpodarou"/>
        <w:numPr>
          <w:ilvl w:val="0"/>
          <w:numId w:val="13"/>
        </w:numPr>
        <w:rPr>
          <w:color w:val="000000"/>
          <w:sz w:val="16"/>
          <w:szCs w:val="16"/>
        </w:rPr>
      </w:pPr>
      <w:r w:rsidRPr="2D57A07C">
        <w:rPr>
          <w:sz w:val="16"/>
          <w:szCs w:val="16"/>
        </w:rPr>
        <w:t>Nástupcem programu Horizon</w:t>
      </w:r>
      <w:r>
        <w:rPr>
          <w:sz w:val="16"/>
          <w:szCs w:val="16"/>
        </w:rPr>
        <w:t>t</w:t>
      </w:r>
      <w:r w:rsidRPr="2D57A07C">
        <w:rPr>
          <w:sz w:val="16"/>
          <w:szCs w:val="16"/>
        </w:rPr>
        <w:t>2020 je Horizon</w:t>
      </w:r>
      <w:r>
        <w:rPr>
          <w:sz w:val="16"/>
          <w:szCs w:val="16"/>
        </w:rPr>
        <w:t>t</w:t>
      </w:r>
      <w:r w:rsidRPr="2D57A07C">
        <w:rPr>
          <w:sz w:val="16"/>
          <w:szCs w:val="16"/>
        </w:rPr>
        <w:t xml:space="preserve"> E</w:t>
      </w:r>
      <w:r>
        <w:rPr>
          <w:sz w:val="16"/>
          <w:szCs w:val="16"/>
        </w:rPr>
        <w:t>vropa</w:t>
      </w:r>
      <w:r w:rsidRPr="2D57A07C">
        <w:rPr>
          <w:sz w:val="16"/>
          <w:szCs w:val="16"/>
        </w:rPr>
        <w:t xml:space="preserve">. </w:t>
      </w:r>
    </w:p>
    <w:p w:rsidR="00447655" w:rsidRPr="00FC508E" w:rsidRDefault="00447655" w:rsidP="00254F4C">
      <w:pPr>
        <w:pStyle w:val="Textpoznpodarou"/>
        <w:numPr>
          <w:ilvl w:val="0"/>
          <w:numId w:val="13"/>
        </w:numPr>
        <w:rPr>
          <w:sz w:val="16"/>
          <w:szCs w:val="16"/>
        </w:rPr>
      </w:pPr>
      <w:r w:rsidRPr="2D57A07C">
        <w:rPr>
          <w:sz w:val="16"/>
          <w:szCs w:val="16"/>
        </w:rPr>
        <w:t xml:space="preserve">Současně EK </w:t>
      </w:r>
      <w:r>
        <w:rPr>
          <w:sz w:val="16"/>
          <w:szCs w:val="16"/>
        </w:rPr>
        <w:t>představila</w:t>
      </w:r>
      <w:r w:rsidRPr="2D57A07C">
        <w:rPr>
          <w:sz w:val="16"/>
          <w:szCs w:val="16"/>
        </w:rPr>
        <w:t xml:space="preserve"> i nové programy, např. Digitální Evropa (Digital Europe Programme). </w:t>
      </w:r>
    </w:p>
    <w:p w:rsidR="00447655" w:rsidRDefault="00447655" w:rsidP="00254F4C">
      <w:pPr>
        <w:pStyle w:val="Textpoznpodarou"/>
        <w:numPr>
          <w:ilvl w:val="0"/>
          <w:numId w:val="13"/>
        </w:numPr>
        <w:rPr>
          <w:sz w:val="16"/>
          <w:szCs w:val="16"/>
        </w:rPr>
      </w:pPr>
      <w:r w:rsidRPr="00934536">
        <w:rPr>
          <w:sz w:val="16"/>
          <w:szCs w:val="16"/>
        </w:rPr>
        <w:t>Program pro zaměstnanost a sociální inovace (Employment and Social Innovation</w:t>
      </w:r>
      <w:r>
        <w:rPr>
          <w:sz w:val="16"/>
          <w:szCs w:val="16"/>
        </w:rPr>
        <w:t xml:space="preserve"> - </w:t>
      </w:r>
      <w:r w:rsidRPr="2D57A07C">
        <w:rPr>
          <w:sz w:val="16"/>
          <w:szCs w:val="16"/>
        </w:rPr>
        <w:t>EASI</w:t>
      </w:r>
      <w:r>
        <w:rPr>
          <w:sz w:val="16"/>
          <w:szCs w:val="16"/>
        </w:rPr>
        <w:t>)</w:t>
      </w:r>
      <w:r w:rsidRPr="2D57A07C">
        <w:rPr>
          <w:sz w:val="16"/>
          <w:szCs w:val="16"/>
        </w:rPr>
        <w:t xml:space="preserve">, </w:t>
      </w:r>
      <w:r w:rsidRPr="00BC4A03">
        <w:rPr>
          <w:sz w:val="16"/>
          <w:szCs w:val="16"/>
        </w:rPr>
        <w:t>Fond evropské pomoci nejchudším osobám (Fund for European Aid to the Most Deprived</w:t>
      </w:r>
      <w:r>
        <w:rPr>
          <w:sz w:val="16"/>
          <w:szCs w:val="16"/>
        </w:rPr>
        <w:t xml:space="preserve"> - </w:t>
      </w:r>
      <w:r w:rsidRPr="00BC4A03">
        <w:rPr>
          <w:sz w:val="16"/>
          <w:szCs w:val="16"/>
        </w:rPr>
        <w:t>FEAD</w:t>
      </w:r>
      <w:r w:rsidRPr="2D57A07C">
        <w:rPr>
          <w:sz w:val="16"/>
          <w:szCs w:val="16"/>
        </w:rPr>
        <w:t xml:space="preserve">, </w:t>
      </w:r>
      <w:r w:rsidRPr="001954AC">
        <w:rPr>
          <w:sz w:val="16"/>
          <w:szCs w:val="16"/>
        </w:rPr>
        <w:t>Iniciativa na podporu zaměstnanosti mladých lidí (</w:t>
      </w:r>
      <w:r w:rsidRPr="00590FD1">
        <w:rPr>
          <w:bCs/>
          <w:sz w:val="16"/>
          <w:szCs w:val="16"/>
        </w:rPr>
        <w:t>Youth Employment Initiative</w:t>
      </w:r>
      <w:r w:rsidRPr="001954AC">
        <w:rPr>
          <w:sz w:val="16"/>
          <w:szCs w:val="16"/>
        </w:rPr>
        <w:t xml:space="preserve"> - YEI)</w:t>
      </w:r>
      <w:r w:rsidRPr="2D57A07C">
        <w:rPr>
          <w:sz w:val="16"/>
          <w:szCs w:val="16"/>
        </w:rPr>
        <w:t xml:space="preserve"> a </w:t>
      </w:r>
      <w:r>
        <w:rPr>
          <w:sz w:val="16"/>
          <w:szCs w:val="16"/>
        </w:rPr>
        <w:t>Program na podporu zdraví</w:t>
      </w:r>
      <w:r w:rsidRPr="2D57A07C">
        <w:rPr>
          <w:sz w:val="16"/>
          <w:szCs w:val="16"/>
        </w:rPr>
        <w:t xml:space="preserve"> </w:t>
      </w:r>
      <w:r>
        <w:rPr>
          <w:sz w:val="16"/>
          <w:szCs w:val="16"/>
        </w:rPr>
        <w:t>se spojí spolu se stávajícím ESF pod</w:t>
      </w:r>
      <w:r w:rsidRPr="2D57A07C">
        <w:rPr>
          <w:sz w:val="16"/>
          <w:szCs w:val="16"/>
        </w:rPr>
        <w:t xml:space="preserve"> jeden zastřešující program – </w:t>
      </w:r>
      <w:r>
        <w:rPr>
          <w:sz w:val="16"/>
          <w:szCs w:val="16"/>
        </w:rPr>
        <w:t>Evropský sociální fond</w:t>
      </w:r>
      <w:r w:rsidRPr="2D57A07C">
        <w:rPr>
          <w:sz w:val="16"/>
          <w:szCs w:val="16"/>
        </w:rPr>
        <w:t xml:space="preserve">+ </w:t>
      </w:r>
      <w:r>
        <w:rPr>
          <w:sz w:val="16"/>
          <w:szCs w:val="16"/>
        </w:rPr>
        <w:t>(</w:t>
      </w:r>
      <w:r w:rsidRPr="00A77D29">
        <w:rPr>
          <w:sz w:val="16"/>
          <w:szCs w:val="16"/>
        </w:rPr>
        <w:t>European Social Fund+</w:t>
      </w:r>
      <w:r>
        <w:rPr>
          <w:sz w:val="16"/>
          <w:szCs w:val="16"/>
        </w:rPr>
        <w:t>)</w:t>
      </w:r>
      <w:r w:rsidRPr="2D57A07C">
        <w:rPr>
          <w:sz w:val="16"/>
          <w:szCs w:val="16"/>
        </w:rPr>
        <w:t xml:space="preserve"> s celkovým rozpočtem 101,2 mld. EUR. S</w:t>
      </w:r>
      <w:r w:rsidRPr="2D57A07C">
        <w:rPr>
          <w:rFonts w:eastAsia="Arial"/>
          <w:sz w:val="16"/>
          <w:szCs w:val="16"/>
        </w:rPr>
        <w:t xml:space="preserve"> ohledem na stávající </w:t>
      </w:r>
      <w:r w:rsidRPr="00590FD1">
        <w:rPr>
          <w:rFonts w:eastAsia="Arial"/>
          <w:sz w:val="16"/>
          <w:szCs w:val="16"/>
        </w:rPr>
        <w:t>socioekonomickou</w:t>
      </w:r>
      <w:r w:rsidRPr="00F33DAF">
        <w:rPr>
          <w:rFonts w:eastAsia="Arial"/>
          <w:sz w:val="16"/>
          <w:szCs w:val="16"/>
        </w:rPr>
        <w:t xml:space="preserve"> </w:t>
      </w:r>
      <w:r w:rsidRPr="2D57A07C">
        <w:rPr>
          <w:rFonts w:eastAsia="Arial"/>
          <w:sz w:val="16"/>
          <w:szCs w:val="16"/>
        </w:rPr>
        <w:t xml:space="preserve">situaci v ČR </w:t>
      </w:r>
      <w:r>
        <w:rPr>
          <w:rFonts w:eastAsia="Arial"/>
          <w:sz w:val="16"/>
          <w:szCs w:val="16"/>
        </w:rPr>
        <w:t>se zde využití YEI spíše neočekává</w:t>
      </w:r>
      <w:r w:rsidRPr="2D57A07C">
        <w:rPr>
          <w:rFonts w:eastAsia="Arial"/>
          <w:sz w:val="16"/>
          <w:szCs w:val="16"/>
        </w:rPr>
        <w:t>.</w:t>
      </w:r>
    </w:p>
  </w:footnote>
  <w:footnote w:id="11">
    <w:p w:rsidR="00447655" w:rsidRDefault="00447655" w:rsidP="00771CA3">
      <w:pPr>
        <w:pStyle w:val="Textpoznpodarou"/>
      </w:pPr>
      <w:r>
        <w:rPr>
          <w:rStyle w:val="Znakapoznpodarou"/>
        </w:rPr>
        <w:footnoteRef/>
      </w:r>
      <w:r>
        <w:t xml:space="preserve"> Rentabilnost zde nemusí být pojímána jen jako klasická ekonomická návratnost projektu příjemce. Zejména pro tzv. „high-end“ FN typu investičních platforem je návratnost vhodné posuzovat z makroekonomické úrovně. </w:t>
      </w:r>
    </w:p>
  </w:footnote>
  <w:footnote w:id="12">
    <w:p w:rsidR="00447655" w:rsidRDefault="00447655" w:rsidP="00771CA3">
      <w:pPr>
        <w:pStyle w:val="Textpoznpodarou"/>
      </w:pPr>
      <w:r>
        <w:rPr>
          <w:rStyle w:val="Znakapoznpodarou"/>
        </w:rPr>
        <w:footnoteRef/>
      </w:r>
      <w:r>
        <w:t xml:space="preserve"> Capital rebate </w:t>
      </w:r>
      <w:r w:rsidRPr="00780865">
        <w:t>umožn</w:t>
      </w:r>
      <w:r>
        <w:t>í</w:t>
      </w:r>
      <w:r w:rsidRPr="00780865">
        <w:t xml:space="preserve"> po dosažení stanoveného cíle (například určitého procenta energetických úspor) získat část </w:t>
      </w:r>
      <w:r>
        <w:t xml:space="preserve">návratné </w:t>
      </w:r>
      <w:r w:rsidRPr="00780865">
        <w:t>podpory nevratnou formou</w:t>
      </w:r>
      <w:r>
        <w:t>, např. formou odpuštění splátek</w:t>
      </w:r>
      <w:r w:rsidRPr="00780865">
        <w:t>.</w:t>
      </w:r>
    </w:p>
  </w:footnote>
  <w:footnote w:id="13">
    <w:p w:rsidR="00447655" w:rsidRDefault="00447655" w:rsidP="00771CA3">
      <w:pPr>
        <w:pStyle w:val="Textpoznpodarou"/>
      </w:pPr>
      <w:r>
        <w:rPr>
          <w:rStyle w:val="Znakapoznpodarou"/>
        </w:rPr>
        <w:footnoteRef/>
      </w:r>
      <w:r>
        <w:t xml:space="preserve"> Případně využít tzv. „high-end“ FN na principu investičních platforem</w:t>
      </w:r>
    </w:p>
  </w:footnote>
  <w:footnote w:id="14">
    <w:p w:rsidR="00447655" w:rsidRDefault="00447655">
      <w:pPr>
        <w:pStyle w:val="Textpoznpodarou"/>
      </w:pPr>
      <w:r>
        <w:rPr>
          <w:rStyle w:val="Znakapoznpodarou"/>
        </w:rPr>
        <w:footnoteRef/>
      </w:r>
      <w:r>
        <w:t xml:space="preserve"> Zájem o finanční nástroje v oblasti vzdělávání a výzkumu jsou značně omezeny, a proto v této chvíli probíhá průzkum trhu u potencionálních poskytovatelů. Na jeho základě bude rozhodnuto o dalším postupu.</w:t>
      </w:r>
    </w:p>
  </w:footnote>
  <w:footnote w:id="15">
    <w:p w:rsidR="00447655" w:rsidRDefault="00447655">
      <w:pPr>
        <w:pStyle w:val="Textpoznpodarou"/>
      </w:pPr>
      <w:r>
        <w:rPr>
          <w:rStyle w:val="Znakapoznpodarou"/>
        </w:rPr>
        <w:footnoteRef/>
      </w:r>
      <w:r>
        <w:t xml:space="preserve"> Zájem o finanční nástroje v oblasti vzdělávání a výzkumu jsou značně omezeny, a proto v této chvíli probíhá průzkum trhu u potencionálních poskytovatelů. Na jeho základě bude rozhodnuto o dalším postupu.</w:t>
      </w:r>
    </w:p>
  </w:footnote>
  <w:footnote w:id="16">
    <w:p w:rsidR="00447655" w:rsidRDefault="00447655" w:rsidP="00771CA3">
      <w:pPr>
        <w:pStyle w:val="Textpoznpodarou"/>
      </w:pPr>
      <w:r>
        <w:rPr>
          <w:rStyle w:val="Znakapoznpodarou"/>
        </w:rPr>
        <w:footnoteRef/>
      </w:r>
      <w:r>
        <w:t xml:space="preserve"> Případně lze využít tzv. „high-end“ FN na principu investičních platforem</w:t>
      </w:r>
    </w:p>
  </w:footnote>
  <w:footnote w:id="17">
    <w:p w:rsidR="00447655" w:rsidRPr="00786FD4" w:rsidRDefault="00447655" w:rsidP="00771CA3">
      <w:pPr>
        <w:pStyle w:val="Textpoznpodarou"/>
        <w:rPr>
          <w:szCs w:val="18"/>
        </w:rPr>
      </w:pPr>
      <w:r w:rsidRPr="00786FD4">
        <w:rPr>
          <w:rStyle w:val="Znakapoznpodarou"/>
          <w:szCs w:val="18"/>
        </w:rPr>
        <w:footnoteRef/>
      </w:r>
      <w:r w:rsidRPr="00786FD4">
        <w:rPr>
          <w:szCs w:val="18"/>
        </w:rPr>
        <w:t xml:space="preserve"> </w:t>
      </w:r>
      <w:r w:rsidRPr="000374EA">
        <w:rPr>
          <w:szCs w:val="18"/>
        </w:rPr>
        <w:t>Více k jednotlivým zdůvodněním k využití FN a také jejich konkrétního typu viz evaluační studie „Posouzení oblastí vhodných pro návratnou formu podpory v období 2020+“ (MMR-NOK/ Deloitte Advisory s.r.o.)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655" w:rsidRDefault="00447655">
    <w:pPr>
      <w:pStyle w:val="Zhlav"/>
    </w:pPr>
    <w:r>
      <w:t xml:space="preserve">     Schéma: Vazba specifických cílů NKR na jednotlivé operační programy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024"/>
      <w:gridCol w:w="3024"/>
      <w:gridCol w:w="3024"/>
    </w:tblGrid>
    <w:tr w:rsidR="00447655" w:rsidTr="54923E25">
      <w:tc>
        <w:tcPr>
          <w:tcW w:w="3024" w:type="dxa"/>
        </w:tcPr>
        <w:p w:rsidR="00447655" w:rsidRDefault="00447655" w:rsidP="54923E25">
          <w:pPr>
            <w:pStyle w:val="Zhlav"/>
            <w:ind w:left="-115"/>
            <w:jc w:val="left"/>
          </w:pPr>
        </w:p>
      </w:tc>
      <w:tc>
        <w:tcPr>
          <w:tcW w:w="3024" w:type="dxa"/>
        </w:tcPr>
        <w:p w:rsidR="00447655" w:rsidRDefault="00447655" w:rsidP="54923E25">
          <w:pPr>
            <w:pStyle w:val="Zhlav"/>
            <w:jc w:val="center"/>
          </w:pPr>
        </w:p>
      </w:tc>
      <w:tc>
        <w:tcPr>
          <w:tcW w:w="3024" w:type="dxa"/>
        </w:tcPr>
        <w:p w:rsidR="00447655" w:rsidRDefault="00447655" w:rsidP="54923E25">
          <w:pPr>
            <w:pStyle w:val="Zhlav"/>
            <w:ind w:right="-115"/>
            <w:jc w:val="right"/>
          </w:pPr>
        </w:p>
      </w:tc>
    </w:tr>
  </w:tbl>
  <w:p w:rsidR="00447655" w:rsidRDefault="00447655" w:rsidP="54923E2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EB4"/>
    <w:multiLevelType w:val="hybridMultilevel"/>
    <w:tmpl w:val="65BE8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674A37"/>
    <w:multiLevelType w:val="multilevel"/>
    <w:tmpl w:val="0FCC4702"/>
    <w:lvl w:ilvl="0">
      <w:start w:val="1"/>
      <w:numFmt w:val="decimal"/>
      <w:lvlText w:val="%1."/>
      <w:lvlJc w:val="left"/>
      <w:pPr>
        <w:ind w:left="360" w:hanging="360"/>
      </w:pPr>
      <w:rPr>
        <w:b/>
        <w:color w:val="002060"/>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E0196A"/>
    <w:multiLevelType w:val="multilevel"/>
    <w:tmpl w:val="B0AE7694"/>
    <w:lvl w:ilvl="0">
      <w:start w:val="1"/>
      <w:numFmt w:val="decimal"/>
      <w:pStyle w:val="Nadpis1"/>
      <w:lvlText w:val="%1."/>
      <w:lvlJc w:val="left"/>
      <w:pPr>
        <w:ind w:left="644" w:hanging="360"/>
      </w:pPr>
      <w:rPr>
        <w:rFonts w:cs="Times New Roman"/>
      </w:rPr>
    </w:lvl>
    <w:lvl w:ilvl="1">
      <w:start w:val="1"/>
      <w:numFmt w:val="decimal"/>
      <w:pStyle w:val="Nadpis2"/>
      <w:lvlText w:val="%1.%2."/>
      <w:lvlJc w:val="left"/>
      <w:pPr>
        <w:ind w:left="999" w:hanging="432"/>
      </w:pPr>
      <w:rPr>
        <w:rFonts w:cs="Times New Roman"/>
        <w:b/>
        <w:bCs w:val="0"/>
        <w:i w:val="0"/>
        <w:iCs w:val="0"/>
        <w:caps w:val="0"/>
        <w:smallCaps w:val="0"/>
        <w:strike w:val="0"/>
        <w:dstrike w:val="0"/>
        <w:vanish w:val="0"/>
        <w:spacing w:val="0"/>
        <w:kern w:val="0"/>
        <w:position w:val="0"/>
        <w:sz w:val="28"/>
        <w:szCs w:val="28"/>
        <w:u w:val="none"/>
        <w:effect w:val="none"/>
        <w:vertAlign w:val="baseline"/>
      </w:rPr>
    </w:lvl>
    <w:lvl w:ilvl="2">
      <w:start w:val="1"/>
      <w:numFmt w:val="decimal"/>
      <w:pStyle w:val="Nadpis3"/>
      <w:lvlText w:val="%1.%2.%3."/>
      <w:lvlJc w:val="left"/>
      <w:pPr>
        <w:ind w:left="788" w:hanging="504"/>
      </w:pPr>
      <w:rPr>
        <w:rFonts w:cs="Times New Roman"/>
        <w:b/>
        <w:bCs w:val="0"/>
        <w:i w:val="0"/>
        <w:iCs w:val="0"/>
        <w:caps w:val="0"/>
        <w:smallCaps w:val="0"/>
        <w:strike w:val="0"/>
        <w:dstrike w:val="0"/>
        <w:vanish w:val="0"/>
        <w:spacing w:val="0"/>
        <w:kern w:val="0"/>
        <w:position w:val="0"/>
        <w:u w:val="none"/>
        <w:effect w:val="none"/>
        <w:vertAlign w:val="baseline"/>
      </w:rPr>
    </w:lvl>
    <w:lvl w:ilvl="3">
      <w:start w:val="1"/>
      <w:numFmt w:val="decimal"/>
      <w:pStyle w:val="Nadpis4"/>
      <w:lvlText w:val="%1.%2.%3.%4."/>
      <w:lvlJc w:val="left"/>
      <w:pPr>
        <w:ind w:left="64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4139ED"/>
    <w:multiLevelType w:val="multilevel"/>
    <w:tmpl w:val="E1029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0062F7"/>
    <w:multiLevelType w:val="hybridMultilevel"/>
    <w:tmpl w:val="E124C0B2"/>
    <w:lvl w:ilvl="0" w:tplc="04050001">
      <w:start w:val="1"/>
      <w:numFmt w:val="bullet"/>
      <w:lvlText w:val=""/>
      <w:lvlJc w:val="left"/>
      <w:pPr>
        <w:ind w:left="742" w:hanging="360"/>
      </w:pPr>
      <w:rPr>
        <w:rFonts w:ascii="Symbol" w:hAnsi="Symbol"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5">
    <w:nsid w:val="18A106AD"/>
    <w:multiLevelType w:val="hybridMultilevel"/>
    <w:tmpl w:val="A1744F24"/>
    <w:lvl w:ilvl="0" w:tplc="8848CA6C">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1C7868B5"/>
    <w:multiLevelType w:val="hybridMultilevel"/>
    <w:tmpl w:val="06AC5A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20767F56"/>
    <w:multiLevelType w:val="multilevel"/>
    <w:tmpl w:val="6942A6BE"/>
    <w:lvl w:ilvl="0">
      <w:start w:val="1"/>
      <w:numFmt w:val="decimal"/>
      <w:pStyle w:val="List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47B4772"/>
    <w:multiLevelType w:val="hybridMultilevel"/>
    <w:tmpl w:val="B6B26BFC"/>
    <w:lvl w:ilvl="0" w:tplc="F8B85700">
      <w:start w:val="1"/>
      <w:numFmt w:val="bullet"/>
      <w:pStyle w:val="Text-podoblasti"/>
      <w:lvlText w:val="-"/>
      <w:lvlJc w:val="left"/>
      <w:pPr>
        <w:tabs>
          <w:tab w:val="num" w:pos="720"/>
        </w:tabs>
        <w:ind w:left="720" w:hanging="360"/>
      </w:pPr>
      <w:rPr>
        <w:rFonts w:ascii="Times New Roman" w:hAnsi="Times New Roman" w:cs="Times New Roman" w:hint="default"/>
      </w:rPr>
    </w:lvl>
    <w:lvl w:ilvl="1" w:tplc="6B2AAD8C">
      <w:start w:val="1"/>
      <w:numFmt w:val="bullet"/>
      <w:lvlText w:val="•"/>
      <w:lvlJc w:val="left"/>
      <w:pPr>
        <w:tabs>
          <w:tab w:val="num" w:pos="1440"/>
        </w:tabs>
        <w:ind w:left="1440" w:hanging="360"/>
      </w:pPr>
      <w:rPr>
        <w:rFonts w:ascii="Times New Roman" w:hAnsi="Times New Roman" w:hint="default"/>
      </w:rPr>
    </w:lvl>
    <w:lvl w:ilvl="2" w:tplc="75883DA8">
      <w:start w:val="1"/>
      <w:numFmt w:val="bullet"/>
      <w:lvlText w:val="•"/>
      <w:lvlJc w:val="left"/>
      <w:pPr>
        <w:tabs>
          <w:tab w:val="num" w:pos="2160"/>
        </w:tabs>
        <w:ind w:left="2160" w:hanging="360"/>
      </w:pPr>
      <w:rPr>
        <w:rFonts w:ascii="Times New Roman" w:hAnsi="Times New Roman" w:hint="default"/>
      </w:rPr>
    </w:lvl>
    <w:lvl w:ilvl="3" w:tplc="C952D1E2" w:tentative="1">
      <w:start w:val="1"/>
      <w:numFmt w:val="bullet"/>
      <w:lvlText w:val="•"/>
      <w:lvlJc w:val="left"/>
      <w:pPr>
        <w:tabs>
          <w:tab w:val="num" w:pos="2880"/>
        </w:tabs>
        <w:ind w:left="2880" w:hanging="360"/>
      </w:pPr>
      <w:rPr>
        <w:rFonts w:ascii="Times New Roman" w:hAnsi="Times New Roman" w:hint="default"/>
      </w:rPr>
    </w:lvl>
    <w:lvl w:ilvl="4" w:tplc="4522AE26" w:tentative="1">
      <w:start w:val="1"/>
      <w:numFmt w:val="bullet"/>
      <w:lvlText w:val="•"/>
      <w:lvlJc w:val="left"/>
      <w:pPr>
        <w:tabs>
          <w:tab w:val="num" w:pos="3600"/>
        </w:tabs>
        <w:ind w:left="3600" w:hanging="360"/>
      </w:pPr>
      <w:rPr>
        <w:rFonts w:ascii="Times New Roman" w:hAnsi="Times New Roman" w:hint="default"/>
      </w:rPr>
    </w:lvl>
    <w:lvl w:ilvl="5" w:tplc="6F78E0EA" w:tentative="1">
      <w:start w:val="1"/>
      <w:numFmt w:val="bullet"/>
      <w:lvlText w:val="•"/>
      <w:lvlJc w:val="left"/>
      <w:pPr>
        <w:tabs>
          <w:tab w:val="num" w:pos="4320"/>
        </w:tabs>
        <w:ind w:left="4320" w:hanging="360"/>
      </w:pPr>
      <w:rPr>
        <w:rFonts w:ascii="Times New Roman" w:hAnsi="Times New Roman" w:hint="default"/>
      </w:rPr>
    </w:lvl>
    <w:lvl w:ilvl="6" w:tplc="257A0254" w:tentative="1">
      <w:start w:val="1"/>
      <w:numFmt w:val="bullet"/>
      <w:lvlText w:val="•"/>
      <w:lvlJc w:val="left"/>
      <w:pPr>
        <w:tabs>
          <w:tab w:val="num" w:pos="5040"/>
        </w:tabs>
        <w:ind w:left="5040" w:hanging="360"/>
      </w:pPr>
      <w:rPr>
        <w:rFonts w:ascii="Times New Roman" w:hAnsi="Times New Roman" w:hint="default"/>
      </w:rPr>
    </w:lvl>
    <w:lvl w:ilvl="7" w:tplc="AA2C0F00" w:tentative="1">
      <w:start w:val="1"/>
      <w:numFmt w:val="bullet"/>
      <w:lvlText w:val="•"/>
      <w:lvlJc w:val="left"/>
      <w:pPr>
        <w:tabs>
          <w:tab w:val="num" w:pos="5760"/>
        </w:tabs>
        <w:ind w:left="5760" w:hanging="360"/>
      </w:pPr>
      <w:rPr>
        <w:rFonts w:ascii="Times New Roman" w:hAnsi="Times New Roman" w:hint="default"/>
      </w:rPr>
    </w:lvl>
    <w:lvl w:ilvl="8" w:tplc="B2EEE23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B620E7C"/>
    <w:multiLevelType w:val="hybridMultilevel"/>
    <w:tmpl w:val="1CA071C8"/>
    <w:lvl w:ilvl="0" w:tplc="78F6ED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1083041"/>
    <w:multiLevelType w:val="hybridMultilevel"/>
    <w:tmpl w:val="CB96C034"/>
    <w:lvl w:ilvl="0" w:tplc="8BBE9D34">
      <w:start w:val="1"/>
      <w:numFmt w:val="lowerLetter"/>
      <w:pStyle w:val="Seznam"/>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9663368"/>
    <w:multiLevelType w:val="hybridMultilevel"/>
    <w:tmpl w:val="F7668596"/>
    <w:lvl w:ilvl="0" w:tplc="FFFFFFFF">
      <w:start w:val="1"/>
      <w:numFmt w:val="bullet"/>
      <w:lvlText w:val=""/>
      <w:lvlJc w:val="left"/>
      <w:pPr>
        <w:ind w:left="360" w:hanging="360"/>
      </w:pPr>
      <w:rPr>
        <w:rFonts w:ascii="Symbol" w:hAnsi="Symbol" w:hint="default"/>
      </w:rPr>
    </w:lvl>
    <w:lvl w:ilvl="1" w:tplc="04050019">
      <w:start w:val="1"/>
      <w:numFmt w:val="lowerLetter"/>
      <w:lvlText w:val="%2."/>
      <w:lvlJc w:val="left"/>
      <w:pPr>
        <w:ind w:left="1221" w:hanging="360"/>
      </w:pPr>
      <w:rPr>
        <w:rFonts w:cs="Times New Roman"/>
      </w:rPr>
    </w:lvl>
    <w:lvl w:ilvl="2" w:tplc="60343752">
      <w:start w:val="1"/>
      <w:numFmt w:val="decimal"/>
      <w:lvlText w:val="%3."/>
      <w:lvlJc w:val="left"/>
      <w:pPr>
        <w:ind w:left="2469" w:hanging="708"/>
      </w:pPr>
      <w:rPr>
        <w:rFonts w:hint="default"/>
      </w:rPr>
    </w:lvl>
    <w:lvl w:ilvl="3" w:tplc="0405000F" w:tentative="1">
      <w:start w:val="1"/>
      <w:numFmt w:val="decimal"/>
      <w:lvlText w:val="%4."/>
      <w:lvlJc w:val="left"/>
      <w:pPr>
        <w:ind w:left="2661" w:hanging="360"/>
      </w:pPr>
      <w:rPr>
        <w:rFonts w:cs="Times New Roman"/>
      </w:rPr>
    </w:lvl>
    <w:lvl w:ilvl="4" w:tplc="04050019" w:tentative="1">
      <w:start w:val="1"/>
      <w:numFmt w:val="lowerLetter"/>
      <w:lvlText w:val="%5."/>
      <w:lvlJc w:val="left"/>
      <w:pPr>
        <w:ind w:left="3381" w:hanging="360"/>
      </w:pPr>
      <w:rPr>
        <w:rFonts w:cs="Times New Roman"/>
      </w:rPr>
    </w:lvl>
    <w:lvl w:ilvl="5" w:tplc="0405001B" w:tentative="1">
      <w:start w:val="1"/>
      <w:numFmt w:val="lowerRoman"/>
      <w:lvlText w:val="%6."/>
      <w:lvlJc w:val="right"/>
      <w:pPr>
        <w:ind w:left="4101" w:hanging="180"/>
      </w:pPr>
      <w:rPr>
        <w:rFonts w:cs="Times New Roman"/>
      </w:rPr>
    </w:lvl>
    <w:lvl w:ilvl="6" w:tplc="0405000F" w:tentative="1">
      <w:start w:val="1"/>
      <w:numFmt w:val="decimal"/>
      <w:lvlText w:val="%7."/>
      <w:lvlJc w:val="left"/>
      <w:pPr>
        <w:ind w:left="4821" w:hanging="360"/>
      </w:pPr>
      <w:rPr>
        <w:rFonts w:cs="Times New Roman"/>
      </w:rPr>
    </w:lvl>
    <w:lvl w:ilvl="7" w:tplc="04050019" w:tentative="1">
      <w:start w:val="1"/>
      <w:numFmt w:val="lowerLetter"/>
      <w:lvlText w:val="%8."/>
      <w:lvlJc w:val="left"/>
      <w:pPr>
        <w:ind w:left="5541" w:hanging="360"/>
      </w:pPr>
      <w:rPr>
        <w:rFonts w:cs="Times New Roman"/>
      </w:rPr>
    </w:lvl>
    <w:lvl w:ilvl="8" w:tplc="0405001B" w:tentative="1">
      <w:start w:val="1"/>
      <w:numFmt w:val="lowerRoman"/>
      <w:lvlText w:val="%9."/>
      <w:lvlJc w:val="right"/>
      <w:pPr>
        <w:ind w:left="6261" w:hanging="180"/>
      </w:pPr>
      <w:rPr>
        <w:rFonts w:cs="Times New Roman"/>
      </w:rPr>
    </w:lvl>
  </w:abstractNum>
  <w:abstractNum w:abstractNumId="13">
    <w:nsid w:val="39FB0498"/>
    <w:multiLevelType w:val="hybridMultilevel"/>
    <w:tmpl w:val="F8102DA6"/>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8D7F80"/>
    <w:multiLevelType w:val="hybridMultilevel"/>
    <w:tmpl w:val="3ACC0C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5A6384A"/>
    <w:multiLevelType w:val="multilevel"/>
    <w:tmpl w:val="370A0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A085786"/>
    <w:multiLevelType w:val="hybridMultilevel"/>
    <w:tmpl w:val="DAE87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1246E6"/>
    <w:multiLevelType w:val="hybridMultilevel"/>
    <w:tmpl w:val="5554E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DF32757"/>
    <w:multiLevelType w:val="hybridMultilevel"/>
    <w:tmpl w:val="EEE2D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FDB47D6"/>
    <w:multiLevelType w:val="hybridMultilevel"/>
    <w:tmpl w:val="58482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800F5E"/>
    <w:multiLevelType w:val="hybridMultilevel"/>
    <w:tmpl w:val="CF1E3344"/>
    <w:lvl w:ilvl="0" w:tplc="4470DCFC">
      <w:start w:val="1"/>
      <w:numFmt w:val="bullet"/>
      <w:pStyle w:val="NEW"/>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18D669A"/>
    <w:multiLevelType w:val="hybridMultilevel"/>
    <w:tmpl w:val="D35053B6"/>
    <w:lvl w:ilvl="0" w:tplc="04050001">
      <w:start w:val="1"/>
      <w:numFmt w:val="bullet"/>
      <w:lvlText w:val=""/>
      <w:lvlJc w:val="left"/>
      <w:pPr>
        <w:ind w:left="720" w:hanging="360"/>
      </w:pPr>
      <w:rPr>
        <w:rFonts w:ascii="Symbol" w:hAnsi="Symbol" w:hint="default"/>
      </w:rPr>
    </w:lvl>
    <w:lvl w:ilvl="1" w:tplc="BCDE1384">
      <w:numFmt w:val="bullet"/>
      <w:lvlText w:val="•"/>
      <w:lvlJc w:val="left"/>
      <w:pPr>
        <w:ind w:left="1785" w:hanging="705"/>
      </w:pPr>
      <w:rPr>
        <w:rFonts w:ascii="Arial" w:eastAsia="Arial"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D6548F2"/>
    <w:multiLevelType w:val="hybridMultilevel"/>
    <w:tmpl w:val="3BD48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693E9B"/>
    <w:multiLevelType w:val="hybridMultilevel"/>
    <w:tmpl w:val="DEA01E52"/>
    <w:lvl w:ilvl="0" w:tplc="04050001">
      <w:start w:val="1"/>
      <w:numFmt w:val="bullet"/>
      <w:lvlText w:val=""/>
      <w:lvlJc w:val="left"/>
      <w:pPr>
        <w:ind w:left="742" w:hanging="360"/>
      </w:pPr>
      <w:rPr>
        <w:rFonts w:ascii="Symbol" w:hAnsi="Symbol" w:hint="default"/>
      </w:rPr>
    </w:lvl>
    <w:lvl w:ilvl="1" w:tplc="04050003" w:tentative="1">
      <w:start w:val="1"/>
      <w:numFmt w:val="bullet"/>
      <w:lvlText w:val="o"/>
      <w:lvlJc w:val="left"/>
      <w:pPr>
        <w:ind w:left="1462" w:hanging="360"/>
      </w:pPr>
      <w:rPr>
        <w:rFonts w:ascii="Courier New" w:hAnsi="Courier New" w:cs="Courier New" w:hint="default"/>
      </w:rPr>
    </w:lvl>
    <w:lvl w:ilvl="2" w:tplc="04050005" w:tentative="1">
      <w:start w:val="1"/>
      <w:numFmt w:val="bullet"/>
      <w:lvlText w:val=""/>
      <w:lvlJc w:val="left"/>
      <w:pPr>
        <w:ind w:left="2182" w:hanging="360"/>
      </w:pPr>
      <w:rPr>
        <w:rFonts w:ascii="Wingdings" w:hAnsi="Wingdings" w:hint="default"/>
      </w:rPr>
    </w:lvl>
    <w:lvl w:ilvl="3" w:tplc="04050001" w:tentative="1">
      <w:start w:val="1"/>
      <w:numFmt w:val="bullet"/>
      <w:lvlText w:val=""/>
      <w:lvlJc w:val="left"/>
      <w:pPr>
        <w:ind w:left="2902" w:hanging="360"/>
      </w:pPr>
      <w:rPr>
        <w:rFonts w:ascii="Symbol" w:hAnsi="Symbol" w:hint="default"/>
      </w:rPr>
    </w:lvl>
    <w:lvl w:ilvl="4" w:tplc="04050003" w:tentative="1">
      <w:start w:val="1"/>
      <w:numFmt w:val="bullet"/>
      <w:lvlText w:val="o"/>
      <w:lvlJc w:val="left"/>
      <w:pPr>
        <w:ind w:left="3622" w:hanging="360"/>
      </w:pPr>
      <w:rPr>
        <w:rFonts w:ascii="Courier New" w:hAnsi="Courier New" w:cs="Courier New" w:hint="default"/>
      </w:rPr>
    </w:lvl>
    <w:lvl w:ilvl="5" w:tplc="04050005" w:tentative="1">
      <w:start w:val="1"/>
      <w:numFmt w:val="bullet"/>
      <w:lvlText w:val=""/>
      <w:lvlJc w:val="left"/>
      <w:pPr>
        <w:ind w:left="4342" w:hanging="360"/>
      </w:pPr>
      <w:rPr>
        <w:rFonts w:ascii="Wingdings" w:hAnsi="Wingdings" w:hint="default"/>
      </w:rPr>
    </w:lvl>
    <w:lvl w:ilvl="6" w:tplc="04050001" w:tentative="1">
      <w:start w:val="1"/>
      <w:numFmt w:val="bullet"/>
      <w:lvlText w:val=""/>
      <w:lvlJc w:val="left"/>
      <w:pPr>
        <w:ind w:left="5062" w:hanging="360"/>
      </w:pPr>
      <w:rPr>
        <w:rFonts w:ascii="Symbol" w:hAnsi="Symbol" w:hint="default"/>
      </w:rPr>
    </w:lvl>
    <w:lvl w:ilvl="7" w:tplc="04050003" w:tentative="1">
      <w:start w:val="1"/>
      <w:numFmt w:val="bullet"/>
      <w:lvlText w:val="o"/>
      <w:lvlJc w:val="left"/>
      <w:pPr>
        <w:ind w:left="5782" w:hanging="360"/>
      </w:pPr>
      <w:rPr>
        <w:rFonts w:ascii="Courier New" w:hAnsi="Courier New" w:cs="Courier New" w:hint="default"/>
      </w:rPr>
    </w:lvl>
    <w:lvl w:ilvl="8" w:tplc="04050005" w:tentative="1">
      <w:start w:val="1"/>
      <w:numFmt w:val="bullet"/>
      <w:lvlText w:val=""/>
      <w:lvlJc w:val="left"/>
      <w:pPr>
        <w:ind w:left="6502" w:hanging="360"/>
      </w:pPr>
      <w:rPr>
        <w:rFonts w:ascii="Wingdings" w:hAnsi="Wingdings" w:hint="default"/>
      </w:rPr>
    </w:lvl>
  </w:abstractNum>
  <w:abstractNum w:abstractNumId="24">
    <w:nsid w:val="65890876"/>
    <w:multiLevelType w:val="hybridMultilevel"/>
    <w:tmpl w:val="38EC002E"/>
    <w:lvl w:ilvl="0" w:tplc="FFFFFFFF">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26">
    <w:nsid w:val="692E5C09"/>
    <w:multiLevelType w:val="hybridMultilevel"/>
    <w:tmpl w:val="324280E6"/>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EBD25E3"/>
    <w:multiLevelType w:val="multilevel"/>
    <w:tmpl w:val="471EB360"/>
    <w:styleLink w:val="List1"/>
    <w:lvl w:ilvl="0">
      <w:start w:val="1"/>
      <w:numFmt w:val="decimal"/>
      <w:lvlText w:val="%1)"/>
      <w:lvlJc w:val="left"/>
      <w:pPr>
        <w:tabs>
          <w:tab w:val="num" w:pos="425"/>
        </w:tabs>
        <w:ind w:left="425" w:hanging="357"/>
      </w:pPr>
      <w:rPr>
        <w:rFonts w:cs="Times New Roman"/>
        <w:position w:val="0"/>
        <w:sz w:val="22"/>
        <w:szCs w:val="22"/>
      </w:rPr>
    </w:lvl>
    <w:lvl w:ilvl="1">
      <w:start w:val="1"/>
      <w:numFmt w:val="bullet"/>
      <w:lvlText w:val="•"/>
      <w:lvlJc w:val="left"/>
      <w:pPr>
        <w:tabs>
          <w:tab w:val="num" w:pos="1410"/>
        </w:tabs>
        <w:ind w:left="1410" w:hanging="330"/>
      </w:pPr>
      <w:rPr>
        <w:position w:val="0"/>
        <w:sz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28">
    <w:nsid w:val="713C516B"/>
    <w:multiLevelType w:val="hybridMultilevel"/>
    <w:tmpl w:val="7946D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32C2437"/>
    <w:multiLevelType w:val="hybridMultilevel"/>
    <w:tmpl w:val="29AC003E"/>
    <w:lvl w:ilvl="0" w:tplc="0405000F">
      <w:start w:val="1"/>
      <w:numFmt w:val="decimal"/>
      <w:lvlText w:val="%1."/>
      <w:lvlJc w:val="left"/>
      <w:pPr>
        <w:ind w:left="2481" w:hanging="360"/>
      </w:pPr>
    </w:lvl>
    <w:lvl w:ilvl="1" w:tplc="04050019" w:tentative="1">
      <w:start w:val="1"/>
      <w:numFmt w:val="lowerLetter"/>
      <w:lvlText w:val="%2."/>
      <w:lvlJc w:val="left"/>
      <w:pPr>
        <w:ind w:left="3201" w:hanging="360"/>
      </w:pPr>
    </w:lvl>
    <w:lvl w:ilvl="2" w:tplc="0405001B" w:tentative="1">
      <w:start w:val="1"/>
      <w:numFmt w:val="lowerRoman"/>
      <w:lvlText w:val="%3."/>
      <w:lvlJc w:val="right"/>
      <w:pPr>
        <w:ind w:left="3921" w:hanging="180"/>
      </w:pPr>
    </w:lvl>
    <w:lvl w:ilvl="3" w:tplc="0405000F" w:tentative="1">
      <w:start w:val="1"/>
      <w:numFmt w:val="decimal"/>
      <w:lvlText w:val="%4."/>
      <w:lvlJc w:val="left"/>
      <w:pPr>
        <w:ind w:left="4641" w:hanging="360"/>
      </w:pPr>
    </w:lvl>
    <w:lvl w:ilvl="4" w:tplc="04050019" w:tentative="1">
      <w:start w:val="1"/>
      <w:numFmt w:val="lowerLetter"/>
      <w:lvlText w:val="%5."/>
      <w:lvlJc w:val="left"/>
      <w:pPr>
        <w:ind w:left="5361" w:hanging="360"/>
      </w:pPr>
    </w:lvl>
    <w:lvl w:ilvl="5" w:tplc="0405001B" w:tentative="1">
      <w:start w:val="1"/>
      <w:numFmt w:val="lowerRoman"/>
      <w:lvlText w:val="%6."/>
      <w:lvlJc w:val="right"/>
      <w:pPr>
        <w:ind w:left="6081" w:hanging="180"/>
      </w:pPr>
    </w:lvl>
    <w:lvl w:ilvl="6" w:tplc="0405000F" w:tentative="1">
      <w:start w:val="1"/>
      <w:numFmt w:val="decimal"/>
      <w:lvlText w:val="%7."/>
      <w:lvlJc w:val="left"/>
      <w:pPr>
        <w:ind w:left="6801" w:hanging="360"/>
      </w:pPr>
    </w:lvl>
    <w:lvl w:ilvl="7" w:tplc="04050019" w:tentative="1">
      <w:start w:val="1"/>
      <w:numFmt w:val="lowerLetter"/>
      <w:lvlText w:val="%8."/>
      <w:lvlJc w:val="left"/>
      <w:pPr>
        <w:ind w:left="7521" w:hanging="360"/>
      </w:pPr>
    </w:lvl>
    <w:lvl w:ilvl="8" w:tplc="0405001B" w:tentative="1">
      <w:start w:val="1"/>
      <w:numFmt w:val="lowerRoman"/>
      <w:lvlText w:val="%9."/>
      <w:lvlJc w:val="right"/>
      <w:pPr>
        <w:ind w:left="8241" w:hanging="180"/>
      </w:pPr>
    </w:lvl>
  </w:abstractNum>
  <w:abstractNum w:abstractNumId="30">
    <w:nsid w:val="74954FB2"/>
    <w:multiLevelType w:val="hybridMultilevel"/>
    <w:tmpl w:val="671E5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3608A4"/>
    <w:multiLevelType w:val="hybridMultilevel"/>
    <w:tmpl w:val="304AEC20"/>
    <w:lvl w:ilvl="0" w:tplc="78F6ED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45156B"/>
    <w:multiLevelType w:val="hybridMultilevel"/>
    <w:tmpl w:val="F0907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27"/>
  </w:num>
  <w:num w:numId="5">
    <w:abstractNumId w:val="20"/>
  </w:num>
  <w:num w:numId="6">
    <w:abstractNumId w:val="25"/>
  </w:num>
  <w:num w:numId="7">
    <w:abstractNumId w:val="9"/>
  </w:num>
  <w:num w:numId="8">
    <w:abstractNumId w:val="19"/>
  </w:num>
  <w:num w:numId="9">
    <w:abstractNumId w:val="1"/>
  </w:num>
  <w:num w:numId="10">
    <w:abstractNumId w:val="24"/>
  </w:num>
  <w:num w:numId="11">
    <w:abstractNumId w:val="5"/>
  </w:num>
  <w:num w:numId="12">
    <w:abstractNumId w:val="0"/>
  </w:num>
  <w:num w:numId="13">
    <w:abstractNumId w:val="13"/>
  </w:num>
  <w:num w:numId="14">
    <w:abstractNumId w:val="32"/>
  </w:num>
  <w:num w:numId="15">
    <w:abstractNumId w:val="18"/>
  </w:num>
  <w:num w:numId="16">
    <w:abstractNumId w:val="7"/>
  </w:num>
  <w:num w:numId="17">
    <w:abstractNumId w:val="12"/>
  </w:num>
  <w:num w:numId="18">
    <w:abstractNumId w:val="26"/>
  </w:num>
  <w:num w:numId="19">
    <w:abstractNumId w:val="23"/>
  </w:num>
  <w:num w:numId="20">
    <w:abstractNumId w:val="4"/>
  </w:num>
  <w:num w:numId="21">
    <w:abstractNumId w:val="17"/>
  </w:num>
  <w:num w:numId="22">
    <w:abstractNumId w:val="10"/>
  </w:num>
  <w:num w:numId="23">
    <w:abstractNumId w:val="6"/>
  </w:num>
  <w:num w:numId="24">
    <w:abstractNumId w:val="21"/>
  </w:num>
  <w:num w:numId="25">
    <w:abstractNumId w:val="14"/>
  </w:num>
  <w:num w:numId="26">
    <w:abstractNumId w:val="30"/>
  </w:num>
  <w:num w:numId="27">
    <w:abstractNumId w:val="16"/>
  </w:num>
  <w:num w:numId="28">
    <w:abstractNumId w:val="28"/>
  </w:num>
  <w:num w:numId="29">
    <w:abstractNumId w:val="2"/>
  </w:num>
  <w:num w:numId="30">
    <w:abstractNumId w:val="22"/>
  </w:num>
  <w:num w:numId="31">
    <w:abstractNumId w:val="29"/>
  </w:num>
  <w:num w:numId="32">
    <w:abstractNumId w:val="2"/>
  </w:num>
  <w:num w:numId="33">
    <w:abstractNumId w:val="2"/>
  </w:num>
  <w:num w:numId="34">
    <w:abstractNumId w:val="31"/>
  </w:num>
  <w:num w:numId="35">
    <w:abstractNumId w:val="15"/>
  </w:num>
  <w:num w:numId="36">
    <w:abstractNumId w:val="3"/>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19"/>
    <w:rsid w:val="00000647"/>
    <w:rsid w:val="00000707"/>
    <w:rsid w:val="000009F4"/>
    <w:rsid w:val="00000BDE"/>
    <w:rsid w:val="00000D68"/>
    <w:rsid w:val="000015D0"/>
    <w:rsid w:val="000016F4"/>
    <w:rsid w:val="000022FD"/>
    <w:rsid w:val="00002533"/>
    <w:rsid w:val="000025C2"/>
    <w:rsid w:val="00002A66"/>
    <w:rsid w:val="00002AC2"/>
    <w:rsid w:val="00002B62"/>
    <w:rsid w:val="00002C63"/>
    <w:rsid w:val="0000307D"/>
    <w:rsid w:val="000039D3"/>
    <w:rsid w:val="00003ADC"/>
    <w:rsid w:val="00004045"/>
    <w:rsid w:val="000042A2"/>
    <w:rsid w:val="0000441E"/>
    <w:rsid w:val="00004721"/>
    <w:rsid w:val="00004AA5"/>
    <w:rsid w:val="00004C16"/>
    <w:rsid w:val="00005CC2"/>
    <w:rsid w:val="00006B13"/>
    <w:rsid w:val="000076CD"/>
    <w:rsid w:val="00007912"/>
    <w:rsid w:val="00007F1A"/>
    <w:rsid w:val="00007FA3"/>
    <w:rsid w:val="00007FEA"/>
    <w:rsid w:val="00010169"/>
    <w:rsid w:val="00010351"/>
    <w:rsid w:val="00010F27"/>
    <w:rsid w:val="00011055"/>
    <w:rsid w:val="000118E2"/>
    <w:rsid w:val="000119D0"/>
    <w:rsid w:val="00011E7F"/>
    <w:rsid w:val="00011E94"/>
    <w:rsid w:val="000126F3"/>
    <w:rsid w:val="00012D08"/>
    <w:rsid w:val="00012E8E"/>
    <w:rsid w:val="00013349"/>
    <w:rsid w:val="0001365E"/>
    <w:rsid w:val="000136C6"/>
    <w:rsid w:val="0001374E"/>
    <w:rsid w:val="000139B0"/>
    <w:rsid w:val="000143B4"/>
    <w:rsid w:val="000144C8"/>
    <w:rsid w:val="000145AC"/>
    <w:rsid w:val="000147F0"/>
    <w:rsid w:val="00014E1F"/>
    <w:rsid w:val="000158CB"/>
    <w:rsid w:val="0001595F"/>
    <w:rsid w:val="00015C58"/>
    <w:rsid w:val="000160DA"/>
    <w:rsid w:val="00016284"/>
    <w:rsid w:val="000164FA"/>
    <w:rsid w:val="00016A75"/>
    <w:rsid w:val="00016C15"/>
    <w:rsid w:val="00016DB1"/>
    <w:rsid w:val="00016DE6"/>
    <w:rsid w:val="00017807"/>
    <w:rsid w:val="0001797C"/>
    <w:rsid w:val="00017C60"/>
    <w:rsid w:val="00020666"/>
    <w:rsid w:val="000209E5"/>
    <w:rsid w:val="00020D76"/>
    <w:rsid w:val="000210D3"/>
    <w:rsid w:val="000212A8"/>
    <w:rsid w:val="00021465"/>
    <w:rsid w:val="00021710"/>
    <w:rsid w:val="00021DB9"/>
    <w:rsid w:val="00022387"/>
    <w:rsid w:val="00022D69"/>
    <w:rsid w:val="00022D8A"/>
    <w:rsid w:val="00022F40"/>
    <w:rsid w:val="0002318A"/>
    <w:rsid w:val="000231BB"/>
    <w:rsid w:val="000234D7"/>
    <w:rsid w:val="00023582"/>
    <w:rsid w:val="00023827"/>
    <w:rsid w:val="00023E2E"/>
    <w:rsid w:val="000240A2"/>
    <w:rsid w:val="00024144"/>
    <w:rsid w:val="00024255"/>
    <w:rsid w:val="00024670"/>
    <w:rsid w:val="00024B0D"/>
    <w:rsid w:val="00024BF7"/>
    <w:rsid w:val="00024DF2"/>
    <w:rsid w:val="00025470"/>
    <w:rsid w:val="00025492"/>
    <w:rsid w:val="00025A9D"/>
    <w:rsid w:val="00025B49"/>
    <w:rsid w:val="00025CC2"/>
    <w:rsid w:val="00025DB6"/>
    <w:rsid w:val="00027223"/>
    <w:rsid w:val="000273A6"/>
    <w:rsid w:val="00027478"/>
    <w:rsid w:val="000279EC"/>
    <w:rsid w:val="00027EA4"/>
    <w:rsid w:val="000304D9"/>
    <w:rsid w:val="0003075F"/>
    <w:rsid w:val="00030950"/>
    <w:rsid w:val="000309FA"/>
    <w:rsid w:val="000317DA"/>
    <w:rsid w:val="0003192A"/>
    <w:rsid w:val="00031957"/>
    <w:rsid w:val="00031BC1"/>
    <w:rsid w:val="00031D14"/>
    <w:rsid w:val="00032CDB"/>
    <w:rsid w:val="00033241"/>
    <w:rsid w:val="00033326"/>
    <w:rsid w:val="000335AF"/>
    <w:rsid w:val="00033795"/>
    <w:rsid w:val="00033A85"/>
    <w:rsid w:val="0003440E"/>
    <w:rsid w:val="00034D69"/>
    <w:rsid w:val="00035000"/>
    <w:rsid w:val="00035304"/>
    <w:rsid w:val="00035DE0"/>
    <w:rsid w:val="00035E9D"/>
    <w:rsid w:val="00035EC5"/>
    <w:rsid w:val="000363C1"/>
    <w:rsid w:val="0003685E"/>
    <w:rsid w:val="00037352"/>
    <w:rsid w:val="000375D5"/>
    <w:rsid w:val="00037616"/>
    <w:rsid w:val="0003775F"/>
    <w:rsid w:val="00037848"/>
    <w:rsid w:val="00037A07"/>
    <w:rsid w:val="00037CCA"/>
    <w:rsid w:val="00037FCC"/>
    <w:rsid w:val="00040860"/>
    <w:rsid w:val="00040F6B"/>
    <w:rsid w:val="0004116D"/>
    <w:rsid w:val="00041CB0"/>
    <w:rsid w:val="00042204"/>
    <w:rsid w:val="00042260"/>
    <w:rsid w:val="00042268"/>
    <w:rsid w:val="00042304"/>
    <w:rsid w:val="00042330"/>
    <w:rsid w:val="00042490"/>
    <w:rsid w:val="000425D4"/>
    <w:rsid w:val="000427E5"/>
    <w:rsid w:val="00042D2E"/>
    <w:rsid w:val="000432DA"/>
    <w:rsid w:val="0004388B"/>
    <w:rsid w:val="0004426A"/>
    <w:rsid w:val="0004463E"/>
    <w:rsid w:val="00044961"/>
    <w:rsid w:val="000449D5"/>
    <w:rsid w:val="000449D7"/>
    <w:rsid w:val="00044BD9"/>
    <w:rsid w:val="0004560E"/>
    <w:rsid w:val="00045645"/>
    <w:rsid w:val="0004577B"/>
    <w:rsid w:val="00045E21"/>
    <w:rsid w:val="000463F1"/>
    <w:rsid w:val="000464C5"/>
    <w:rsid w:val="000465A7"/>
    <w:rsid w:val="00046BA5"/>
    <w:rsid w:val="0004703A"/>
    <w:rsid w:val="000472DB"/>
    <w:rsid w:val="0004790E"/>
    <w:rsid w:val="00047A44"/>
    <w:rsid w:val="00047E71"/>
    <w:rsid w:val="0005054C"/>
    <w:rsid w:val="00050711"/>
    <w:rsid w:val="00050714"/>
    <w:rsid w:val="00050738"/>
    <w:rsid w:val="000507FA"/>
    <w:rsid w:val="0005085F"/>
    <w:rsid w:val="0005155F"/>
    <w:rsid w:val="0005198B"/>
    <w:rsid w:val="00051E34"/>
    <w:rsid w:val="00052086"/>
    <w:rsid w:val="0005231A"/>
    <w:rsid w:val="00052AB6"/>
    <w:rsid w:val="00052CEF"/>
    <w:rsid w:val="000530C2"/>
    <w:rsid w:val="00053631"/>
    <w:rsid w:val="00053963"/>
    <w:rsid w:val="00053A20"/>
    <w:rsid w:val="00053B1D"/>
    <w:rsid w:val="00053B22"/>
    <w:rsid w:val="00053D14"/>
    <w:rsid w:val="00053F6A"/>
    <w:rsid w:val="00054005"/>
    <w:rsid w:val="000541D3"/>
    <w:rsid w:val="00054622"/>
    <w:rsid w:val="000548D5"/>
    <w:rsid w:val="000552D9"/>
    <w:rsid w:val="0005558F"/>
    <w:rsid w:val="00055791"/>
    <w:rsid w:val="00055DF6"/>
    <w:rsid w:val="000560CF"/>
    <w:rsid w:val="0005669F"/>
    <w:rsid w:val="00056875"/>
    <w:rsid w:val="00056965"/>
    <w:rsid w:val="000569AF"/>
    <w:rsid w:val="00057188"/>
    <w:rsid w:val="00057592"/>
    <w:rsid w:val="0005798D"/>
    <w:rsid w:val="000579A6"/>
    <w:rsid w:val="000579AA"/>
    <w:rsid w:val="00057A99"/>
    <w:rsid w:val="000604A6"/>
    <w:rsid w:val="00060690"/>
    <w:rsid w:val="0006073B"/>
    <w:rsid w:val="00060A21"/>
    <w:rsid w:val="000610B2"/>
    <w:rsid w:val="0006111F"/>
    <w:rsid w:val="00061196"/>
    <w:rsid w:val="000612F1"/>
    <w:rsid w:val="0006153A"/>
    <w:rsid w:val="0006169E"/>
    <w:rsid w:val="00061902"/>
    <w:rsid w:val="00062136"/>
    <w:rsid w:val="00062271"/>
    <w:rsid w:val="00062678"/>
    <w:rsid w:val="0006273D"/>
    <w:rsid w:val="000628FC"/>
    <w:rsid w:val="00063525"/>
    <w:rsid w:val="000639A2"/>
    <w:rsid w:val="00063B66"/>
    <w:rsid w:val="00063D89"/>
    <w:rsid w:val="0006424C"/>
    <w:rsid w:val="00064590"/>
    <w:rsid w:val="00064876"/>
    <w:rsid w:val="00064A37"/>
    <w:rsid w:val="00064AAE"/>
    <w:rsid w:val="00064B6E"/>
    <w:rsid w:val="00064CED"/>
    <w:rsid w:val="00065049"/>
    <w:rsid w:val="00065E22"/>
    <w:rsid w:val="000667E9"/>
    <w:rsid w:val="00066F08"/>
    <w:rsid w:val="00066F60"/>
    <w:rsid w:val="0006705E"/>
    <w:rsid w:val="000674BA"/>
    <w:rsid w:val="0006758C"/>
    <w:rsid w:val="0006763E"/>
    <w:rsid w:val="00067C8B"/>
    <w:rsid w:val="00067F10"/>
    <w:rsid w:val="00067F71"/>
    <w:rsid w:val="00070218"/>
    <w:rsid w:val="000707B1"/>
    <w:rsid w:val="0007084B"/>
    <w:rsid w:val="000713A9"/>
    <w:rsid w:val="000713C5"/>
    <w:rsid w:val="000716F1"/>
    <w:rsid w:val="00071BDA"/>
    <w:rsid w:val="00071C61"/>
    <w:rsid w:val="000722F6"/>
    <w:rsid w:val="00073BCD"/>
    <w:rsid w:val="00073DD4"/>
    <w:rsid w:val="00074208"/>
    <w:rsid w:val="00074731"/>
    <w:rsid w:val="00074D6F"/>
    <w:rsid w:val="0007580A"/>
    <w:rsid w:val="00075BC9"/>
    <w:rsid w:val="00075E1E"/>
    <w:rsid w:val="00075FE4"/>
    <w:rsid w:val="0007652C"/>
    <w:rsid w:val="0007662F"/>
    <w:rsid w:val="00076C26"/>
    <w:rsid w:val="00076DE4"/>
    <w:rsid w:val="00077042"/>
    <w:rsid w:val="000774D7"/>
    <w:rsid w:val="00077C85"/>
    <w:rsid w:val="00077E67"/>
    <w:rsid w:val="000800A1"/>
    <w:rsid w:val="000800B7"/>
    <w:rsid w:val="00080229"/>
    <w:rsid w:val="00080CB2"/>
    <w:rsid w:val="00080DAD"/>
    <w:rsid w:val="00082124"/>
    <w:rsid w:val="000824AB"/>
    <w:rsid w:val="00082B6D"/>
    <w:rsid w:val="00083980"/>
    <w:rsid w:val="00083B1D"/>
    <w:rsid w:val="00083B69"/>
    <w:rsid w:val="00083C2B"/>
    <w:rsid w:val="00083F86"/>
    <w:rsid w:val="000845BD"/>
    <w:rsid w:val="00084CC5"/>
    <w:rsid w:val="00084CE8"/>
    <w:rsid w:val="00084FFD"/>
    <w:rsid w:val="000851C9"/>
    <w:rsid w:val="00085520"/>
    <w:rsid w:val="00085978"/>
    <w:rsid w:val="00085B38"/>
    <w:rsid w:val="00085C49"/>
    <w:rsid w:val="00085CC8"/>
    <w:rsid w:val="00086404"/>
    <w:rsid w:val="0008674D"/>
    <w:rsid w:val="00086B79"/>
    <w:rsid w:val="00086B86"/>
    <w:rsid w:val="00086B92"/>
    <w:rsid w:val="0008713D"/>
    <w:rsid w:val="000871A9"/>
    <w:rsid w:val="000871E7"/>
    <w:rsid w:val="000875DD"/>
    <w:rsid w:val="00087961"/>
    <w:rsid w:val="00087972"/>
    <w:rsid w:val="00090100"/>
    <w:rsid w:val="000902B0"/>
    <w:rsid w:val="000904B4"/>
    <w:rsid w:val="000906EE"/>
    <w:rsid w:val="00090789"/>
    <w:rsid w:val="00090FE3"/>
    <w:rsid w:val="000912DA"/>
    <w:rsid w:val="00091AE5"/>
    <w:rsid w:val="00092518"/>
    <w:rsid w:val="0009268E"/>
    <w:rsid w:val="000930D9"/>
    <w:rsid w:val="00093445"/>
    <w:rsid w:val="00093472"/>
    <w:rsid w:val="00093666"/>
    <w:rsid w:val="000936E0"/>
    <w:rsid w:val="00093E82"/>
    <w:rsid w:val="000940EF"/>
    <w:rsid w:val="00094784"/>
    <w:rsid w:val="00094A37"/>
    <w:rsid w:val="00094F33"/>
    <w:rsid w:val="00095008"/>
    <w:rsid w:val="00095629"/>
    <w:rsid w:val="00095D3A"/>
    <w:rsid w:val="00095E53"/>
    <w:rsid w:val="00095E6D"/>
    <w:rsid w:val="000960A2"/>
    <w:rsid w:val="0009635F"/>
    <w:rsid w:val="00096495"/>
    <w:rsid w:val="00096FBC"/>
    <w:rsid w:val="000974B9"/>
    <w:rsid w:val="000976E3"/>
    <w:rsid w:val="000979E1"/>
    <w:rsid w:val="00097C73"/>
    <w:rsid w:val="00097FB9"/>
    <w:rsid w:val="000A0446"/>
    <w:rsid w:val="000A05D4"/>
    <w:rsid w:val="000A0658"/>
    <w:rsid w:val="000A0910"/>
    <w:rsid w:val="000A09B2"/>
    <w:rsid w:val="000A0A05"/>
    <w:rsid w:val="000A0D7C"/>
    <w:rsid w:val="000A0ECC"/>
    <w:rsid w:val="000A102F"/>
    <w:rsid w:val="000A10C0"/>
    <w:rsid w:val="000A1241"/>
    <w:rsid w:val="000A14FB"/>
    <w:rsid w:val="000A18DC"/>
    <w:rsid w:val="000A23F8"/>
    <w:rsid w:val="000A2D40"/>
    <w:rsid w:val="000A2E59"/>
    <w:rsid w:val="000A2F87"/>
    <w:rsid w:val="000A36B2"/>
    <w:rsid w:val="000A3A81"/>
    <w:rsid w:val="000A47B3"/>
    <w:rsid w:val="000A4D89"/>
    <w:rsid w:val="000A51D0"/>
    <w:rsid w:val="000A6105"/>
    <w:rsid w:val="000A6378"/>
    <w:rsid w:val="000A654E"/>
    <w:rsid w:val="000A67E4"/>
    <w:rsid w:val="000A6A8E"/>
    <w:rsid w:val="000A6F43"/>
    <w:rsid w:val="000A70C6"/>
    <w:rsid w:val="000A7794"/>
    <w:rsid w:val="000A7932"/>
    <w:rsid w:val="000A7E77"/>
    <w:rsid w:val="000B025C"/>
    <w:rsid w:val="000B02DF"/>
    <w:rsid w:val="000B08DC"/>
    <w:rsid w:val="000B0A69"/>
    <w:rsid w:val="000B0B4B"/>
    <w:rsid w:val="000B0BFB"/>
    <w:rsid w:val="000B15E4"/>
    <w:rsid w:val="000B1AEB"/>
    <w:rsid w:val="000B1BC1"/>
    <w:rsid w:val="000B1DCA"/>
    <w:rsid w:val="000B2719"/>
    <w:rsid w:val="000B2B8D"/>
    <w:rsid w:val="000B2BA1"/>
    <w:rsid w:val="000B2D09"/>
    <w:rsid w:val="000B2DC0"/>
    <w:rsid w:val="000B2F2D"/>
    <w:rsid w:val="000B3C38"/>
    <w:rsid w:val="000B3FD9"/>
    <w:rsid w:val="000B477C"/>
    <w:rsid w:val="000B496E"/>
    <w:rsid w:val="000B4A10"/>
    <w:rsid w:val="000B4E15"/>
    <w:rsid w:val="000B4FEC"/>
    <w:rsid w:val="000B5106"/>
    <w:rsid w:val="000B5544"/>
    <w:rsid w:val="000B586C"/>
    <w:rsid w:val="000B5CB9"/>
    <w:rsid w:val="000B6440"/>
    <w:rsid w:val="000B647C"/>
    <w:rsid w:val="000B696F"/>
    <w:rsid w:val="000B6BFB"/>
    <w:rsid w:val="000B6CE7"/>
    <w:rsid w:val="000B73FB"/>
    <w:rsid w:val="000B77B2"/>
    <w:rsid w:val="000B7800"/>
    <w:rsid w:val="000B7C16"/>
    <w:rsid w:val="000B7D2A"/>
    <w:rsid w:val="000B7F3F"/>
    <w:rsid w:val="000B7F69"/>
    <w:rsid w:val="000C0066"/>
    <w:rsid w:val="000C03B7"/>
    <w:rsid w:val="000C03DF"/>
    <w:rsid w:val="000C06EE"/>
    <w:rsid w:val="000C0727"/>
    <w:rsid w:val="000C0878"/>
    <w:rsid w:val="000C0A12"/>
    <w:rsid w:val="000C0AC8"/>
    <w:rsid w:val="000C0FAA"/>
    <w:rsid w:val="000C10A6"/>
    <w:rsid w:val="000C113F"/>
    <w:rsid w:val="000C11E3"/>
    <w:rsid w:val="000C1A67"/>
    <w:rsid w:val="000C1DD8"/>
    <w:rsid w:val="000C1EE3"/>
    <w:rsid w:val="000C25D5"/>
    <w:rsid w:val="000C325A"/>
    <w:rsid w:val="000C4045"/>
    <w:rsid w:val="000C40CD"/>
    <w:rsid w:val="000C4625"/>
    <w:rsid w:val="000C46ED"/>
    <w:rsid w:val="000C4A32"/>
    <w:rsid w:val="000C4C97"/>
    <w:rsid w:val="000C4F9E"/>
    <w:rsid w:val="000C506E"/>
    <w:rsid w:val="000C50E6"/>
    <w:rsid w:val="000C51EB"/>
    <w:rsid w:val="000C554F"/>
    <w:rsid w:val="000C5A67"/>
    <w:rsid w:val="000C5C70"/>
    <w:rsid w:val="000C6494"/>
    <w:rsid w:val="000C657D"/>
    <w:rsid w:val="000C6AE6"/>
    <w:rsid w:val="000C6D95"/>
    <w:rsid w:val="000C714C"/>
    <w:rsid w:val="000C7523"/>
    <w:rsid w:val="000C766D"/>
    <w:rsid w:val="000C7A76"/>
    <w:rsid w:val="000C7AD8"/>
    <w:rsid w:val="000C7B4E"/>
    <w:rsid w:val="000C7D20"/>
    <w:rsid w:val="000D066F"/>
    <w:rsid w:val="000D0A21"/>
    <w:rsid w:val="000D0C1D"/>
    <w:rsid w:val="000D0F5C"/>
    <w:rsid w:val="000D1014"/>
    <w:rsid w:val="000D103B"/>
    <w:rsid w:val="000D10FD"/>
    <w:rsid w:val="000D125D"/>
    <w:rsid w:val="000D1563"/>
    <w:rsid w:val="000D1EB9"/>
    <w:rsid w:val="000D2263"/>
    <w:rsid w:val="000D22EB"/>
    <w:rsid w:val="000D2BA9"/>
    <w:rsid w:val="000D2E23"/>
    <w:rsid w:val="000D2EC2"/>
    <w:rsid w:val="000D344D"/>
    <w:rsid w:val="000D38FC"/>
    <w:rsid w:val="000D3F74"/>
    <w:rsid w:val="000D4622"/>
    <w:rsid w:val="000D5224"/>
    <w:rsid w:val="000D52F2"/>
    <w:rsid w:val="000D53C2"/>
    <w:rsid w:val="000D562B"/>
    <w:rsid w:val="000D6366"/>
    <w:rsid w:val="000D68AB"/>
    <w:rsid w:val="000D691A"/>
    <w:rsid w:val="000D76AE"/>
    <w:rsid w:val="000D7B21"/>
    <w:rsid w:val="000D7E3C"/>
    <w:rsid w:val="000E044D"/>
    <w:rsid w:val="000E05C4"/>
    <w:rsid w:val="000E0C2F"/>
    <w:rsid w:val="000E0C69"/>
    <w:rsid w:val="000E0EF7"/>
    <w:rsid w:val="000E1512"/>
    <w:rsid w:val="000E1DD8"/>
    <w:rsid w:val="000E1DDA"/>
    <w:rsid w:val="000E22BF"/>
    <w:rsid w:val="000E280D"/>
    <w:rsid w:val="000E2C7F"/>
    <w:rsid w:val="000E3006"/>
    <w:rsid w:val="000E30F3"/>
    <w:rsid w:val="000E31DC"/>
    <w:rsid w:val="000E3253"/>
    <w:rsid w:val="000E3974"/>
    <w:rsid w:val="000E3B3D"/>
    <w:rsid w:val="000E3F2B"/>
    <w:rsid w:val="000E4BE4"/>
    <w:rsid w:val="000E58C0"/>
    <w:rsid w:val="000E64D5"/>
    <w:rsid w:val="000E6757"/>
    <w:rsid w:val="000E675D"/>
    <w:rsid w:val="000E6809"/>
    <w:rsid w:val="000E6814"/>
    <w:rsid w:val="000E6CB3"/>
    <w:rsid w:val="000E6E42"/>
    <w:rsid w:val="000E6EE7"/>
    <w:rsid w:val="000E7319"/>
    <w:rsid w:val="000F007B"/>
    <w:rsid w:val="000F0121"/>
    <w:rsid w:val="000F0436"/>
    <w:rsid w:val="000F059D"/>
    <w:rsid w:val="000F06F3"/>
    <w:rsid w:val="000F0DAC"/>
    <w:rsid w:val="000F1AFF"/>
    <w:rsid w:val="000F2478"/>
    <w:rsid w:val="000F27E2"/>
    <w:rsid w:val="000F2885"/>
    <w:rsid w:val="000F28C8"/>
    <w:rsid w:val="000F29A5"/>
    <w:rsid w:val="000F2A99"/>
    <w:rsid w:val="000F2C2A"/>
    <w:rsid w:val="000F2CA1"/>
    <w:rsid w:val="000F2F29"/>
    <w:rsid w:val="000F320C"/>
    <w:rsid w:val="000F36E4"/>
    <w:rsid w:val="000F3913"/>
    <w:rsid w:val="000F4010"/>
    <w:rsid w:val="000F4619"/>
    <w:rsid w:val="000F47C9"/>
    <w:rsid w:val="000F4A28"/>
    <w:rsid w:val="000F4BFA"/>
    <w:rsid w:val="000F521A"/>
    <w:rsid w:val="000F58B8"/>
    <w:rsid w:val="000F5B9C"/>
    <w:rsid w:val="000F5DE6"/>
    <w:rsid w:val="000F6814"/>
    <w:rsid w:val="000F69A3"/>
    <w:rsid w:val="000F6A6C"/>
    <w:rsid w:val="000F70BA"/>
    <w:rsid w:val="000F73CF"/>
    <w:rsid w:val="000F76F3"/>
    <w:rsid w:val="000F79FC"/>
    <w:rsid w:val="000F7A43"/>
    <w:rsid w:val="000F7E92"/>
    <w:rsid w:val="000F7EBA"/>
    <w:rsid w:val="001001C8"/>
    <w:rsid w:val="001006E6"/>
    <w:rsid w:val="001007B4"/>
    <w:rsid w:val="001007F9"/>
    <w:rsid w:val="001008EF"/>
    <w:rsid w:val="00100900"/>
    <w:rsid w:val="00100960"/>
    <w:rsid w:val="00100A2E"/>
    <w:rsid w:val="00100AA8"/>
    <w:rsid w:val="00100E4C"/>
    <w:rsid w:val="00100EF1"/>
    <w:rsid w:val="00101149"/>
    <w:rsid w:val="00101259"/>
    <w:rsid w:val="00101E5B"/>
    <w:rsid w:val="00101E96"/>
    <w:rsid w:val="00101E9F"/>
    <w:rsid w:val="00101EDE"/>
    <w:rsid w:val="001024EA"/>
    <w:rsid w:val="0010255B"/>
    <w:rsid w:val="00102ABB"/>
    <w:rsid w:val="00102B48"/>
    <w:rsid w:val="00102FED"/>
    <w:rsid w:val="001034AD"/>
    <w:rsid w:val="00103537"/>
    <w:rsid w:val="00103737"/>
    <w:rsid w:val="0010410B"/>
    <w:rsid w:val="001041D2"/>
    <w:rsid w:val="00104BA8"/>
    <w:rsid w:val="00104D0D"/>
    <w:rsid w:val="00105215"/>
    <w:rsid w:val="001055D2"/>
    <w:rsid w:val="00105A46"/>
    <w:rsid w:val="00105E97"/>
    <w:rsid w:val="001068C0"/>
    <w:rsid w:val="00106CA3"/>
    <w:rsid w:val="00106DCD"/>
    <w:rsid w:val="0010732F"/>
    <w:rsid w:val="00107577"/>
    <w:rsid w:val="00107B9F"/>
    <w:rsid w:val="0011071E"/>
    <w:rsid w:val="00110D76"/>
    <w:rsid w:val="00110E76"/>
    <w:rsid w:val="00110EA2"/>
    <w:rsid w:val="00110F4B"/>
    <w:rsid w:val="00110F75"/>
    <w:rsid w:val="00110FC0"/>
    <w:rsid w:val="0011184C"/>
    <w:rsid w:val="00111A0B"/>
    <w:rsid w:val="0011207B"/>
    <w:rsid w:val="00112089"/>
    <w:rsid w:val="001122AF"/>
    <w:rsid w:val="001125FC"/>
    <w:rsid w:val="0011316C"/>
    <w:rsid w:val="00113C2E"/>
    <w:rsid w:val="00113C54"/>
    <w:rsid w:val="00113E96"/>
    <w:rsid w:val="00114593"/>
    <w:rsid w:val="00114BB5"/>
    <w:rsid w:val="00114E5C"/>
    <w:rsid w:val="00115026"/>
    <w:rsid w:val="00116053"/>
    <w:rsid w:val="00116801"/>
    <w:rsid w:val="00116985"/>
    <w:rsid w:val="00116C14"/>
    <w:rsid w:val="00116F63"/>
    <w:rsid w:val="00117539"/>
    <w:rsid w:val="001177B2"/>
    <w:rsid w:val="00117EA6"/>
    <w:rsid w:val="00120BA6"/>
    <w:rsid w:val="001216A1"/>
    <w:rsid w:val="0012175C"/>
    <w:rsid w:val="00121A15"/>
    <w:rsid w:val="00121A74"/>
    <w:rsid w:val="00121BAB"/>
    <w:rsid w:val="00121C26"/>
    <w:rsid w:val="00121D24"/>
    <w:rsid w:val="00122263"/>
    <w:rsid w:val="00122847"/>
    <w:rsid w:val="00122F97"/>
    <w:rsid w:val="001232CF"/>
    <w:rsid w:val="00123789"/>
    <w:rsid w:val="00123D3D"/>
    <w:rsid w:val="001240A1"/>
    <w:rsid w:val="00124529"/>
    <w:rsid w:val="0012459D"/>
    <w:rsid w:val="0012485B"/>
    <w:rsid w:val="0012499F"/>
    <w:rsid w:val="001249BD"/>
    <w:rsid w:val="0012500F"/>
    <w:rsid w:val="00125754"/>
    <w:rsid w:val="0012580D"/>
    <w:rsid w:val="00125853"/>
    <w:rsid w:val="00125B11"/>
    <w:rsid w:val="001260C9"/>
    <w:rsid w:val="00126732"/>
    <w:rsid w:val="00126A88"/>
    <w:rsid w:val="00126BE0"/>
    <w:rsid w:val="00126CF2"/>
    <w:rsid w:val="00126EE5"/>
    <w:rsid w:val="001270D4"/>
    <w:rsid w:val="00127195"/>
    <w:rsid w:val="0012731D"/>
    <w:rsid w:val="0012736F"/>
    <w:rsid w:val="00127CDF"/>
    <w:rsid w:val="00127EC0"/>
    <w:rsid w:val="00127F40"/>
    <w:rsid w:val="0013016B"/>
    <w:rsid w:val="0013053E"/>
    <w:rsid w:val="001305E7"/>
    <w:rsid w:val="00130640"/>
    <w:rsid w:val="00130D0E"/>
    <w:rsid w:val="00130E55"/>
    <w:rsid w:val="00130E88"/>
    <w:rsid w:val="00131464"/>
    <w:rsid w:val="0013149A"/>
    <w:rsid w:val="001314DC"/>
    <w:rsid w:val="0013196C"/>
    <w:rsid w:val="00132211"/>
    <w:rsid w:val="00132493"/>
    <w:rsid w:val="00132DF7"/>
    <w:rsid w:val="00133AB0"/>
    <w:rsid w:val="00133C5C"/>
    <w:rsid w:val="00134A7F"/>
    <w:rsid w:val="00134DF5"/>
    <w:rsid w:val="00134E0B"/>
    <w:rsid w:val="00135175"/>
    <w:rsid w:val="00135197"/>
    <w:rsid w:val="001358BE"/>
    <w:rsid w:val="00135C09"/>
    <w:rsid w:val="00135E05"/>
    <w:rsid w:val="00135E73"/>
    <w:rsid w:val="0013660B"/>
    <w:rsid w:val="00136764"/>
    <w:rsid w:val="00136ECE"/>
    <w:rsid w:val="001374CA"/>
    <w:rsid w:val="00137538"/>
    <w:rsid w:val="0013779B"/>
    <w:rsid w:val="00137B6B"/>
    <w:rsid w:val="00140005"/>
    <w:rsid w:val="001403C3"/>
    <w:rsid w:val="0014080A"/>
    <w:rsid w:val="0014090C"/>
    <w:rsid w:val="00140919"/>
    <w:rsid w:val="001409AC"/>
    <w:rsid w:val="00140ADF"/>
    <w:rsid w:val="00140E48"/>
    <w:rsid w:val="0014171B"/>
    <w:rsid w:val="00141C76"/>
    <w:rsid w:val="00142258"/>
    <w:rsid w:val="001426C7"/>
    <w:rsid w:val="00142937"/>
    <w:rsid w:val="00142A48"/>
    <w:rsid w:val="00142B46"/>
    <w:rsid w:val="00142F1D"/>
    <w:rsid w:val="001448DA"/>
    <w:rsid w:val="001451D7"/>
    <w:rsid w:val="0014542B"/>
    <w:rsid w:val="00145B2A"/>
    <w:rsid w:val="00145E5F"/>
    <w:rsid w:val="001461EF"/>
    <w:rsid w:val="00146F39"/>
    <w:rsid w:val="00147043"/>
    <w:rsid w:val="0014747E"/>
    <w:rsid w:val="0014796D"/>
    <w:rsid w:val="001506AC"/>
    <w:rsid w:val="001507E9"/>
    <w:rsid w:val="00150C37"/>
    <w:rsid w:val="00150C81"/>
    <w:rsid w:val="00150CE5"/>
    <w:rsid w:val="00150ED6"/>
    <w:rsid w:val="001511E0"/>
    <w:rsid w:val="00151613"/>
    <w:rsid w:val="00151BA6"/>
    <w:rsid w:val="00151F77"/>
    <w:rsid w:val="001522AF"/>
    <w:rsid w:val="001525D3"/>
    <w:rsid w:val="0015261C"/>
    <w:rsid w:val="00152638"/>
    <w:rsid w:val="00153774"/>
    <w:rsid w:val="00153AA0"/>
    <w:rsid w:val="00153AE2"/>
    <w:rsid w:val="00154542"/>
    <w:rsid w:val="0015454C"/>
    <w:rsid w:val="0015475C"/>
    <w:rsid w:val="00154C56"/>
    <w:rsid w:val="00154C84"/>
    <w:rsid w:val="00155991"/>
    <w:rsid w:val="00155AF8"/>
    <w:rsid w:val="00155B86"/>
    <w:rsid w:val="00155D9A"/>
    <w:rsid w:val="001561A3"/>
    <w:rsid w:val="00156258"/>
    <w:rsid w:val="00156831"/>
    <w:rsid w:val="00156A43"/>
    <w:rsid w:val="00157143"/>
    <w:rsid w:val="001572B6"/>
    <w:rsid w:val="00157BBB"/>
    <w:rsid w:val="001604E2"/>
    <w:rsid w:val="0016058C"/>
    <w:rsid w:val="00160684"/>
    <w:rsid w:val="00160FF9"/>
    <w:rsid w:val="0016169A"/>
    <w:rsid w:val="0016189E"/>
    <w:rsid w:val="00161A4F"/>
    <w:rsid w:val="00161C54"/>
    <w:rsid w:val="001628C1"/>
    <w:rsid w:val="001628CF"/>
    <w:rsid w:val="00162E26"/>
    <w:rsid w:val="001633C5"/>
    <w:rsid w:val="001634D0"/>
    <w:rsid w:val="001635A1"/>
    <w:rsid w:val="0016369A"/>
    <w:rsid w:val="00163804"/>
    <w:rsid w:val="00163995"/>
    <w:rsid w:val="00164238"/>
    <w:rsid w:val="001645EB"/>
    <w:rsid w:val="00164B0F"/>
    <w:rsid w:val="001653CC"/>
    <w:rsid w:val="00165602"/>
    <w:rsid w:val="0016567B"/>
    <w:rsid w:val="001656BB"/>
    <w:rsid w:val="00165E85"/>
    <w:rsid w:val="00166BDF"/>
    <w:rsid w:val="0016737E"/>
    <w:rsid w:val="0016742D"/>
    <w:rsid w:val="00167594"/>
    <w:rsid w:val="00167921"/>
    <w:rsid w:val="00167E00"/>
    <w:rsid w:val="00170348"/>
    <w:rsid w:val="00170EA4"/>
    <w:rsid w:val="00170F50"/>
    <w:rsid w:val="00171001"/>
    <w:rsid w:val="001713F8"/>
    <w:rsid w:val="00171726"/>
    <w:rsid w:val="0017194D"/>
    <w:rsid w:val="00171A42"/>
    <w:rsid w:val="0017293F"/>
    <w:rsid w:val="001731F7"/>
    <w:rsid w:val="00173514"/>
    <w:rsid w:val="001736E1"/>
    <w:rsid w:val="0017528D"/>
    <w:rsid w:val="00175417"/>
    <w:rsid w:val="00175A07"/>
    <w:rsid w:val="00175A12"/>
    <w:rsid w:val="001761C1"/>
    <w:rsid w:val="001765CA"/>
    <w:rsid w:val="00176B89"/>
    <w:rsid w:val="00176CAE"/>
    <w:rsid w:val="00176EF4"/>
    <w:rsid w:val="00176FE1"/>
    <w:rsid w:val="00177548"/>
    <w:rsid w:val="001778D9"/>
    <w:rsid w:val="00177E28"/>
    <w:rsid w:val="00177EEF"/>
    <w:rsid w:val="00177F09"/>
    <w:rsid w:val="0018022C"/>
    <w:rsid w:val="001802B8"/>
    <w:rsid w:val="001804E2"/>
    <w:rsid w:val="001806D8"/>
    <w:rsid w:val="00180CCD"/>
    <w:rsid w:val="00180E2A"/>
    <w:rsid w:val="00181BAF"/>
    <w:rsid w:val="00181E47"/>
    <w:rsid w:val="00181F34"/>
    <w:rsid w:val="00181FC8"/>
    <w:rsid w:val="001826D6"/>
    <w:rsid w:val="00182795"/>
    <w:rsid w:val="001827CE"/>
    <w:rsid w:val="00182B54"/>
    <w:rsid w:val="00182CE5"/>
    <w:rsid w:val="00182E6C"/>
    <w:rsid w:val="00182FE6"/>
    <w:rsid w:val="00183E62"/>
    <w:rsid w:val="00183F35"/>
    <w:rsid w:val="00183FD0"/>
    <w:rsid w:val="00184082"/>
    <w:rsid w:val="00184495"/>
    <w:rsid w:val="001844C7"/>
    <w:rsid w:val="00184699"/>
    <w:rsid w:val="001847ED"/>
    <w:rsid w:val="00184917"/>
    <w:rsid w:val="00184E49"/>
    <w:rsid w:val="00185007"/>
    <w:rsid w:val="001854D9"/>
    <w:rsid w:val="001857DF"/>
    <w:rsid w:val="001859DA"/>
    <w:rsid w:val="0018626B"/>
    <w:rsid w:val="0018637B"/>
    <w:rsid w:val="00186906"/>
    <w:rsid w:val="00186A9E"/>
    <w:rsid w:val="001870D9"/>
    <w:rsid w:val="0018735E"/>
    <w:rsid w:val="00187FBF"/>
    <w:rsid w:val="00190157"/>
    <w:rsid w:val="00190186"/>
    <w:rsid w:val="00190494"/>
    <w:rsid w:val="00190B85"/>
    <w:rsid w:val="00191005"/>
    <w:rsid w:val="001910AA"/>
    <w:rsid w:val="0019140D"/>
    <w:rsid w:val="00191883"/>
    <w:rsid w:val="0019205B"/>
    <w:rsid w:val="001922DE"/>
    <w:rsid w:val="0019266D"/>
    <w:rsid w:val="001927BE"/>
    <w:rsid w:val="00192EF7"/>
    <w:rsid w:val="0019389C"/>
    <w:rsid w:val="0019395F"/>
    <w:rsid w:val="00193AB8"/>
    <w:rsid w:val="00193B4B"/>
    <w:rsid w:val="0019419B"/>
    <w:rsid w:val="0019453E"/>
    <w:rsid w:val="001948CF"/>
    <w:rsid w:val="00194B00"/>
    <w:rsid w:val="00194C9B"/>
    <w:rsid w:val="00194E11"/>
    <w:rsid w:val="00194EF5"/>
    <w:rsid w:val="001951AF"/>
    <w:rsid w:val="001954AC"/>
    <w:rsid w:val="00195985"/>
    <w:rsid w:val="00196D08"/>
    <w:rsid w:val="00197162"/>
    <w:rsid w:val="00197299"/>
    <w:rsid w:val="00197462"/>
    <w:rsid w:val="00197860"/>
    <w:rsid w:val="00197CE3"/>
    <w:rsid w:val="001A03C9"/>
    <w:rsid w:val="001A05F2"/>
    <w:rsid w:val="001A07FD"/>
    <w:rsid w:val="001A0AD3"/>
    <w:rsid w:val="001A0CA1"/>
    <w:rsid w:val="001A1381"/>
    <w:rsid w:val="001A17B9"/>
    <w:rsid w:val="001A1BEC"/>
    <w:rsid w:val="001A227F"/>
    <w:rsid w:val="001A2990"/>
    <w:rsid w:val="001A2A45"/>
    <w:rsid w:val="001A2E8C"/>
    <w:rsid w:val="001A323A"/>
    <w:rsid w:val="001A34DF"/>
    <w:rsid w:val="001A3601"/>
    <w:rsid w:val="001A3642"/>
    <w:rsid w:val="001A3C5F"/>
    <w:rsid w:val="001A450B"/>
    <w:rsid w:val="001A5612"/>
    <w:rsid w:val="001A5742"/>
    <w:rsid w:val="001A5B63"/>
    <w:rsid w:val="001A6340"/>
    <w:rsid w:val="001A66B4"/>
    <w:rsid w:val="001A6874"/>
    <w:rsid w:val="001A6E34"/>
    <w:rsid w:val="001A6F70"/>
    <w:rsid w:val="001A712B"/>
    <w:rsid w:val="001A796C"/>
    <w:rsid w:val="001A7AC7"/>
    <w:rsid w:val="001A7B43"/>
    <w:rsid w:val="001A7D1B"/>
    <w:rsid w:val="001A7E28"/>
    <w:rsid w:val="001B0532"/>
    <w:rsid w:val="001B0915"/>
    <w:rsid w:val="001B099C"/>
    <w:rsid w:val="001B1402"/>
    <w:rsid w:val="001B1479"/>
    <w:rsid w:val="001B1999"/>
    <w:rsid w:val="001B1C21"/>
    <w:rsid w:val="001B1F4C"/>
    <w:rsid w:val="001B207D"/>
    <w:rsid w:val="001B21E8"/>
    <w:rsid w:val="001B228D"/>
    <w:rsid w:val="001B2B7E"/>
    <w:rsid w:val="001B3750"/>
    <w:rsid w:val="001B4364"/>
    <w:rsid w:val="001B4810"/>
    <w:rsid w:val="001B4CD2"/>
    <w:rsid w:val="001B4D25"/>
    <w:rsid w:val="001B51E1"/>
    <w:rsid w:val="001B574F"/>
    <w:rsid w:val="001B616F"/>
    <w:rsid w:val="001B646B"/>
    <w:rsid w:val="001B66DA"/>
    <w:rsid w:val="001B6B0D"/>
    <w:rsid w:val="001B6CF2"/>
    <w:rsid w:val="001B70A2"/>
    <w:rsid w:val="001C067E"/>
    <w:rsid w:val="001C0710"/>
    <w:rsid w:val="001C0736"/>
    <w:rsid w:val="001C0C63"/>
    <w:rsid w:val="001C11B0"/>
    <w:rsid w:val="001C11DF"/>
    <w:rsid w:val="001C11E4"/>
    <w:rsid w:val="001C12D0"/>
    <w:rsid w:val="001C188C"/>
    <w:rsid w:val="001C1938"/>
    <w:rsid w:val="001C1C1D"/>
    <w:rsid w:val="001C2619"/>
    <w:rsid w:val="001C276E"/>
    <w:rsid w:val="001C2773"/>
    <w:rsid w:val="001C311B"/>
    <w:rsid w:val="001C32AD"/>
    <w:rsid w:val="001C3677"/>
    <w:rsid w:val="001C461A"/>
    <w:rsid w:val="001C4681"/>
    <w:rsid w:val="001C49F3"/>
    <w:rsid w:val="001C5122"/>
    <w:rsid w:val="001C6061"/>
    <w:rsid w:val="001C651C"/>
    <w:rsid w:val="001C6AD6"/>
    <w:rsid w:val="001C6C6E"/>
    <w:rsid w:val="001C6DCA"/>
    <w:rsid w:val="001C71F8"/>
    <w:rsid w:val="001C721C"/>
    <w:rsid w:val="001C7D98"/>
    <w:rsid w:val="001C7E46"/>
    <w:rsid w:val="001D0193"/>
    <w:rsid w:val="001D01E2"/>
    <w:rsid w:val="001D0459"/>
    <w:rsid w:val="001D0931"/>
    <w:rsid w:val="001D0FD5"/>
    <w:rsid w:val="001D149A"/>
    <w:rsid w:val="001D1982"/>
    <w:rsid w:val="001D2386"/>
    <w:rsid w:val="001D24D5"/>
    <w:rsid w:val="001D24E3"/>
    <w:rsid w:val="001D2840"/>
    <w:rsid w:val="001D2A46"/>
    <w:rsid w:val="001D2B86"/>
    <w:rsid w:val="001D3051"/>
    <w:rsid w:val="001D316F"/>
    <w:rsid w:val="001D321A"/>
    <w:rsid w:val="001D32E3"/>
    <w:rsid w:val="001D32F1"/>
    <w:rsid w:val="001D3843"/>
    <w:rsid w:val="001D384F"/>
    <w:rsid w:val="001D3B0E"/>
    <w:rsid w:val="001D3E39"/>
    <w:rsid w:val="001D47F9"/>
    <w:rsid w:val="001D4B08"/>
    <w:rsid w:val="001D4B6D"/>
    <w:rsid w:val="001D4C33"/>
    <w:rsid w:val="001D5015"/>
    <w:rsid w:val="001D5BB7"/>
    <w:rsid w:val="001D607A"/>
    <w:rsid w:val="001D6DFE"/>
    <w:rsid w:val="001D6F36"/>
    <w:rsid w:val="001D70F8"/>
    <w:rsid w:val="001D7A52"/>
    <w:rsid w:val="001E01B0"/>
    <w:rsid w:val="001E029C"/>
    <w:rsid w:val="001E02FD"/>
    <w:rsid w:val="001E05C1"/>
    <w:rsid w:val="001E0A91"/>
    <w:rsid w:val="001E0D1D"/>
    <w:rsid w:val="001E0D96"/>
    <w:rsid w:val="001E0DA1"/>
    <w:rsid w:val="001E0ED3"/>
    <w:rsid w:val="001E1001"/>
    <w:rsid w:val="001E145D"/>
    <w:rsid w:val="001E1648"/>
    <w:rsid w:val="001E16D9"/>
    <w:rsid w:val="001E1BCA"/>
    <w:rsid w:val="001E1C9B"/>
    <w:rsid w:val="001E1FBC"/>
    <w:rsid w:val="001E22E6"/>
    <w:rsid w:val="001E3136"/>
    <w:rsid w:val="001E37FB"/>
    <w:rsid w:val="001E3A15"/>
    <w:rsid w:val="001E44B5"/>
    <w:rsid w:val="001E47B3"/>
    <w:rsid w:val="001E51F5"/>
    <w:rsid w:val="001E581D"/>
    <w:rsid w:val="001E5940"/>
    <w:rsid w:val="001E5A0C"/>
    <w:rsid w:val="001E5A4D"/>
    <w:rsid w:val="001E5B4F"/>
    <w:rsid w:val="001E6361"/>
    <w:rsid w:val="001E6B72"/>
    <w:rsid w:val="001E6E2B"/>
    <w:rsid w:val="001E76E3"/>
    <w:rsid w:val="001E7D37"/>
    <w:rsid w:val="001E7D68"/>
    <w:rsid w:val="001E7F97"/>
    <w:rsid w:val="001F0238"/>
    <w:rsid w:val="001F02F5"/>
    <w:rsid w:val="001F0475"/>
    <w:rsid w:val="001F0486"/>
    <w:rsid w:val="001F0B3D"/>
    <w:rsid w:val="001F0F3B"/>
    <w:rsid w:val="001F1584"/>
    <w:rsid w:val="001F15E4"/>
    <w:rsid w:val="001F1787"/>
    <w:rsid w:val="001F18D5"/>
    <w:rsid w:val="001F1B4B"/>
    <w:rsid w:val="001F1F14"/>
    <w:rsid w:val="001F28AA"/>
    <w:rsid w:val="001F2910"/>
    <w:rsid w:val="001F2D48"/>
    <w:rsid w:val="001F2F18"/>
    <w:rsid w:val="001F300A"/>
    <w:rsid w:val="001F3778"/>
    <w:rsid w:val="001F3FBC"/>
    <w:rsid w:val="001F4041"/>
    <w:rsid w:val="001F41F2"/>
    <w:rsid w:val="001F449D"/>
    <w:rsid w:val="001F4579"/>
    <w:rsid w:val="001F45B4"/>
    <w:rsid w:val="001F476D"/>
    <w:rsid w:val="001F47FD"/>
    <w:rsid w:val="001F4C7A"/>
    <w:rsid w:val="001F4F16"/>
    <w:rsid w:val="001F5278"/>
    <w:rsid w:val="001F57F5"/>
    <w:rsid w:val="001F5D20"/>
    <w:rsid w:val="001F5EDD"/>
    <w:rsid w:val="001F67A7"/>
    <w:rsid w:val="001F6851"/>
    <w:rsid w:val="001F6896"/>
    <w:rsid w:val="001F6A20"/>
    <w:rsid w:val="001F6B0F"/>
    <w:rsid w:val="001F6D16"/>
    <w:rsid w:val="001F6E52"/>
    <w:rsid w:val="001F6E7B"/>
    <w:rsid w:val="001F7024"/>
    <w:rsid w:val="001F7182"/>
    <w:rsid w:val="001F71BE"/>
    <w:rsid w:val="001F7330"/>
    <w:rsid w:val="001F76AB"/>
    <w:rsid w:val="001F7892"/>
    <w:rsid w:val="001F7A57"/>
    <w:rsid w:val="002002FA"/>
    <w:rsid w:val="00200495"/>
    <w:rsid w:val="00200725"/>
    <w:rsid w:val="002009B6"/>
    <w:rsid w:val="002011EA"/>
    <w:rsid w:val="00202583"/>
    <w:rsid w:val="0020279F"/>
    <w:rsid w:val="002027F8"/>
    <w:rsid w:val="00202D7C"/>
    <w:rsid w:val="00202DB5"/>
    <w:rsid w:val="00202F97"/>
    <w:rsid w:val="00203532"/>
    <w:rsid w:val="002039B2"/>
    <w:rsid w:val="00203A0E"/>
    <w:rsid w:val="00203A8B"/>
    <w:rsid w:val="00203D9A"/>
    <w:rsid w:val="00204A40"/>
    <w:rsid w:val="00204E28"/>
    <w:rsid w:val="00204E32"/>
    <w:rsid w:val="00204FFB"/>
    <w:rsid w:val="0020547E"/>
    <w:rsid w:val="00205561"/>
    <w:rsid w:val="00205589"/>
    <w:rsid w:val="00205970"/>
    <w:rsid w:val="00205C3A"/>
    <w:rsid w:val="00206782"/>
    <w:rsid w:val="00206D37"/>
    <w:rsid w:val="002074D3"/>
    <w:rsid w:val="0020784D"/>
    <w:rsid w:val="00210007"/>
    <w:rsid w:val="002104AF"/>
    <w:rsid w:val="002107BD"/>
    <w:rsid w:val="00210A66"/>
    <w:rsid w:val="00210DF4"/>
    <w:rsid w:val="00211041"/>
    <w:rsid w:val="002111D0"/>
    <w:rsid w:val="0021131B"/>
    <w:rsid w:val="00211561"/>
    <w:rsid w:val="00211564"/>
    <w:rsid w:val="002118A4"/>
    <w:rsid w:val="00211914"/>
    <w:rsid w:val="00211E49"/>
    <w:rsid w:val="00212675"/>
    <w:rsid w:val="00212896"/>
    <w:rsid w:val="002128E1"/>
    <w:rsid w:val="0021290D"/>
    <w:rsid w:val="00213024"/>
    <w:rsid w:val="00213637"/>
    <w:rsid w:val="00213B3E"/>
    <w:rsid w:val="00214273"/>
    <w:rsid w:val="002145CE"/>
    <w:rsid w:val="002148B4"/>
    <w:rsid w:val="002148F2"/>
    <w:rsid w:val="00214E31"/>
    <w:rsid w:val="00215337"/>
    <w:rsid w:val="00215993"/>
    <w:rsid w:val="00215C8D"/>
    <w:rsid w:val="00215F5D"/>
    <w:rsid w:val="002161A9"/>
    <w:rsid w:val="0021638B"/>
    <w:rsid w:val="00216568"/>
    <w:rsid w:val="002169D4"/>
    <w:rsid w:val="00216CF4"/>
    <w:rsid w:val="00216D42"/>
    <w:rsid w:val="00217085"/>
    <w:rsid w:val="002179F8"/>
    <w:rsid w:val="00217CFF"/>
    <w:rsid w:val="00217F7C"/>
    <w:rsid w:val="00217FE0"/>
    <w:rsid w:val="002200B8"/>
    <w:rsid w:val="00220315"/>
    <w:rsid w:val="0022049C"/>
    <w:rsid w:val="00221777"/>
    <w:rsid w:val="002218D6"/>
    <w:rsid w:val="00221C21"/>
    <w:rsid w:val="00221D37"/>
    <w:rsid w:val="0022257B"/>
    <w:rsid w:val="00222601"/>
    <w:rsid w:val="00222AA7"/>
    <w:rsid w:val="00222B70"/>
    <w:rsid w:val="00222BC6"/>
    <w:rsid w:val="00222D8C"/>
    <w:rsid w:val="00223410"/>
    <w:rsid w:val="0022352B"/>
    <w:rsid w:val="00223928"/>
    <w:rsid w:val="0022415F"/>
    <w:rsid w:val="002249BD"/>
    <w:rsid w:val="00224F01"/>
    <w:rsid w:val="0022520D"/>
    <w:rsid w:val="002256C9"/>
    <w:rsid w:val="00226090"/>
    <w:rsid w:val="00226A20"/>
    <w:rsid w:val="00226EF3"/>
    <w:rsid w:val="0022749A"/>
    <w:rsid w:val="002279D9"/>
    <w:rsid w:val="002308CE"/>
    <w:rsid w:val="0023187D"/>
    <w:rsid w:val="00231D11"/>
    <w:rsid w:val="002324A1"/>
    <w:rsid w:val="0023286C"/>
    <w:rsid w:val="0023322B"/>
    <w:rsid w:val="002334D2"/>
    <w:rsid w:val="00233745"/>
    <w:rsid w:val="00233998"/>
    <w:rsid w:val="00233C30"/>
    <w:rsid w:val="00233C8B"/>
    <w:rsid w:val="00233D00"/>
    <w:rsid w:val="00233EF5"/>
    <w:rsid w:val="002342C4"/>
    <w:rsid w:val="002343AC"/>
    <w:rsid w:val="002346DD"/>
    <w:rsid w:val="002347E8"/>
    <w:rsid w:val="00235880"/>
    <w:rsid w:val="00235953"/>
    <w:rsid w:val="0023600A"/>
    <w:rsid w:val="00236418"/>
    <w:rsid w:val="00236B49"/>
    <w:rsid w:val="00237218"/>
    <w:rsid w:val="002377EB"/>
    <w:rsid w:val="002378F0"/>
    <w:rsid w:val="002379CC"/>
    <w:rsid w:val="002400D7"/>
    <w:rsid w:val="00240CE0"/>
    <w:rsid w:val="00240FD4"/>
    <w:rsid w:val="00241477"/>
    <w:rsid w:val="00241558"/>
    <w:rsid w:val="00241948"/>
    <w:rsid w:val="00241957"/>
    <w:rsid w:val="00241998"/>
    <w:rsid w:val="00241D04"/>
    <w:rsid w:val="00241FF7"/>
    <w:rsid w:val="002420EA"/>
    <w:rsid w:val="002424B5"/>
    <w:rsid w:val="00242FEB"/>
    <w:rsid w:val="002430B6"/>
    <w:rsid w:val="0024324F"/>
    <w:rsid w:val="00243DE3"/>
    <w:rsid w:val="00244E73"/>
    <w:rsid w:val="00244E8C"/>
    <w:rsid w:val="0024521A"/>
    <w:rsid w:val="002454FF"/>
    <w:rsid w:val="002459DB"/>
    <w:rsid w:val="00245A47"/>
    <w:rsid w:val="00245BA1"/>
    <w:rsid w:val="00245DD7"/>
    <w:rsid w:val="00245E45"/>
    <w:rsid w:val="002460C9"/>
    <w:rsid w:val="00246227"/>
    <w:rsid w:val="002464BD"/>
    <w:rsid w:val="0024654D"/>
    <w:rsid w:val="00246662"/>
    <w:rsid w:val="002466A5"/>
    <w:rsid w:val="00246ECC"/>
    <w:rsid w:val="0024740B"/>
    <w:rsid w:val="00247D2B"/>
    <w:rsid w:val="00247DEA"/>
    <w:rsid w:val="00250007"/>
    <w:rsid w:val="002500C1"/>
    <w:rsid w:val="0025023E"/>
    <w:rsid w:val="0025091E"/>
    <w:rsid w:val="00250979"/>
    <w:rsid w:val="00250C65"/>
    <w:rsid w:val="00250CAD"/>
    <w:rsid w:val="002512D4"/>
    <w:rsid w:val="002519E4"/>
    <w:rsid w:val="00251A5A"/>
    <w:rsid w:val="00251FB4"/>
    <w:rsid w:val="00252107"/>
    <w:rsid w:val="002523DF"/>
    <w:rsid w:val="002525C6"/>
    <w:rsid w:val="0025280A"/>
    <w:rsid w:val="00252886"/>
    <w:rsid w:val="00252ECA"/>
    <w:rsid w:val="002531EE"/>
    <w:rsid w:val="0025372E"/>
    <w:rsid w:val="002540AF"/>
    <w:rsid w:val="00254385"/>
    <w:rsid w:val="002544E9"/>
    <w:rsid w:val="00254594"/>
    <w:rsid w:val="0025495A"/>
    <w:rsid w:val="00254B0B"/>
    <w:rsid w:val="00254F4C"/>
    <w:rsid w:val="0025569E"/>
    <w:rsid w:val="00255B3F"/>
    <w:rsid w:val="00255E1A"/>
    <w:rsid w:val="00255ED3"/>
    <w:rsid w:val="00256555"/>
    <w:rsid w:val="00256A91"/>
    <w:rsid w:val="00256D19"/>
    <w:rsid w:val="00256F7D"/>
    <w:rsid w:val="0025718F"/>
    <w:rsid w:val="002576AE"/>
    <w:rsid w:val="00257827"/>
    <w:rsid w:val="002578AE"/>
    <w:rsid w:val="00257CE4"/>
    <w:rsid w:val="0026003B"/>
    <w:rsid w:val="002601C9"/>
    <w:rsid w:val="002602E8"/>
    <w:rsid w:val="002607E0"/>
    <w:rsid w:val="00260895"/>
    <w:rsid w:val="00260D3F"/>
    <w:rsid w:val="00260DAD"/>
    <w:rsid w:val="00260F92"/>
    <w:rsid w:val="002610B1"/>
    <w:rsid w:val="00261263"/>
    <w:rsid w:val="00261755"/>
    <w:rsid w:val="00261A2A"/>
    <w:rsid w:val="0026206A"/>
    <w:rsid w:val="00262265"/>
    <w:rsid w:val="00262AE0"/>
    <w:rsid w:val="00262B95"/>
    <w:rsid w:val="00262C8E"/>
    <w:rsid w:val="00262E4B"/>
    <w:rsid w:val="002630AF"/>
    <w:rsid w:val="00263237"/>
    <w:rsid w:val="002640C4"/>
    <w:rsid w:val="002642A2"/>
    <w:rsid w:val="002642CC"/>
    <w:rsid w:val="00264394"/>
    <w:rsid w:val="002643AA"/>
    <w:rsid w:val="002646E8"/>
    <w:rsid w:val="00264812"/>
    <w:rsid w:val="00264F8E"/>
    <w:rsid w:val="0026505F"/>
    <w:rsid w:val="00265882"/>
    <w:rsid w:val="00265954"/>
    <w:rsid w:val="00265DD4"/>
    <w:rsid w:val="00265F80"/>
    <w:rsid w:val="0026609A"/>
    <w:rsid w:val="002660A1"/>
    <w:rsid w:val="002662EE"/>
    <w:rsid w:val="00266A91"/>
    <w:rsid w:val="00266E99"/>
    <w:rsid w:val="0026702A"/>
    <w:rsid w:val="00267431"/>
    <w:rsid w:val="00267528"/>
    <w:rsid w:val="0026755A"/>
    <w:rsid w:val="00267BE5"/>
    <w:rsid w:val="00267E70"/>
    <w:rsid w:val="00270225"/>
    <w:rsid w:val="002707FD"/>
    <w:rsid w:val="002709FB"/>
    <w:rsid w:val="00270B73"/>
    <w:rsid w:val="00270CF1"/>
    <w:rsid w:val="002710CF"/>
    <w:rsid w:val="0027113D"/>
    <w:rsid w:val="002714C4"/>
    <w:rsid w:val="00271BEA"/>
    <w:rsid w:val="002722F9"/>
    <w:rsid w:val="002725E8"/>
    <w:rsid w:val="0027336C"/>
    <w:rsid w:val="002736B2"/>
    <w:rsid w:val="002739F0"/>
    <w:rsid w:val="00273C85"/>
    <w:rsid w:val="00273C8B"/>
    <w:rsid w:val="00273CD2"/>
    <w:rsid w:val="00273F17"/>
    <w:rsid w:val="002747A3"/>
    <w:rsid w:val="00275597"/>
    <w:rsid w:val="00275AB5"/>
    <w:rsid w:val="00276563"/>
    <w:rsid w:val="0027696F"/>
    <w:rsid w:val="00276BC2"/>
    <w:rsid w:val="00276EF8"/>
    <w:rsid w:val="00276F40"/>
    <w:rsid w:val="00276F5C"/>
    <w:rsid w:val="00277510"/>
    <w:rsid w:val="00277C65"/>
    <w:rsid w:val="002804A0"/>
    <w:rsid w:val="00280D43"/>
    <w:rsid w:val="00280F37"/>
    <w:rsid w:val="00280FDC"/>
    <w:rsid w:val="00281AA5"/>
    <w:rsid w:val="00281FBD"/>
    <w:rsid w:val="002821A4"/>
    <w:rsid w:val="0028233B"/>
    <w:rsid w:val="002827BF"/>
    <w:rsid w:val="00282C5F"/>
    <w:rsid w:val="00282C7A"/>
    <w:rsid w:val="00283290"/>
    <w:rsid w:val="002836D3"/>
    <w:rsid w:val="00283B22"/>
    <w:rsid w:val="00283D8B"/>
    <w:rsid w:val="00284E8B"/>
    <w:rsid w:val="00284F1A"/>
    <w:rsid w:val="00285961"/>
    <w:rsid w:val="0028665D"/>
    <w:rsid w:val="00286B9F"/>
    <w:rsid w:val="00286E84"/>
    <w:rsid w:val="00286FBA"/>
    <w:rsid w:val="00287184"/>
    <w:rsid w:val="00287457"/>
    <w:rsid w:val="0028746D"/>
    <w:rsid w:val="0028791C"/>
    <w:rsid w:val="00287A66"/>
    <w:rsid w:val="00287CA8"/>
    <w:rsid w:val="00287FE2"/>
    <w:rsid w:val="00290D13"/>
    <w:rsid w:val="00290E3E"/>
    <w:rsid w:val="00290E91"/>
    <w:rsid w:val="00291E9A"/>
    <w:rsid w:val="0029225A"/>
    <w:rsid w:val="00292582"/>
    <w:rsid w:val="00292E8C"/>
    <w:rsid w:val="002935FA"/>
    <w:rsid w:val="00293780"/>
    <w:rsid w:val="00293EA8"/>
    <w:rsid w:val="002945FA"/>
    <w:rsid w:val="0029462D"/>
    <w:rsid w:val="00294650"/>
    <w:rsid w:val="002948E8"/>
    <w:rsid w:val="00295359"/>
    <w:rsid w:val="0029566A"/>
    <w:rsid w:val="00296317"/>
    <w:rsid w:val="0029647B"/>
    <w:rsid w:val="002969D7"/>
    <w:rsid w:val="00296B02"/>
    <w:rsid w:val="00296EA7"/>
    <w:rsid w:val="00296F4B"/>
    <w:rsid w:val="002970CB"/>
    <w:rsid w:val="00297479"/>
    <w:rsid w:val="00297677"/>
    <w:rsid w:val="00297B67"/>
    <w:rsid w:val="00297EB2"/>
    <w:rsid w:val="002A00BA"/>
    <w:rsid w:val="002A066B"/>
    <w:rsid w:val="002A0695"/>
    <w:rsid w:val="002A074E"/>
    <w:rsid w:val="002A0815"/>
    <w:rsid w:val="002A0FC3"/>
    <w:rsid w:val="002A1284"/>
    <w:rsid w:val="002A1442"/>
    <w:rsid w:val="002A1ED9"/>
    <w:rsid w:val="002A1F62"/>
    <w:rsid w:val="002A233A"/>
    <w:rsid w:val="002A2744"/>
    <w:rsid w:val="002A28C0"/>
    <w:rsid w:val="002A29BE"/>
    <w:rsid w:val="002A29EB"/>
    <w:rsid w:val="002A3B8E"/>
    <w:rsid w:val="002A3C19"/>
    <w:rsid w:val="002A3CB0"/>
    <w:rsid w:val="002A4099"/>
    <w:rsid w:val="002A4592"/>
    <w:rsid w:val="002A459B"/>
    <w:rsid w:val="002A488D"/>
    <w:rsid w:val="002A4A6A"/>
    <w:rsid w:val="002A4B2B"/>
    <w:rsid w:val="002A4C23"/>
    <w:rsid w:val="002A4D61"/>
    <w:rsid w:val="002A5454"/>
    <w:rsid w:val="002A636E"/>
    <w:rsid w:val="002A63FB"/>
    <w:rsid w:val="002A654D"/>
    <w:rsid w:val="002A694F"/>
    <w:rsid w:val="002A69AB"/>
    <w:rsid w:val="002A6E26"/>
    <w:rsid w:val="002A70DC"/>
    <w:rsid w:val="002A71F4"/>
    <w:rsid w:val="002A7319"/>
    <w:rsid w:val="002A75BC"/>
    <w:rsid w:val="002A768E"/>
    <w:rsid w:val="002A7894"/>
    <w:rsid w:val="002A7B39"/>
    <w:rsid w:val="002A7EFE"/>
    <w:rsid w:val="002B06B6"/>
    <w:rsid w:val="002B0855"/>
    <w:rsid w:val="002B09E3"/>
    <w:rsid w:val="002B09E7"/>
    <w:rsid w:val="002B0D96"/>
    <w:rsid w:val="002B1133"/>
    <w:rsid w:val="002B1327"/>
    <w:rsid w:val="002B1B7B"/>
    <w:rsid w:val="002B20FF"/>
    <w:rsid w:val="002B226C"/>
    <w:rsid w:val="002B25A8"/>
    <w:rsid w:val="002B2FFF"/>
    <w:rsid w:val="002B37F0"/>
    <w:rsid w:val="002B3DA1"/>
    <w:rsid w:val="002B3EA5"/>
    <w:rsid w:val="002B41A2"/>
    <w:rsid w:val="002B4373"/>
    <w:rsid w:val="002B450F"/>
    <w:rsid w:val="002B472F"/>
    <w:rsid w:val="002B5354"/>
    <w:rsid w:val="002B58B4"/>
    <w:rsid w:val="002B5AC0"/>
    <w:rsid w:val="002B61F3"/>
    <w:rsid w:val="002B62FD"/>
    <w:rsid w:val="002B69CA"/>
    <w:rsid w:val="002B7096"/>
    <w:rsid w:val="002B7231"/>
    <w:rsid w:val="002B73E6"/>
    <w:rsid w:val="002B7CE4"/>
    <w:rsid w:val="002B7EF6"/>
    <w:rsid w:val="002C0092"/>
    <w:rsid w:val="002C0106"/>
    <w:rsid w:val="002C0425"/>
    <w:rsid w:val="002C199A"/>
    <w:rsid w:val="002C1A8D"/>
    <w:rsid w:val="002C1AD5"/>
    <w:rsid w:val="002C1AEB"/>
    <w:rsid w:val="002C1B7F"/>
    <w:rsid w:val="002C1BCE"/>
    <w:rsid w:val="002C28A7"/>
    <w:rsid w:val="002C307B"/>
    <w:rsid w:val="002C307D"/>
    <w:rsid w:val="002C389A"/>
    <w:rsid w:val="002C410B"/>
    <w:rsid w:val="002C41AB"/>
    <w:rsid w:val="002C43F2"/>
    <w:rsid w:val="002C4B35"/>
    <w:rsid w:val="002C4ECB"/>
    <w:rsid w:val="002C5565"/>
    <w:rsid w:val="002C583A"/>
    <w:rsid w:val="002C6606"/>
    <w:rsid w:val="002C66B5"/>
    <w:rsid w:val="002C6BCE"/>
    <w:rsid w:val="002C74DD"/>
    <w:rsid w:val="002C74E9"/>
    <w:rsid w:val="002C7545"/>
    <w:rsid w:val="002C7C83"/>
    <w:rsid w:val="002D07BE"/>
    <w:rsid w:val="002D0A96"/>
    <w:rsid w:val="002D0A99"/>
    <w:rsid w:val="002D1DFF"/>
    <w:rsid w:val="002D2016"/>
    <w:rsid w:val="002D2366"/>
    <w:rsid w:val="002D282C"/>
    <w:rsid w:val="002D30BE"/>
    <w:rsid w:val="002D3415"/>
    <w:rsid w:val="002D3773"/>
    <w:rsid w:val="002D421C"/>
    <w:rsid w:val="002D4331"/>
    <w:rsid w:val="002D4645"/>
    <w:rsid w:val="002D4912"/>
    <w:rsid w:val="002D4D92"/>
    <w:rsid w:val="002D5013"/>
    <w:rsid w:val="002D56A0"/>
    <w:rsid w:val="002D5AF6"/>
    <w:rsid w:val="002D5BC7"/>
    <w:rsid w:val="002D60E0"/>
    <w:rsid w:val="002D663B"/>
    <w:rsid w:val="002D6DDC"/>
    <w:rsid w:val="002D7DA4"/>
    <w:rsid w:val="002D7EE4"/>
    <w:rsid w:val="002E0344"/>
    <w:rsid w:val="002E053A"/>
    <w:rsid w:val="002E1D52"/>
    <w:rsid w:val="002E2423"/>
    <w:rsid w:val="002E2574"/>
    <w:rsid w:val="002E301B"/>
    <w:rsid w:val="002E302E"/>
    <w:rsid w:val="002E3604"/>
    <w:rsid w:val="002E3E7E"/>
    <w:rsid w:val="002E431D"/>
    <w:rsid w:val="002E450B"/>
    <w:rsid w:val="002E4C62"/>
    <w:rsid w:val="002E4C90"/>
    <w:rsid w:val="002E4EA5"/>
    <w:rsid w:val="002E5008"/>
    <w:rsid w:val="002E5E6D"/>
    <w:rsid w:val="002E5ED4"/>
    <w:rsid w:val="002E5EF8"/>
    <w:rsid w:val="002E67E5"/>
    <w:rsid w:val="002E6810"/>
    <w:rsid w:val="002E68C4"/>
    <w:rsid w:val="002E6F4F"/>
    <w:rsid w:val="002E6FC7"/>
    <w:rsid w:val="002E778C"/>
    <w:rsid w:val="002E79E6"/>
    <w:rsid w:val="002F08D4"/>
    <w:rsid w:val="002F0F4E"/>
    <w:rsid w:val="002F115C"/>
    <w:rsid w:val="002F1832"/>
    <w:rsid w:val="002F1A54"/>
    <w:rsid w:val="002F1C67"/>
    <w:rsid w:val="002F1DCB"/>
    <w:rsid w:val="002F1E2F"/>
    <w:rsid w:val="002F21AA"/>
    <w:rsid w:val="002F26F3"/>
    <w:rsid w:val="002F28EE"/>
    <w:rsid w:val="002F2C4E"/>
    <w:rsid w:val="002F3101"/>
    <w:rsid w:val="002F3131"/>
    <w:rsid w:val="002F33C9"/>
    <w:rsid w:val="002F35E2"/>
    <w:rsid w:val="002F378D"/>
    <w:rsid w:val="002F37E1"/>
    <w:rsid w:val="002F38EA"/>
    <w:rsid w:val="002F41E7"/>
    <w:rsid w:val="002F42C2"/>
    <w:rsid w:val="002F42CF"/>
    <w:rsid w:val="002F473F"/>
    <w:rsid w:val="002F4E0C"/>
    <w:rsid w:val="002F55F6"/>
    <w:rsid w:val="002F597D"/>
    <w:rsid w:val="002F5BB8"/>
    <w:rsid w:val="002F6DF7"/>
    <w:rsid w:val="002F7331"/>
    <w:rsid w:val="002F7B76"/>
    <w:rsid w:val="0030013B"/>
    <w:rsid w:val="003001D2"/>
    <w:rsid w:val="00300354"/>
    <w:rsid w:val="00300891"/>
    <w:rsid w:val="00300DC4"/>
    <w:rsid w:val="00301318"/>
    <w:rsid w:val="0030139F"/>
    <w:rsid w:val="003016BD"/>
    <w:rsid w:val="00301748"/>
    <w:rsid w:val="00301DA6"/>
    <w:rsid w:val="00301E2D"/>
    <w:rsid w:val="00302032"/>
    <w:rsid w:val="00302252"/>
    <w:rsid w:val="00302287"/>
    <w:rsid w:val="00302B5D"/>
    <w:rsid w:val="00302B9F"/>
    <w:rsid w:val="00302BC1"/>
    <w:rsid w:val="003030E4"/>
    <w:rsid w:val="003032CA"/>
    <w:rsid w:val="00303431"/>
    <w:rsid w:val="00304068"/>
    <w:rsid w:val="003042A3"/>
    <w:rsid w:val="003046CB"/>
    <w:rsid w:val="003049C8"/>
    <w:rsid w:val="003049DC"/>
    <w:rsid w:val="00304AD1"/>
    <w:rsid w:val="00304ED4"/>
    <w:rsid w:val="00304FF2"/>
    <w:rsid w:val="0030500F"/>
    <w:rsid w:val="0030538F"/>
    <w:rsid w:val="003058C6"/>
    <w:rsid w:val="003062DF"/>
    <w:rsid w:val="00306DE0"/>
    <w:rsid w:val="00306E53"/>
    <w:rsid w:val="003074EF"/>
    <w:rsid w:val="00307A69"/>
    <w:rsid w:val="00307C42"/>
    <w:rsid w:val="00307D33"/>
    <w:rsid w:val="00307DD4"/>
    <w:rsid w:val="003101FA"/>
    <w:rsid w:val="003109B5"/>
    <w:rsid w:val="003109F5"/>
    <w:rsid w:val="00310A2B"/>
    <w:rsid w:val="00310CCB"/>
    <w:rsid w:val="00311164"/>
    <w:rsid w:val="0031123C"/>
    <w:rsid w:val="003112D7"/>
    <w:rsid w:val="003116F9"/>
    <w:rsid w:val="00311943"/>
    <w:rsid w:val="00311975"/>
    <w:rsid w:val="00312304"/>
    <w:rsid w:val="00312CF7"/>
    <w:rsid w:val="00312DF4"/>
    <w:rsid w:val="00312E40"/>
    <w:rsid w:val="00313003"/>
    <w:rsid w:val="0031395D"/>
    <w:rsid w:val="00313D44"/>
    <w:rsid w:val="00313E40"/>
    <w:rsid w:val="003140F7"/>
    <w:rsid w:val="003147F6"/>
    <w:rsid w:val="00314AD5"/>
    <w:rsid w:val="00314B6A"/>
    <w:rsid w:val="00314E4C"/>
    <w:rsid w:val="00314F6E"/>
    <w:rsid w:val="0031524E"/>
    <w:rsid w:val="003152D2"/>
    <w:rsid w:val="003154EB"/>
    <w:rsid w:val="0031576B"/>
    <w:rsid w:val="00315780"/>
    <w:rsid w:val="00315D5D"/>
    <w:rsid w:val="00315E91"/>
    <w:rsid w:val="003162B9"/>
    <w:rsid w:val="00316678"/>
    <w:rsid w:val="00316744"/>
    <w:rsid w:val="00316FF8"/>
    <w:rsid w:val="00317139"/>
    <w:rsid w:val="003171B6"/>
    <w:rsid w:val="00317340"/>
    <w:rsid w:val="00317532"/>
    <w:rsid w:val="00317675"/>
    <w:rsid w:val="00320C8A"/>
    <w:rsid w:val="003214A1"/>
    <w:rsid w:val="00321659"/>
    <w:rsid w:val="00321923"/>
    <w:rsid w:val="00321BD4"/>
    <w:rsid w:val="00321C88"/>
    <w:rsid w:val="0032206E"/>
    <w:rsid w:val="00322352"/>
    <w:rsid w:val="0032252D"/>
    <w:rsid w:val="00322E10"/>
    <w:rsid w:val="00323107"/>
    <w:rsid w:val="00323184"/>
    <w:rsid w:val="0032330D"/>
    <w:rsid w:val="00323421"/>
    <w:rsid w:val="0032353A"/>
    <w:rsid w:val="0032464D"/>
    <w:rsid w:val="003246D6"/>
    <w:rsid w:val="003249C6"/>
    <w:rsid w:val="00324AC7"/>
    <w:rsid w:val="00324B1F"/>
    <w:rsid w:val="00324DC4"/>
    <w:rsid w:val="003253F6"/>
    <w:rsid w:val="00325F65"/>
    <w:rsid w:val="003266D1"/>
    <w:rsid w:val="00326788"/>
    <w:rsid w:val="00326C17"/>
    <w:rsid w:val="00326F7C"/>
    <w:rsid w:val="00326FDA"/>
    <w:rsid w:val="003276DE"/>
    <w:rsid w:val="00327829"/>
    <w:rsid w:val="00327972"/>
    <w:rsid w:val="00327AC5"/>
    <w:rsid w:val="00327DD4"/>
    <w:rsid w:val="00330029"/>
    <w:rsid w:val="0033007E"/>
    <w:rsid w:val="00330283"/>
    <w:rsid w:val="00330353"/>
    <w:rsid w:val="003307D0"/>
    <w:rsid w:val="00330974"/>
    <w:rsid w:val="00330F22"/>
    <w:rsid w:val="0033151E"/>
    <w:rsid w:val="0033152A"/>
    <w:rsid w:val="003318A1"/>
    <w:rsid w:val="00331E0F"/>
    <w:rsid w:val="00331E3F"/>
    <w:rsid w:val="00331FC4"/>
    <w:rsid w:val="00331FF5"/>
    <w:rsid w:val="00332432"/>
    <w:rsid w:val="003325CE"/>
    <w:rsid w:val="00332742"/>
    <w:rsid w:val="00332887"/>
    <w:rsid w:val="00332B26"/>
    <w:rsid w:val="00332F68"/>
    <w:rsid w:val="00333267"/>
    <w:rsid w:val="00333C91"/>
    <w:rsid w:val="0033427F"/>
    <w:rsid w:val="003343BC"/>
    <w:rsid w:val="00334675"/>
    <w:rsid w:val="00334B4F"/>
    <w:rsid w:val="00334CAB"/>
    <w:rsid w:val="003357AF"/>
    <w:rsid w:val="00336BCE"/>
    <w:rsid w:val="00337618"/>
    <w:rsid w:val="00340975"/>
    <w:rsid w:val="00340A71"/>
    <w:rsid w:val="00340D94"/>
    <w:rsid w:val="00341082"/>
    <w:rsid w:val="0034119C"/>
    <w:rsid w:val="003411B7"/>
    <w:rsid w:val="00341A0C"/>
    <w:rsid w:val="00341DEE"/>
    <w:rsid w:val="0034250A"/>
    <w:rsid w:val="0034263C"/>
    <w:rsid w:val="003426F8"/>
    <w:rsid w:val="0034288A"/>
    <w:rsid w:val="00342ABB"/>
    <w:rsid w:val="003431AB"/>
    <w:rsid w:val="00343344"/>
    <w:rsid w:val="0034340D"/>
    <w:rsid w:val="003437DF"/>
    <w:rsid w:val="00343C0F"/>
    <w:rsid w:val="00344934"/>
    <w:rsid w:val="00344D4F"/>
    <w:rsid w:val="003453FD"/>
    <w:rsid w:val="00345A27"/>
    <w:rsid w:val="00346095"/>
    <w:rsid w:val="003463F1"/>
    <w:rsid w:val="003465E6"/>
    <w:rsid w:val="003465FF"/>
    <w:rsid w:val="003466CD"/>
    <w:rsid w:val="0034688F"/>
    <w:rsid w:val="00346927"/>
    <w:rsid w:val="00346A15"/>
    <w:rsid w:val="00347426"/>
    <w:rsid w:val="00347F51"/>
    <w:rsid w:val="003506CA"/>
    <w:rsid w:val="0035085A"/>
    <w:rsid w:val="00350C33"/>
    <w:rsid w:val="00351126"/>
    <w:rsid w:val="0035116A"/>
    <w:rsid w:val="00351314"/>
    <w:rsid w:val="0035142D"/>
    <w:rsid w:val="00351552"/>
    <w:rsid w:val="0035177D"/>
    <w:rsid w:val="00351881"/>
    <w:rsid w:val="00351B89"/>
    <w:rsid w:val="00351BED"/>
    <w:rsid w:val="00351C48"/>
    <w:rsid w:val="0035219F"/>
    <w:rsid w:val="003524EF"/>
    <w:rsid w:val="00352580"/>
    <w:rsid w:val="003526E1"/>
    <w:rsid w:val="003528EF"/>
    <w:rsid w:val="00352E02"/>
    <w:rsid w:val="00353615"/>
    <w:rsid w:val="00353647"/>
    <w:rsid w:val="0035368F"/>
    <w:rsid w:val="0035391E"/>
    <w:rsid w:val="00353D13"/>
    <w:rsid w:val="0035424F"/>
    <w:rsid w:val="0035488E"/>
    <w:rsid w:val="00354A57"/>
    <w:rsid w:val="00354F9B"/>
    <w:rsid w:val="0035506B"/>
    <w:rsid w:val="003550A9"/>
    <w:rsid w:val="00355A4C"/>
    <w:rsid w:val="00355B3B"/>
    <w:rsid w:val="003566EC"/>
    <w:rsid w:val="00356EE6"/>
    <w:rsid w:val="003570E1"/>
    <w:rsid w:val="003573C7"/>
    <w:rsid w:val="00357B18"/>
    <w:rsid w:val="00357E6D"/>
    <w:rsid w:val="003604C0"/>
    <w:rsid w:val="00360669"/>
    <w:rsid w:val="003609BC"/>
    <w:rsid w:val="00360F69"/>
    <w:rsid w:val="00360FD8"/>
    <w:rsid w:val="00361600"/>
    <w:rsid w:val="00362573"/>
    <w:rsid w:val="00362621"/>
    <w:rsid w:val="00362AA7"/>
    <w:rsid w:val="00362ED1"/>
    <w:rsid w:val="00362F50"/>
    <w:rsid w:val="00362FA7"/>
    <w:rsid w:val="00362FFF"/>
    <w:rsid w:val="00363118"/>
    <w:rsid w:val="00363AEC"/>
    <w:rsid w:val="003644B7"/>
    <w:rsid w:val="003644F4"/>
    <w:rsid w:val="00364E04"/>
    <w:rsid w:val="00364F64"/>
    <w:rsid w:val="003651EF"/>
    <w:rsid w:val="00366668"/>
    <w:rsid w:val="003666AD"/>
    <w:rsid w:val="0036704A"/>
    <w:rsid w:val="0036739F"/>
    <w:rsid w:val="00367453"/>
    <w:rsid w:val="00367828"/>
    <w:rsid w:val="00367F41"/>
    <w:rsid w:val="003708B6"/>
    <w:rsid w:val="003708C3"/>
    <w:rsid w:val="003708EF"/>
    <w:rsid w:val="00370FFA"/>
    <w:rsid w:val="0037140A"/>
    <w:rsid w:val="003716C8"/>
    <w:rsid w:val="003718F7"/>
    <w:rsid w:val="00372814"/>
    <w:rsid w:val="0037284E"/>
    <w:rsid w:val="00372CDB"/>
    <w:rsid w:val="00372D9A"/>
    <w:rsid w:val="003736CE"/>
    <w:rsid w:val="003738A5"/>
    <w:rsid w:val="00373A3B"/>
    <w:rsid w:val="00373D7C"/>
    <w:rsid w:val="00373D91"/>
    <w:rsid w:val="00373E87"/>
    <w:rsid w:val="00373F46"/>
    <w:rsid w:val="00374786"/>
    <w:rsid w:val="00374C57"/>
    <w:rsid w:val="00375158"/>
    <w:rsid w:val="003759C7"/>
    <w:rsid w:val="00375DE2"/>
    <w:rsid w:val="00376554"/>
    <w:rsid w:val="003772B4"/>
    <w:rsid w:val="003773F3"/>
    <w:rsid w:val="0037744D"/>
    <w:rsid w:val="00377490"/>
    <w:rsid w:val="00377752"/>
    <w:rsid w:val="00377977"/>
    <w:rsid w:val="00380525"/>
    <w:rsid w:val="00380768"/>
    <w:rsid w:val="00380E13"/>
    <w:rsid w:val="00381289"/>
    <w:rsid w:val="00381760"/>
    <w:rsid w:val="00382419"/>
    <w:rsid w:val="00382549"/>
    <w:rsid w:val="00382640"/>
    <w:rsid w:val="00382851"/>
    <w:rsid w:val="00382A22"/>
    <w:rsid w:val="00383451"/>
    <w:rsid w:val="00383472"/>
    <w:rsid w:val="00383663"/>
    <w:rsid w:val="003843A6"/>
    <w:rsid w:val="00384CFC"/>
    <w:rsid w:val="00384D04"/>
    <w:rsid w:val="00384EA3"/>
    <w:rsid w:val="003851A7"/>
    <w:rsid w:val="00385436"/>
    <w:rsid w:val="00385BF4"/>
    <w:rsid w:val="003862BE"/>
    <w:rsid w:val="0038636F"/>
    <w:rsid w:val="003866C7"/>
    <w:rsid w:val="00386703"/>
    <w:rsid w:val="003867D9"/>
    <w:rsid w:val="00386BF0"/>
    <w:rsid w:val="00386C67"/>
    <w:rsid w:val="00386EFC"/>
    <w:rsid w:val="00387693"/>
    <w:rsid w:val="00387AD4"/>
    <w:rsid w:val="00387CED"/>
    <w:rsid w:val="00390704"/>
    <w:rsid w:val="00390D59"/>
    <w:rsid w:val="003911E9"/>
    <w:rsid w:val="00391232"/>
    <w:rsid w:val="0039138D"/>
    <w:rsid w:val="003915D5"/>
    <w:rsid w:val="00391C6A"/>
    <w:rsid w:val="00391F52"/>
    <w:rsid w:val="003922FC"/>
    <w:rsid w:val="00393220"/>
    <w:rsid w:val="003933B1"/>
    <w:rsid w:val="003934A3"/>
    <w:rsid w:val="00394047"/>
    <w:rsid w:val="003940CE"/>
    <w:rsid w:val="003943CD"/>
    <w:rsid w:val="00394880"/>
    <w:rsid w:val="00394921"/>
    <w:rsid w:val="003953D5"/>
    <w:rsid w:val="0039550D"/>
    <w:rsid w:val="00395C3F"/>
    <w:rsid w:val="003965E8"/>
    <w:rsid w:val="00396FAC"/>
    <w:rsid w:val="003976C5"/>
    <w:rsid w:val="0039782B"/>
    <w:rsid w:val="00397A98"/>
    <w:rsid w:val="00397E3B"/>
    <w:rsid w:val="003A0467"/>
    <w:rsid w:val="003A0C43"/>
    <w:rsid w:val="003A0F42"/>
    <w:rsid w:val="003A16FA"/>
    <w:rsid w:val="003A217C"/>
    <w:rsid w:val="003A25C3"/>
    <w:rsid w:val="003A2CA4"/>
    <w:rsid w:val="003A2F62"/>
    <w:rsid w:val="003A3122"/>
    <w:rsid w:val="003A36FC"/>
    <w:rsid w:val="003A3B4E"/>
    <w:rsid w:val="003A4AF4"/>
    <w:rsid w:val="003A504C"/>
    <w:rsid w:val="003A5746"/>
    <w:rsid w:val="003A5C00"/>
    <w:rsid w:val="003A6035"/>
    <w:rsid w:val="003A643B"/>
    <w:rsid w:val="003A6779"/>
    <w:rsid w:val="003A6C46"/>
    <w:rsid w:val="003A6F24"/>
    <w:rsid w:val="003A706D"/>
    <w:rsid w:val="003A718C"/>
    <w:rsid w:val="003A7300"/>
    <w:rsid w:val="003A7399"/>
    <w:rsid w:val="003A7692"/>
    <w:rsid w:val="003A7A9E"/>
    <w:rsid w:val="003A7B32"/>
    <w:rsid w:val="003A7E4B"/>
    <w:rsid w:val="003B0018"/>
    <w:rsid w:val="003B072D"/>
    <w:rsid w:val="003B0F4C"/>
    <w:rsid w:val="003B13CC"/>
    <w:rsid w:val="003B1525"/>
    <w:rsid w:val="003B1622"/>
    <w:rsid w:val="003B1772"/>
    <w:rsid w:val="003B1796"/>
    <w:rsid w:val="003B17C8"/>
    <w:rsid w:val="003B1852"/>
    <w:rsid w:val="003B2784"/>
    <w:rsid w:val="003B29B9"/>
    <w:rsid w:val="003B2ACD"/>
    <w:rsid w:val="003B2DA8"/>
    <w:rsid w:val="003B3059"/>
    <w:rsid w:val="003B3C04"/>
    <w:rsid w:val="003B4746"/>
    <w:rsid w:val="003B47B3"/>
    <w:rsid w:val="003B49E7"/>
    <w:rsid w:val="003B4C75"/>
    <w:rsid w:val="003B4CF1"/>
    <w:rsid w:val="003B4D4E"/>
    <w:rsid w:val="003B5498"/>
    <w:rsid w:val="003B5B30"/>
    <w:rsid w:val="003B5CA4"/>
    <w:rsid w:val="003B5CCE"/>
    <w:rsid w:val="003B635E"/>
    <w:rsid w:val="003B6640"/>
    <w:rsid w:val="003B667D"/>
    <w:rsid w:val="003B67FC"/>
    <w:rsid w:val="003B6AAB"/>
    <w:rsid w:val="003B6DC5"/>
    <w:rsid w:val="003B7260"/>
    <w:rsid w:val="003B78A5"/>
    <w:rsid w:val="003B7ADC"/>
    <w:rsid w:val="003B7DBF"/>
    <w:rsid w:val="003B7DFE"/>
    <w:rsid w:val="003C01C7"/>
    <w:rsid w:val="003C01F8"/>
    <w:rsid w:val="003C098E"/>
    <w:rsid w:val="003C0999"/>
    <w:rsid w:val="003C0D2D"/>
    <w:rsid w:val="003C1B37"/>
    <w:rsid w:val="003C1C52"/>
    <w:rsid w:val="003C1C5E"/>
    <w:rsid w:val="003C1DEA"/>
    <w:rsid w:val="003C1F4A"/>
    <w:rsid w:val="003C2075"/>
    <w:rsid w:val="003C21F7"/>
    <w:rsid w:val="003C2ABB"/>
    <w:rsid w:val="003C2F16"/>
    <w:rsid w:val="003C331A"/>
    <w:rsid w:val="003C391D"/>
    <w:rsid w:val="003C3A3F"/>
    <w:rsid w:val="003C3B24"/>
    <w:rsid w:val="003C42D1"/>
    <w:rsid w:val="003C4357"/>
    <w:rsid w:val="003C45CE"/>
    <w:rsid w:val="003C45E2"/>
    <w:rsid w:val="003C463A"/>
    <w:rsid w:val="003C468A"/>
    <w:rsid w:val="003C46EA"/>
    <w:rsid w:val="003C48B4"/>
    <w:rsid w:val="003C4B15"/>
    <w:rsid w:val="003C6AA8"/>
    <w:rsid w:val="003C6B55"/>
    <w:rsid w:val="003C7127"/>
    <w:rsid w:val="003D07A9"/>
    <w:rsid w:val="003D0DEA"/>
    <w:rsid w:val="003D0E9E"/>
    <w:rsid w:val="003D0F0B"/>
    <w:rsid w:val="003D1099"/>
    <w:rsid w:val="003D11FC"/>
    <w:rsid w:val="003D14D6"/>
    <w:rsid w:val="003D1A7B"/>
    <w:rsid w:val="003D1A8C"/>
    <w:rsid w:val="003D1F44"/>
    <w:rsid w:val="003D210E"/>
    <w:rsid w:val="003D23C6"/>
    <w:rsid w:val="003D2465"/>
    <w:rsid w:val="003D2B96"/>
    <w:rsid w:val="003D2C14"/>
    <w:rsid w:val="003D35DA"/>
    <w:rsid w:val="003D3E23"/>
    <w:rsid w:val="003D41FB"/>
    <w:rsid w:val="003D4459"/>
    <w:rsid w:val="003D45AD"/>
    <w:rsid w:val="003D4B5F"/>
    <w:rsid w:val="003D4E7B"/>
    <w:rsid w:val="003D4EFA"/>
    <w:rsid w:val="003D5005"/>
    <w:rsid w:val="003D52C0"/>
    <w:rsid w:val="003D53C1"/>
    <w:rsid w:val="003D55A0"/>
    <w:rsid w:val="003D586E"/>
    <w:rsid w:val="003D5CA3"/>
    <w:rsid w:val="003D60A5"/>
    <w:rsid w:val="003D6339"/>
    <w:rsid w:val="003D684D"/>
    <w:rsid w:val="003D689A"/>
    <w:rsid w:val="003D6B2B"/>
    <w:rsid w:val="003D6FD3"/>
    <w:rsid w:val="003D7618"/>
    <w:rsid w:val="003D7B64"/>
    <w:rsid w:val="003E033B"/>
    <w:rsid w:val="003E0463"/>
    <w:rsid w:val="003E0568"/>
    <w:rsid w:val="003E0982"/>
    <w:rsid w:val="003E0AE1"/>
    <w:rsid w:val="003E0D9B"/>
    <w:rsid w:val="003E0E82"/>
    <w:rsid w:val="003E157A"/>
    <w:rsid w:val="003E1801"/>
    <w:rsid w:val="003E19FE"/>
    <w:rsid w:val="003E1A45"/>
    <w:rsid w:val="003E1AB8"/>
    <w:rsid w:val="003E2457"/>
    <w:rsid w:val="003E2B3E"/>
    <w:rsid w:val="003E2C42"/>
    <w:rsid w:val="003E2DC5"/>
    <w:rsid w:val="003E3A76"/>
    <w:rsid w:val="003E3E0B"/>
    <w:rsid w:val="003E400C"/>
    <w:rsid w:val="003E400E"/>
    <w:rsid w:val="003E46E7"/>
    <w:rsid w:val="003E4A26"/>
    <w:rsid w:val="003E4B3F"/>
    <w:rsid w:val="003E4F45"/>
    <w:rsid w:val="003E508C"/>
    <w:rsid w:val="003E54EA"/>
    <w:rsid w:val="003E5724"/>
    <w:rsid w:val="003E59ED"/>
    <w:rsid w:val="003E65DA"/>
    <w:rsid w:val="003E71C9"/>
    <w:rsid w:val="003E76B5"/>
    <w:rsid w:val="003E7C0C"/>
    <w:rsid w:val="003F065E"/>
    <w:rsid w:val="003F0D9D"/>
    <w:rsid w:val="003F1658"/>
    <w:rsid w:val="003F19BE"/>
    <w:rsid w:val="003F1C2C"/>
    <w:rsid w:val="003F1FE7"/>
    <w:rsid w:val="003F2142"/>
    <w:rsid w:val="003F21D6"/>
    <w:rsid w:val="003F2239"/>
    <w:rsid w:val="003F277B"/>
    <w:rsid w:val="003F2CFC"/>
    <w:rsid w:val="003F3045"/>
    <w:rsid w:val="003F376E"/>
    <w:rsid w:val="003F3BB8"/>
    <w:rsid w:val="003F4124"/>
    <w:rsid w:val="003F427E"/>
    <w:rsid w:val="003F44C6"/>
    <w:rsid w:val="003F4AC3"/>
    <w:rsid w:val="003F4E22"/>
    <w:rsid w:val="003F5865"/>
    <w:rsid w:val="003F593F"/>
    <w:rsid w:val="003F5B8A"/>
    <w:rsid w:val="003F5D44"/>
    <w:rsid w:val="003F6159"/>
    <w:rsid w:val="003F6B9E"/>
    <w:rsid w:val="003F7114"/>
    <w:rsid w:val="003F712C"/>
    <w:rsid w:val="003F7307"/>
    <w:rsid w:val="003F7815"/>
    <w:rsid w:val="003F78B1"/>
    <w:rsid w:val="003F799B"/>
    <w:rsid w:val="003F7B2A"/>
    <w:rsid w:val="004002A1"/>
    <w:rsid w:val="00400DC5"/>
    <w:rsid w:val="0040122F"/>
    <w:rsid w:val="004014BD"/>
    <w:rsid w:val="00401AD4"/>
    <w:rsid w:val="00401EB7"/>
    <w:rsid w:val="00402CA7"/>
    <w:rsid w:val="00402CF3"/>
    <w:rsid w:val="0040353B"/>
    <w:rsid w:val="004036D1"/>
    <w:rsid w:val="00403740"/>
    <w:rsid w:val="00403BDC"/>
    <w:rsid w:val="00403F38"/>
    <w:rsid w:val="00404349"/>
    <w:rsid w:val="004045C3"/>
    <w:rsid w:val="00404656"/>
    <w:rsid w:val="004052EC"/>
    <w:rsid w:val="00405646"/>
    <w:rsid w:val="00405D4A"/>
    <w:rsid w:val="00405E70"/>
    <w:rsid w:val="00406970"/>
    <w:rsid w:val="00406E52"/>
    <w:rsid w:val="00406E7F"/>
    <w:rsid w:val="00407149"/>
    <w:rsid w:val="00407274"/>
    <w:rsid w:val="00407631"/>
    <w:rsid w:val="00407710"/>
    <w:rsid w:val="00407789"/>
    <w:rsid w:val="0040780E"/>
    <w:rsid w:val="00407F6E"/>
    <w:rsid w:val="00410233"/>
    <w:rsid w:val="004108A3"/>
    <w:rsid w:val="00410EC8"/>
    <w:rsid w:val="00411055"/>
    <w:rsid w:val="00411073"/>
    <w:rsid w:val="00411AB1"/>
    <w:rsid w:val="00411BD4"/>
    <w:rsid w:val="00411F3C"/>
    <w:rsid w:val="00412538"/>
    <w:rsid w:val="00412A5A"/>
    <w:rsid w:val="00412C01"/>
    <w:rsid w:val="00413584"/>
    <w:rsid w:val="004138CD"/>
    <w:rsid w:val="004138E2"/>
    <w:rsid w:val="00413AE4"/>
    <w:rsid w:val="00413B76"/>
    <w:rsid w:val="00413D26"/>
    <w:rsid w:val="004142AA"/>
    <w:rsid w:val="004145F8"/>
    <w:rsid w:val="004146F8"/>
    <w:rsid w:val="00414BFB"/>
    <w:rsid w:val="00415369"/>
    <w:rsid w:val="00415416"/>
    <w:rsid w:val="004155A2"/>
    <w:rsid w:val="00415626"/>
    <w:rsid w:val="004157BB"/>
    <w:rsid w:val="0041594C"/>
    <w:rsid w:val="00416596"/>
    <w:rsid w:val="00416E67"/>
    <w:rsid w:val="004174F6"/>
    <w:rsid w:val="00417AA1"/>
    <w:rsid w:val="00417B12"/>
    <w:rsid w:val="0042077F"/>
    <w:rsid w:val="00420805"/>
    <w:rsid w:val="00420897"/>
    <w:rsid w:val="004208BA"/>
    <w:rsid w:val="00420BD6"/>
    <w:rsid w:val="004210F3"/>
    <w:rsid w:val="00421E5E"/>
    <w:rsid w:val="00421F33"/>
    <w:rsid w:val="00422A0D"/>
    <w:rsid w:val="00423802"/>
    <w:rsid w:val="0042390C"/>
    <w:rsid w:val="0042398F"/>
    <w:rsid w:val="00423AD5"/>
    <w:rsid w:val="004240C8"/>
    <w:rsid w:val="004242B2"/>
    <w:rsid w:val="004242EE"/>
    <w:rsid w:val="00424791"/>
    <w:rsid w:val="004249A2"/>
    <w:rsid w:val="00424AA5"/>
    <w:rsid w:val="00424ABC"/>
    <w:rsid w:val="00425338"/>
    <w:rsid w:val="00425515"/>
    <w:rsid w:val="00425B38"/>
    <w:rsid w:val="00425CE3"/>
    <w:rsid w:val="00425D6C"/>
    <w:rsid w:val="00426053"/>
    <w:rsid w:val="0042652F"/>
    <w:rsid w:val="004265BD"/>
    <w:rsid w:val="00426655"/>
    <w:rsid w:val="004276BE"/>
    <w:rsid w:val="0042798C"/>
    <w:rsid w:val="00427C8C"/>
    <w:rsid w:val="00430191"/>
    <w:rsid w:val="00430A73"/>
    <w:rsid w:val="004318FC"/>
    <w:rsid w:val="0043290A"/>
    <w:rsid w:val="004329E3"/>
    <w:rsid w:val="004337AB"/>
    <w:rsid w:val="00433E0F"/>
    <w:rsid w:val="00434090"/>
    <w:rsid w:val="0043456E"/>
    <w:rsid w:val="0043468E"/>
    <w:rsid w:val="00434890"/>
    <w:rsid w:val="00434E9F"/>
    <w:rsid w:val="00434EC0"/>
    <w:rsid w:val="00434FC0"/>
    <w:rsid w:val="00435029"/>
    <w:rsid w:val="004355E6"/>
    <w:rsid w:val="004358C7"/>
    <w:rsid w:val="00435B7B"/>
    <w:rsid w:val="00435CD1"/>
    <w:rsid w:val="00435F35"/>
    <w:rsid w:val="00436166"/>
    <w:rsid w:val="00436566"/>
    <w:rsid w:val="00436C1E"/>
    <w:rsid w:val="00437038"/>
    <w:rsid w:val="00437262"/>
    <w:rsid w:val="00437725"/>
    <w:rsid w:val="00437F1E"/>
    <w:rsid w:val="00437F50"/>
    <w:rsid w:val="00440845"/>
    <w:rsid w:val="004409E5"/>
    <w:rsid w:val="00440B17"/>
    <w:rsid w:val="00440BA1"/>
    <w:rsid w:val="00441626"/>
    <w:rsid w:val="00441E14"/>
    <w:rsid w:val="00441EF7"/>
    <w:rsid w:val="004424F5"/>
    <w:rsid w:val="00442F1B"/>
    <w:rsid w:val="00442F23"/>
    <w:rsid w:val="0044325A"/>
    <w:rsid w:val="004435CA"/>
    <w:rsid w:val="00443BF0"/>
    <w:rsid w:val="00444147"/>
    <w:rsid w:val="00444560"/>
    <w:rsid w:val="004445D1"/>
    <w:rsid w:val="00444867"/>
    <w:rsid w:val="00444B12"/>
    <w:rsid w:val="004454AE"/>
    <w:rsid w:val="004454E1"/>
    <w:rsid w:val="00445836"/>
    <w:rsid w:val="00445B82"/>
    <w:rsid w:val="00445CEF"/>
    <w:rsid w:val="00446350"/>
    <w:rsid w:val="00447655"/>
    <w:rsid w:val="004477F4"/>
    <w:rsid w:val="00447831"/>
    <w:rsid w:val="00450530"/>
    <w:rsid w:val="00451122"/>
    <w:rsid w:val="00451681"/>
    <w:rsid w:val="00451A42"/>
    <w:rsid w:val="00451DD2"/>
    <w:rsid w:val="00451E05"/>
    <w:rsid w:val="004527E9"/>
    <w:rsid w:val="00452C78"/>
    <w:rsid w:val="00452D81"/>
    <w:rsid w:val="00452F3E"/>
    <w:rsid w:val="004532C9"/>
    <w:rsid w:val="004533B0"/>
    <w:rsid w:val="004537C1"/>
    <w:rsid w:val="00454319"/>
    <w:rsid w:val="004544D3"/>
    <w:rsid w:val="00454C6D"/>
    <w:rsid w:val="00454FF0"/>
    <w:rsid w:val="004552FA"/>
    <w:rsid w:val="00456156"/>
    <w:rsid w:val="004567B2"/>
    <w:rsid w:val="00456AED"/>
    <w:rsid w:val="00456E16"/>
    <w:rsid w:val="00460BFA"/>
    <w:rsid w:val="00461342"/>
    <w:rsid w:val="00461383"/>
    <w:rsid w:val="00461417"/>
    <w:rsid w:val="0046166A"/>
    <w:rsid w:val="004617C3"/>
    <w:rsid w:val="00462141"/>
    <w:rsid w:val="00462292"/>
    <w:rsid w:val="004627C0"/>
    <w:rsid w:val="004627DB"/>
    <w:rsid w:val="00462E97"/>
    <w:rsid w:val="004636C9"/>
    <w:rsid w:val="00463765"/>
    <w:rsid w:val="00463A65"/>
    <w:rsid w:val="00463A7D"/>
    <w:rsid w:val="00463EF5"/>
    <w:rsid w:val="004640FC"/>
    <w:rsid w:val="004644A8"/>
    <w:rsid w:val="00464643"/>
    <w:rsid w:val="004649FA"/>
    <w:rsid w:val="00464E8C"/>
    <w:rsid w:val="00464EBD"/>
    <w:rsid w:val="004652D9"/>
    <w:rsid w:val="004658E9"/>
    <w:rsid w:val="00465ABD"/>
    <w:rsid w:val="00465FCC"/>
    <w:rsid w:val="00466652"/>
    <w:rsid w:val="00466A59"/>
    <w:rsid w:val="00466D81"/>
    <w:rsid w:val="004672B8"/>
    <w:rsid w:val="0046762F"/>
    <w:rsid w:val="00470140"/>
    <w:rsid w:val="004702E7"/>
    <w:rsid w:val="004702EA"/>
    <w:rsid w:val="00470E64"/>
    <w:rsid w:val="00470F95"/>
    <w:rsid w:val="00471820"/>
    <w:rsid w:val="0047252A"/>
    <w:rsid w:val="004727D7"/>
    <w:rsid w:val="004741AF"/>
    <w:rsid w:val="0047463C"/>
    <w:rsid w:val="00474857"/>
    <w:rsid w:val="00474A19"/>
    <w:rsid w:val="00474FD1"/>
    <w:rsid w:val="00475439"/>
    <w:rsid w:val="004755E7"/>
    <w:rsid w:val="00475745"/>
    <w:rsid w:val="00475AE4"/>
    <w:rsid w:val="00475B55"/>
    <w:rsid w:val="00475CBE"/>
    <w:rsid w:val="004764C2"/>
    <w:rsid w:val="00476C23"/>
    <w:rsid w:val="004771A6"/>
    <w:rsid w:val="00477396"/>
    <w:rsid w:val="004774E6"/>
    <w:rsid w:val="004776B5"/>
    <w:rsid w:val="004778C5"/>
    <w:rsid w:val="00477C25"/>
    <w:rsid w:val="00477E51"/>
    <w:rsid w:val="0048060E"/>
    <w:rsid w:val="00480719"/>
    <w:rsid w:val="00480A22"/>
    <w:rsid w:val="00480BC1"/>
    <w:rsid w:val="00480E3E"/>
    <w:rsid w:val="00481498"/>
    <w:rsid w:val="0048184E"/>
    <w:rsid w:val="00481D69"/>
    <w:rsid w:val="00482516"/>
    <w:rsid w:val="00482817"/>
    <w:rsid w:val="00482BB8"/>
    <w:rsid w:val="0048316A"/>
    <w:rsid w:val="00483223"/>
    <w:rsid w:val="004832BE"/>
    <w:rsid w:val="00483726"/>
    <w:rsid w:val="00483CD4"/>
    <w:rsid w:val="00485A06"/>
    <w:rsid w:val="00485FE7"/>
    <w:rsid w:val="004862EA"/>
    <w:rsid w:val="0048641F"/>
    <w:rsid w:val="00486591"/>
    <w:rsid w:val="00486B92"/>
    <w:rsid w:val="00486D3C"/>
    <w:rsid w:val="004870FD"/>
    <w:rsid w:val="0048714C"/>
    <w:rsid w:val="004871BB"/>
    <w:rsid w:val="004873BB"/>
    <w:rsid w:val="004873BC"/>
    <w:rsid w:val="00487573"/>
    <w:rsid w:val="00487A66"/>
    <w:rsid w:val="00487DF2"/>
    <w:rsid w:val="00487FCE"/>
    <w:rsid w:val="004909B4"/>
    <w:rsid w:val="00490A48"/>
    <w:rsid w:val="00491FAA"/>
    <w:rsid w:val="0049271B"/>
    <w:rsid w:val="00492EA7"/>
    <w:rsid w:val="00492F6B"/>
    <w:rsid w:val="004930B5"/>
    <w:rsid w:val="0049326C"/>
    <w:rsid w:val="00493445"/>
    <w:rsid w:val="0049347B"/>
    <w:rsid w:val="00493BCA"/>
    <w:rsid w:val="00493D14"/>
    <w:rsid w:val="00494103"/>
    <w:rsid w:val="0049467A"/>
    <w:rsid w:val="00494947"/>
    <w:rsid w:val="00494AA1"/>
    <w:rsid w:val="00494B1D"/>
    <w:rsid w:val="00494E90"/>
    <w:rsid w:val="0049523E"/>
    <w:rsid w:val="004953AB"/>
    <w:rsid w:val="00495410"/>
    <w:rsid w:val="0049556B"/>
    <w:rsid w:val="0049559B"/>
    <w:rsid w:val="00495B05"/>
    <w:rsid w:val="00495C4B"/>
    <w:rsid w:val="00495CC1"/>
    <w:rsid w:val="00495CFB"/>
    <w:rsid w:val="00495D64"/>
    <w:rsid w:val="00496429"/>
    <w:rsid w:val="004970C7"/>
    <w:rsid w:val="00497205"/>
    <w:rsid w:val="004975A9"/>
    <w:rsid w:val="00497A51"/>
    <w:rsid w:val="004A076B"/>
    <w:rsid w:val="004A0921"/>
    <w:rsid w:val="004A11E7"/>
    <w:rsid w:val="004A1493"/>
    <w:rsid w:val="004A1A6F"/>
    <w:rsid w:val="004A242A"/>
    <w:rsid w:val="004A252A"/>
    <w:rsid w:val="004A26CC"/>
    <w:rsid w:val="004A2CB4"/>
    <w:rsid w:val="004A2CB5"/>
    <w:rsid w:val="004A2FB4"/>
    <w:rsid w:val="004A301B"/>
    <w:rsid w:val="004A3AF8"/>
    <w:rsid w:val="004A3F25"/>
    <w:rsid w:val="004A3F86"/>
    <w:rsid w:val="004A433A"/>
    <w:rsid w:val="004A443A"/>
    <w:rsid w:val="004A4898"/>
    <w:rsid w:val="004A4BE6"/>
    <w:rsid w:val="004A50AF"/>
    <w:rsid w:val="004A5DC4"/>
    <w:rsid w:val="004A661C"/>
    <w:rsid w:val="004A66E3"/>
    <w:rsid w:val="004A6A1A"/>
    <w:rsid w:val="004A6E68"/>
    <w:rsid w:val="004A78BA"/>
    <w:rsid w:val="004A7B4B"/>
    <w:rsid w:val="004A7C79"/>
    <w:rsid w:val="004B0C96"/>
    <w:rsid w:val="004B12A8"/>
    <w:rsid w:val="004B1E87"/>
    <w:rsid w:val="004B2133"/>
    <w:rsid w:val="004B2406"/>
    <w:rsid w:val="004B2480"/>
    <w:rsid w:val="004B24BF"/>
    <w:rsid w:val="004B2A1E"/>
    <w:rsid w:val="004B2CF1"/>
    <w:rsid w:val="004B2E0B"/>
    <w:rsid w:val="004B305F"/>
    <w:rsid w:val="004B334E"/>
    <w:rsid w:val="004B38A3"/>
    <w:rsid w:val="004B3979"/>
    <w:rsid w:val="004B41CF"/>
    <w:rsid w:val="004B428D"/>
    <w:rsid w:val="004B469A"/>
    <w:rsid w:val="004B4A70"/>
    <w:rsid w:val="004B4E6B"/>
    <w:rsid w:val="004B50EA"/>
    <w:rsid w:val="004B5369"/>
    <w:rsid w:val="004B5DE7"/>
    <w:rsid w:val="004B5F17"/>
    <w:rsid w:val="004B5F61"/>
    <w:rsid w:val="004B6212"/>
    <w:rsid w:val="004B6C55"/>
    <w:rsid w:val="004B7744"/>
    <w:rsid w:val="004B7900"/>
    <w:rsid w:val="004B79AA"/>
    <w:rsid w:val="004B7B95"/>
    <w:rsid w:val="004B7C0F"/>
    <w:rsid w:val="004B7DBD"/>
    <w:rsid w:val="004C04D9"/>
    <w:rsid w:val="004C04DC"/>
    <w:rsid w:val="004C05BF"/>
    <w:rsid w:val="004C0DA6"/>
    <w:rsid w:val="004C1186"/>
    <w:rsid w:val="004C11B7"/>
    <w:rsid w:val="004C1406"/>
    <w:rsid w:val="004C16C4"/>
    <w:rsid w:val="004C1C51"/>
    <w:rsid w:val="004C1CF9"/>
    <w:rsid w:val="004C2318"/>
    <w:rsid w:val="004C2BA7"/>
    <w:rsid w:val="004C3200"/>
    <w:rsid w:val="004C3A33"/>
    <w:rsid w:val="004C3AB5"/>
    <w:rsid w:val="004C4226"/>
    <w:rsid w:val="004C46F3"/>
    <w:rsid w:val="004C4B2D"/>
    <w:rsid w:val="004C5139"/>
    <w:rsid w:val="004C5C86"/>
    <w:rsid w:val="004C5D41"/>
    <w:rsid w:val="004C61F3"/>
    <w:rsid w:val="004C62C7"/>
    <w:rsid w:val="004C7120"/>
    <w:rsid w:val="004C7535"/>
    <w:rsid w:val="004C7E3E"/>
    <w:rsid w:val="004D0489"/>
    <w:rsid w:val="004D059D"/>
    <w:rsid w:val="004D0B03"/>
    <w:rsid w:val="004D0C48"/>
    <w:rsid w:val="004D1986"/>
    <w:rsid w:val="004D21DF"/>
    <w:rsid w:val="004D2617"/>
    <w:rsid w:val="004D2DE8"/>
    <w:rsid w:val="004D2F6F"/>
    <w:rsid w:val="004D336A"/>
    <w:rsid w:val="004D3644"/>
    <w:rsid w:val="004D3BBA"/>
    <w:rsid w:val="004D4329"/>
    <w:rsid w:val="004D447E"/>
    <w:rsid w:val="004D44B3"/>
    <w:rsid w:val="004D47E6"/>
    <w:rsid w:val="004D4F87"/>
    <w:rsid w:val="004D5866"/>
    <w:rsid w:val="004D59CF"/>
    <w:rsid w:val="004D59F3"/>
    <w:rsid w:val="004D6477"/>
    <w:rsid w:val="004D6ADE"/>
    <w:rsid w:val="004D7999"/>
    <w:rsid w:val="004D7E0E"/>
    <w:rsid w:val="004E0785"/>
    <w:rsid w:val="004E0946"/>
    <w:rsid w:val="004E0D72"/>
    <w:rsid w:val="004E120D"/>
    <w:rsid w:val="004E1788"/>
    <w:rsid w:val="004E19A9"/>
    <w:rsid w:val="004E1B78"/>
    <w:rsid w:val="004E1C0C"/>
    <w:rsid w:val="004E1FAE"/>
    <w:rsid w:val="004E212B"/>
    <w:rsid w:val="004E24BC"/>
    <w:rsid w:val="004E2734"/>
    <w:rsid w:val="004E3656"/>
    <w:rsid w:val="004E3D4B"/>
    <w:rsid w:val="004E4D62"/>
    <w:rsid w:val="004E51B6"/>
    <w:rsid w:val="004E5589"/>
    <w:rsid w:val="004E55B9"/>
    <w:rsid w:val="004E582E"/>
    <w:rsid w:val="004E5FE0"/>
    <w:rsid w:val="004E5FF5"/>
    <w:rsid w:val="004E6450"/>
    <w:rsid w:val="004E647A"/>
    <w:rsid w:val="004E662E"/>
    <w:rsid w:val="004E773D"/>
    <w:rsid w:val="004E7BE4"/>
    <w:rsid w:val="004E7C48"/>
    <w:rsid w:val="004F0266"/>
    <w:rsid w:val="004F04C2"/>
    <w:rsid w:val="004F0758"/>
    <w:rsid w:val="004F0B3A"/>
    <w:rsid w:val="004F10B7"/>
    <w:rsid w:val="004F12BD"/>
    <w:rsid w:val="004F139B"/>
    <w:rsid w:val="004F185B"/>
    <w:rsid w:val="004F1BE7"/>
    <w:rsid w:val="004F1D08"/>
    <w:rsid w:val="004F2444"/>
    <w:rsid w:val="004F29FC"/>
    <w:rsid w:val="004F2A87"/>
    <w:rsid w:val="004F2ECC"/>
    <w:rsid w:val="004F2FCA"/>
    <w:rsid w:val="004F3608"/>
    <w:rsid w:val="004F3C45"/>
    <w:rsid w:val="004F3DF9"/>
    <w:rsid w:val="004F3E78"/>
    <w:rsid w:val="004F4045"/>
    <w:rsid w:val="004F495C"/>
    <w:rsid w:val="004F4F3F"/>
    <w:rsid w:val="004F5111"/>
    <w:rsid w:val="004F5242"/>
    <w:rsid w:val="004F64E5"/>
    <w:rsid w:val="004F6E99"/>
    <w:rsid w:val="004F6F54"/>
    <w:rsid w:val="004F7019"/>
    <w:rsid w:val="004F70F3"/>
    <w:rsid w:val="004F752E"/>
    <w:rsid w:val="004F7636"/>
    <w:rsid w:val="004F7672"/>
    <w:rsid w:val="004F7B3B"/>
    <w:rsid w:val="004F7C1C"/>
    <w:rsid w:val="004F7C2F"/>
    <w:rsid w:val="004F7C78"/>
    <w:rsid w:val="005001EA"/>
    <w:rsid w:val="00500B98"/>
    <w:rsid w:val="00500E26"/>
    <w:rsid w:val="0050178D"/>
    <w:rsid w:val="005017B9"/>
    <w:rsid w:val="00501C61"/>
    <w:rsid w:val="00501D1B"/>
    <w:rsid w:val="005021BF"/>
    <w:rsid w:val="00502589"/>
    <w:rsid w:val="00502656"/>
    <w:rsid w:val="005026B0"/>
    <w:rsid w:val="0050283F"/>
    <w:rsid w:val="0050340C"/>
    <w:rsid w:val="00503560"/>
    <w:rsid w:val="0050392D"/>
    <w:rsid w:val="00503DB3"/>
    <w:rsid w:val="005044C5"/>
    <w:rsid w:val="00504687"/>
    <w:rsid w:val="00504A88"/>
    <w:rsid w:val="00504D86"/>
    <w:rsid w:val="0050618A"/>
    <w:rsid w:val="005062DD"/>
    <w:rsid w:val="00506945"/>
    <w:rsid w:val="00506A0C"/>
    <w:rsid w:val="00506FB3"/>
    <w:rsid w:val="00507276"/>
    <w:rsid w:val="00507409"/>
    <w:rsid w:val="00507449"/>
    <w:rsid w:val="0050786F"/>
    <w:rsid w:val="00507A3B"/>
    <w:rsid w:val="005104E6"/>
    <w:rsid w:val="0051081B"/>
    <w:rsid w:val="005108A7"/>
    <w:rsid w:val="00511494"/>
    <w:rsid w:val="00511702"/>
    <w:rsid w:val="00511A84"/>
    <w:rsid w:val="00511BC5"/>
    <w:rsid w:val="00511FD2"/>
    <w:rsid w:val="0051233C"/>
    <w:rsid w:val="00512951"/>
    <w:rsid w:val="005129BF"/>
    <w:rsid w:val="00512E42"/>
    <w:rsid w:val="00512F3A"/>
    <w:rsid w:val="0051312D"/>
    <w:rsid w:val="0051323E"/>
    <w:rsid w:val="005135B3"/>
    <w:rsid w:val="005138CC"/>
    <w:rsid w:val="00513EE3"/>
    <w:rsid w:val="00514040"/>
    <w:rsid w:val="005144DF"/>
    <w:rsid w:val="00514B8E"/>
    <w:rsid w:val="00514CFC"/>
    <w:rsid w:val="0051562A"/>
    <w:rsid w:val="0051588F"/>
    <w:rsid w:val="005158ED"/>
    <w:rsid w:val="005162BC"/>
    <w:rsid w:val="005162FE"/>
    <w:rsid w:val="005165B7"/>
    <w:rsid w:val="00516696"/>
    <w:rsid w:val="005168EF"/>
    <w:rsid w:val="00516F0E"/>
    <w:rsid w:val="00516FB1"/>
    <w:rsid w:val="005172BA"/>
    <w:rsid w:val="005174C6"/>
    <w:rsid w:val="005179EA"/>
    <w:rsid w:val="00520130"/>
    <w:rsid w:val="00520175"/>
    <w:rsid w:val="00520454"/>
    <w:rsid w:val="00520F58"/>
    <w:rsid w:val="00521262"/>
    <w:rsid w:val="00521918"/>
    <w:rsid w:val="00521CF3"/>
    <w:rsid w:val="00521DCA"/>
    <w:rsid w:val="00522287"/>
    <w:rsid w:val="0052253C"/>
    <w:rsid w:val="0052264F"/>
    <w:rsid w:val="005226F0"/>
    <w:rsid w:val="00522BD3"/>
    <w:rsid w:val="00522D5A"/>
    <w:rsid w:val="005238D1"/>
    <w:rsid w:val="00523BB7"/>
    <w:rsid w:val="0052412A"/>
    <w:rsid w:val="00524434"/>
    <w:rsid w:val="00524B62"/>
    <w:rsid w:val="00524BD8"/>
    <w:rsid w:val="00524DF5"/>
    <w:rsid w:val="005255EC"/>
    <w:rsid w:val="00525DDB"/>
    <w:rsid w:val="00525E71"/>
    <w:rsid w:val="0052607F"/>
    <w:rsid w:val="00526105"/>
    <w:rsid w:val="0052623F"/>
    <w:rsid w:val="0052649D"/>
    <w:rsid w:val="00526628"/>
    <w:rsid w:val="00526AA4"/>
    <w:rsid w:val="00526AF1"/>
    <w:rsid w:val="00526C44"/>
    <w:rsid w:val="0052702D"/>
    <w:rsid w:val="0052770B"/>
    <w:rsid w:val="00527C22"/>
    <w:rsid w:val="00527F8F"/>
    <w:rsid w:val="005304ED"/>
    <w:rsid w:val="00530B45"/>
    <w:rsid w:val="005312A6"/>
    <w:rsid w:val="005315E5"/>
    <w:rsid w:val="0053160A"/>
    <w:rsid w:val="00531CD7"/>
    <w:rsid w:val="00531D5C"/>
    <w:rsid w:val="0053210A"/>
    <w:rsid w:val="005324AA"/>
    <w:rsid w:val="00532A9B"/>
    <w:rsid w:val="00532C72"/>
    <w:rsid w:val="0053315F"/>
    <w:rsid w:val="00533A97"/>
    <w:rsid w:val="00533D5D"/>
    <w:rsid w:val="00534E9A"/>
    <w:rsid w:val="00534ECB"/>
    <w:rsid w:val="00535003"/>
    <w:rsid w:val="00535235"/>
    <w:rsid w:val="00535325"/>
    <w:rsid w:val="00535497"/>
    <w:rsid w:val="00535E88"/>
    <w:rsid w:val="0053612F"/>
    <w:rsid w:val="0053651C"/>
    <w:rsid w:val="00536A06"/>
    <w:rsid w:val="00536E73"/>
    <w:rsid w:val="005379C8"/>
    <w:rsid w:val="00537C77"/>
    <w:rsid w:val="00537EC9"/>
    <w:rsid w:val="00540083"/>
    <w:rsid w:val="00540A0E"/>
    <w:rsid w:val="00540A2A"/>
    <w:rsid w:val="00540E32"/>
    <w:rsid w:val="0054116C"/>
    <w:rsid w:val="00541366"/>
    <w:rsid w:val="00541D19"/>
    <w:rsid w:val="005424B6"/>
    <w:rsid w:val="005424B7"/>
    <w:rsid w:val="0054362E"/>
    <w:rsid w:val="0054371F"/>
    <w:rsid w:val="005437A3"/>
    <w:rsid w:val="0054387B"/>
    <w:rsid w:val="005439DF"/>
    <w:rsid w:val="0054457B"/>
    <w:rsid w:val="00544786"/>
    <w:rsid w:val="005448E0"/>
    <w:rsid w:val="00544B47"/>
    <w:rsid w:val="00544E87"/>
    <w:rsid w:val="00544F9D"/>
    <w:rsid w:val="00545124"/>
    <w:rsid w:val="005453FF"/>
    <w:rsid w:val="00545406"/>
    <w:rsid w:val="00545685"/>
    <w:rsid w:val="00545A7A"/>
    <w:rsid w:val="00545B6B"/>
    <w:rsid w:val="0054611C"/>
    <w:rsid w:val="0054637F"/>
    <w:rsid w:val="00546522"/>
    <w:rsid w:val="00546577"/>
    <w:rsid w:val="00546685"/>
    <w:rsid w:val="00546D90"/>
    <w:rsid w:val="00547342"/>
    <w:rsid w:val="00547A75"/>
    <w:rsid w:val="00547CC0"/>
    <w:rsid w:val="00547DAC"/>
    <w:rsid w:val="005501E8"/>
    <w:rsid w:val="00550EEA"/>
    <w:rsid w:val="00551415"/>
    <w:rsid w:val="00551890"/>
    <w:rsid w:val="00552377"/>
    <w:rsid w:val="00552AC3"/>
    <w:rsid w:val="00552BB3"/>
    <w:rsid w:val="00552E78"/>
    <w:rsid w:val="00552F47"/>
    <w:rsid w:val="005533AB"/>
    <w:rsid w:val="005536CD"/>
    <w:rsid w:val="00553C8C"/>
    <w:rsid w:val="00553F76"/>
    <w:rsid w:val="00554001"/>
    <w:rsid w:val="00554195"/>
    <w:rsid w:val="005542E7"/>
    <w:rsid w:val="0055457B"/>
    <w:rsid w:val="005547CA"/>
    <w:rsid w:val="00554B68"/>
    <w:rsid w:val="00554D49"/>
    <w:rsid w:val="00555371"/>
    <w:rsid w:val="005556DC"/>
    <w:rsid w:val="0055584A"/>
    <w:rsid w:val="005558B7"/>
    <w:rsid w:val="00555A52"/>
    <w:rsid w:val="00555ADB"/>
    <w:rsid w:val="00555D1C"/>
    <w:rsid w:val="0055717A"/>
    <w:rsid w:val="00557640"/>
    <w:rsid w:val="00557812"/>
    <w:rsid w:val="00557AE9"/>
    <w:rsid w:val="00557AEB"/>
    <w:rsid w:val="00557FDD"/>
    <w:rsid w:val="005604DA"/>
    <w:rsid w:val="00560568"/>
    <w:rsid w:val="005605EF"/>
    <w:rsid w:val="0056077B"/>
    <w:rsid w:val="00560A93"/>
    <w:rsid w:val="0056105F"/>
    <w:rsid w:val="00561497"/>
    <w:rsid w:val="00561676"/>
    <w:rsid w:val="00561720"/>
    <w:rsid w:val="0056189D"/>
    <w:rsid w:val="005618B3"/>
    <w:rsid w:val="005619EA"/>
    <w:rsid w:val="0056219A"/>
    <w:rsid w:val="005624F7"/>
    <w:rsid w:val="005628B6"/>
    <w:rsid w:val="00562BF6"/>
    <w:rsid w:val="00562F2D"/>
    <w:rsid w:val="0056319F"/>
    <w:rsid w:val="005633D2"/>
    <w:rsid w:val="00563B4D"/>
    <w:rsid w:val="00563C1D"/>
    <w:rsid w:val="0056418B"/>
    <w:rsid w:val="00564771"/>
    <w:rsid w:val="00564C79"/>
    <w:rsid w:val="00565E7F"/>
    <w:rsid w:val="00567310"/>
    <w:rsid w:val="005678D5"/>
    <w:rsid w:val="00567ABA"/>
    <w:rsid w:val="00567BF7"/>
    <w:rsid w:val="00567C86"/>
    <w:rsid w:val="00567C8B"/>
    <w:rsid w:val="00567F31"/>
    <w:rsid w:val="00570276"/>
    <w:rsid w:val="005704B6"/>
    <w:rsid w:val="0057051F"/>
    <w:rsid w:val="005706E0"/>
    <w:rsid w:val="0057098E"/>
    <w:rsid w:val="00570F3E"/>
    <w:rsid w:val="005719C1"/>
    <w:rsid w:val="00572127"/>
    <w:rsid w:val="005724FE"/>
    <w:rsid w:val="00572531"/>
    <w:rsid w:val="005731BD"/>
    <w:rsid w:val="005733C6"/>
    <w:rsid w:val="00573B0B"/>
    <w:rsid w:val="00573C5A"/>
    <w:rsid w:val="00574707"/>
    <w:rsid w:val="00574CD9"/>
    <w:rsid w:val="00574D91"/>
    <w:rsid w:val="00574FCE"/>
    <w:rsid w:val="00575805"/>
    <w:rsid w:val="00575A62"/>
    <w:rsid w:val="00576FD8"/>
    <w:rsid w:val="00577472"/>
    <w:rsid w:val="00577615"/>
    <w:rsid w:val="00577ADA"/>
    <w:rsid w:val="00580055"/>
    <w:rsid w:val="00580AD4"/>
    <w:rsid w:val="00580D8C"/>
    <w:rsid w:val="005815BC"/>
    <w:rsid w:val="00581815"/>
    <w:rsid w:val="00581883"/>
    <w:rsid w:val="00583333"/>
    <w:rsid w:val="00583338"/>
    <w:rsid w:val="00583598"/>
    <w:rsid w:val="00583691"/>
    <w:rsid w:val="005837EF"/>
    <w:rsid w:val="00583B6A"/>
    <w:rsid w:val="00583CB5"/>
    <w:rsid w:val="005842BD"/>
    <w:rsid w:val="005842E1"/>
    <w:rsid w:val="00584318"/>
    <w:rsid w:val="0058505B"/>
    <w:rsid w:val="005853DB"/>
    <w:rsid w:val="005853E9"/>
    <w:rsid w:val="00585716"/>
    <w:rsid w:val="005857FF"/>
    <w:rsid w:val="00585AFD"/>
    <w:rsid w:val="00585B50"/>
    <w:rsid w:val="00585C86"/>
    <w:rsid w:val="00586EF3"/>
    <w:rsid w:val="005873E8"/>
    <w:rsid w:val="005874C3"/>
    <w:rsid w:val="00587542"/>
    <w:rsid w:val="0058757C"/>
    <w:rsid w:val="005876B6"/>
    <w:rsid w:val="00587999"/>
    <w:rsid w:val="00587BA3"/>
    <w:rsid w:val="00590BF8"/>
    <w:rsid w:val="00590FD1"/>
    <w:rsid w:val="0059125E"/>
    <w:rsid w:val="00591837"/>
    <w:rsid w:val="005918BB"/>
    <w:rsid w:val="005931BE"/>
    <w:rsid w:val="005939D4"/>
    <w:rsid w:val="00593BD8"/>
    <w:rsid w:val="00593C92"/>
    <w:rsid w:val="00593E8F"/>
    <w:rsid w:val="005949B3"/>
    <w:rsid w:val="00594BDC"/>
    <w:rsid w:val="00594F2A"/>
    <w:rsid w:val="0059552A"/>
    <w:rsid w:val="00595559"/>
    <w:rsid w:val="005957A4"/>
    <w:rsid w:val="00595D91"/>
    <w:rsid w:val="00595DB2"/>
    <w:rsid w:val="005962C5"/>
    <w:rsid w:val="00596FEF"/>
    <w:rsid w:val="005974D5"/>
    <w:rsid w:val="00597642"/>
    <w:rsid w:val="0059770D"/>
    <w:rsid w:val="0059782C"/>
    <w:rsid w:val="00597E3C"/>
    <w:rsid w:val="005A0224"/>
    <w:rsid w:val="005A0438"/>
    <w:rsid w:val="005A0498"/>
    <w:rsid w:val="005A0756"/>
    <w:rsid w:val="005A0DD4"/>
    <w:rsid w:val="005A0F82"/>
    <w:rsid w:val="005A146B"/>
    <w:rsid w:val="005A1769"/>
    <w:rsid w:val="005A1AA2"/>
    <w:rsid w:val="005A208E"/>
    <w:rsid w:val="005A24FA"/>
    <w:rsid w:val="005A25FA"/>
    <w:rsid w:val="005A277B"/>
    <w:rsid w:val="005A2982"/>
    <w:rsid w:val="005A2CCE"/>
    <w:rsid w:val="005A2E0F"/>
    <w:rsid w:val="005A2EBE"/>
    <w:rsid w:val="005A2F99"/>
    <w:rsid w:val="005A349B"/>
    <w:rsid w:val="005A3EC1"/>
    <w:rsid w:val="005A42D0"/>
    <w:rsid w:val="005A4939"/>
    <w:rsid w:val="005A49AB"/>
    <w:rsid w:val="005A4C90"/>
    <w:rsid w:val="005A5338"/>
    <w:rsid w:val="005A53B5"/>
    <w:rsid w:val="005A58B4"/>
    <w:rsid w:val="005A6256"/>
    <w:rsid w:val="005A633C"/>
    <w:rsid w:val="005A638D"/>
    <w:rsid w:val="005A6467"/>
    <w:rsid w:val="005A64C0"/>
    <w:rsid w:val="005A67A9"/>
    <w:rsid w:val="005A6DC1"/>
    <w:rsid w:val="005A6F50"/>
    <w:rsid w:val="005A76FB"/>
    <w:rsid w:val="005A7D09"/>
    <w:rsid w:val="005A7F62"/>
    <w:rsid w:val="005B0222"/>
    <w:rsid w:val="005B02D9"/>
    <w:rsid w:val="005B0B8E"/>
    <w:rsid w:val="005B0CDC"/>
    <w:rsid w:val="005B0E3E"/>
    <w:rsid w:val="005B1287"/>
    <w:rsid w:val="005B13D1"/>
    <w:rsid w:val="005B17C4"/>
    <w:rsid w:val="005B220F"/>
    <w:rsid w:val="005B292F"/>
    <w:rsid w:val="005B2C8B"/>
    <w:rsid w:val="005B2D8B"/>
    <w:rsid w:val="005B2EDB"/>
    <w:rsid w:val="005B31F3"/>
    <w:rsid w:val="005B3CF9"/>
    <w:rsid w:val="005B3FFD"/>
    <w:rsid w:val="005B411F"/>
    <w:rsid w:val="005B429B"/>
    <w:rsid w:val="005B43E9"/>
    <w:rsid w:val="005B4BCE"/>
    <w:rsid w:val="005B5A71"/>
    <w:rsid w:val="005B5B0C"/>
    <w:rsid w:val="005B5BC1"/>
    <w:rsid w:val="005B5F55"/>
    <w:rsid w:val="005B649B"/>
    <w:rsid w:val="005B65A4"/>
    <w:rsid w:val="005B65CC"/>
    <w:rsid w:val="005B6675"/>
    <w:rsid w:val="005B66C4"/>
    <w:rsid w:val="005B6D6E"/>
    <w:rsid w:val="005B775E"/>
    <w:rsid w:val="005B7C94"/>
    <w:rsid w:val="005B7D98"/>
    <w:rsid w:val="005C09FB"/>
    <w:rsid w:val="005C14CE"/>
    <w:rsid w:val="005C1762"/>
    <w:rsid w:val="005C1E90"/>
    <w:rsid w:val="005C2188"/>
    <w:rsid w:val="005C27DC"/>
    <w:rsid w:val="005C27E2"/>
    <w:rsid w:val="005C399E"/>
    <w:rsid w:val="005C3A4F"/>
    <w:rsid w:val="005C3CE3"/>
    <w:rsid w:val="005C4077"/>
    <w:rsid w:val="005C446B"/>
    <w:rsid w:val="005C4A1E"/>
    <w:rsid w:val="005C4A67"/>
    <w:rsid w:val="005C4A72"/>
    <w:rsid w:val="005C4F84"/>
    <w:rsid w:val="005C574C"/>
    <w:rsid w:val="005C58A1"/>
    <w:rsid w:val="005C5C96"/>
    <w:rsid w:val="005C5F44"/>
    <w:rsid w:val="005C6381"/>
    <w:rsid w:val="005C6B62"/>
    <w:rsid w:val="005C6ED9"/>
    <w:rsid w:val="005C6FE9"/>
    <w:rsid w:val="005C7069"/>
    <w:rsid w:val="005C706F"/>
    <w:rsid w:val="005C71EC"/>
    <w:rsid w:val="005C7E10"/>
    <w:rsid w:val="005D00C2"/>
    <w:rsid w:val="005D0613"/>
    <w:rsid w:val="005D0653"/>
    <w:rsid w:val="005D120C"/>
    <w:rsid w:val="005D1825"/>
    <w:rsid w:val="005D1A0B"/>
    <w:rsid w:val="005D1E67"/>
    <w:rsid w:val="005D1F08"/>
    <w:rsid w:val="005D2612"/>
    <w:rsid w:val="005D28F7"/>
    <w:rsid w:val="005D29D7"/>
    <w:rsid w:val="005D3541"/>
    <w:rsid w:val="005D3A69"/>
    <w:rsid w:val="005D422F"/>
    <w:rsid w:val="005D44FC"/>
    <w:rsid w:val="005D45A9"/>
    <w:rsid w:val="005D4868"/>
    <w:rsid w:val="005D5264"/>
    <w:rsid w:val="005D5797"/>
    <w:rsid w:val="005D5842"/>
    <w:rsid w:val="005D590A"/>
    <w:rsid w:val="005D5D18"/>
    <w:rsid w:val="005D5FDA"/>
    <w:rsid w:val="005D6361"/>
    <w:rsid w:val="005D6DC0"/>
    <w:rsid w:val="005D6FA4"/>
    <w:rsid w:val="005D76EA"/>
    <w:rsid w:val="005D77B2"/>
    <w:rsid w:val="005D78CA"/>
    <w:rsid w:val="005D7A5A"/>
    <w:rsid w:val="005D7CD9"/>
    <w:rsid w:val="005D7FB9"/>
    <w:rsid w:val="005E008C"/>
    <w:rsid w:val="005E0521"/>
    <w:rsid w:val="005E0562"/>
    <w:rsid w:val="005E0751"/>
    <w:rsid w:val="005E09FD"/>
    <w:rsid w:val="005E0D2E"/>
    <w:rsid w:val="005E0E78"/>
    <w:rsid w:val="005E12EF"/>
    <w:rsid w:val="005E1438"/>
    <w:rsid w:val="005E1488"/>
    <w:rsid w:val="005E18F2"/>
    <w:rsid w:val="005E1E56"/>
    <w:rsid w:val="005E1EEA"/>
    <w:rsid w:val="005E1F23"/>
    <w:rsid w:val="005E2249"/>
    <w:rsid w:val="005E240E"/>
    <w:rsid w:val="005E27BA"/>
    <w:rsid w:val="005E2A2F"/>
    <w:rsid w:val="005E2A4F"/>
    <w:rsid w:val="005E2EAA"/>
    <w:rsid w:val="005E2F97"/>
    <w:rsid w:val="005E332B"/>
    <w:rsid w:val="005E3A85"/>
    <w:rsid w:val="005E3FAB"/>
    <w:rsid w:val="005E3FF5"/>
    <w:rsid w:val="005E4327"/>
    <w:rsid w:val="005E43D3"/>
    <w:rsid w:val="005E48DF"/>
    <w:rsid w:val="005E4AC3"/>
    <w:rsid w:val="005E51AE"/>
    <w:rsid w:val="005E5D6E"/>
    <w:rsid w:val="005E5E5E"/>
    <w:rsid w:val="005E5E83"/>
    <w:rsid w:val="005E6197"/>
    <w:rsid w:val="005E6C4F"/>
    <w:rsid w:val="005E6DB3"/>
    <w:rsid w:val="005E6EBC"/>
    <w:rsid w:val="005E71DD"/>
    <w:rsid w:val="005E7308"/>
    <w:rsid w:val="005E76B5"/>
    <w:rsid w:val="005E76CA"/>
    <w:rsid w:val="005E78BE"/>
    <w:rsid w:val="005E7986"/>
    <w:rsid w:val="005E7C87"/>
    <w:rsid w:val="005E7D2E"/>
    <w:rsid w:val="005F1306"/>
    <w:rsid w:val="005F15BB"/>
    <w:rsid w:val="005F18C0"/>
    <w:rsid w:val="005F18D3"/>
    <w:rsid w:val="005F266C"/>
    <w:rsid w:val="005F2A9F"/>
    <w:rsid w:val="005F34BE"/>
    <w:rsid w:val="005F38A9"/>
    <w:rsid w:val="005F3D0C"/>
    <w:rsid w:val="005F3F23"/>
    <w:rsid w:val="005F3F90"/>
    <w:rsid w:val="005F45A3"/>
    <w:rsid w:val="005F4A06"/>
    <w:rsid w:val="005F4D38"/>
    <w:rsid w:val="005F5C66"/>
    <w:rsid w:val="005F6BD9"/>
    <w:rsid w:val="005F6C1F"/>
    <w:rsid w:val="005F6E6C"/>
    <w:rsid w:val="005F7397"/>
    <w:rsid w:val="005F770C"/>
    <w:rsid w:val="005F7D82"/>
    <w:rsid w:val="005F7D95"/>
    <w:rsid w:val="006008D2"/>
    <w:rsid w:val="00600AB8"/>
    <w:rsid w:val="0060110A"/>
    <w:rsid w:val="00601232"/>
    <w:rsid w:val="006012A0"/>
    <w:rsid w:val="00601740"/>
    <w:rsid w:val="00601B3F"/>
    <w:rsid w:val="00601DDB"/>
    <w:rsid w:val="006020BF"/>
    <w:rsid w:val="006023DF"/>
    <w:rsid w:val="00602B25"/>
    <w:rsid w:val="006032D5"/>
    <w:rsid w:val="0060332B"/>
    <w:rsid w:val="00603567"/>
    <w:rsid w:val="006035AD"/>
    <w:rsid w:val="006039DD"/>
    <w:rsid w:val="00603AF7"/>
    <w:rsid w:val="00603FFE"/>
    <w:rsid w:val="0060439C"/>
    <w:rsid w:val="00604831"/>
    <w:rsid w:val="0060491D"/>
    <w:rsid w:val="00604D00"/>
    <w:rsid w:val="0060514C"/>
    <w:rsid w:val="006053B5"/>
    <w:rsid w:val="00605B34"/>
    <w:rsid w:val="00606258"/>
    <w:rsid w:val="00606D5B"/>
    <w:rsid w:val="00607722"/>
    <w:rsid w:val="006078D4"/>
    <w:rsid w:val="00607A32"/>
    <w:rsid w:val="00607A7E"/>
    <w:rsid w:val="00607B4C"/>
    <w:rsid w:val="00607EED"/>
    <w:rsid w:val="006101ED"/>
    <w:rsid w:val="00610638"/>
    <w:rsid w:val="006114C1"/>
    <w:rsid w:val="006122D9"/>
    <w:rsid w:val="0061244D"/>
    <w:rsid w:val="00612565"/>
    <w:rsid w:val="00612B23"/>
    <w:rsid w:val="00612CC0"/>
    <w:rsid w:val="00612E1A"/>
    <w:rsid w:val="00612E97"/>
    <w:rsid w:val="00613041"/>
    <w:rsid w:val="00613536"/>
    <w:rsid w:val="00613560"/>
    <w:rsid w:val="00613E22"/>
    <w:rsid w:val="006141C0"/>
    <w:rsid w:val="00614B06"/>
    <w:rsid w:val="00614CAA"/>
    <w:rsid w:val="00614D93"/>
    <w:rsid w:val="00614E47"/>
    <w:rsid w:val="00615420"/>
    <w:rsid w:val="00615448"/>
    <w:rsid w:val="006154B3"/>
    <w:rsid w:val="00615616"/>
    <w:rsid w:val="006156FC"/>
    <w:rsid w:val="00616087"/>
    <w:rsid w:val="0061633A"/>
    <w:rsid w:val="006167E5"/>
    <w:rsid w:val="00616B3D"/>
    <w:rsid w:val="00616D8D"/>
    <w:rsid w:val="00616DA4"/>
    <w:rsid w:val="006175F7"/>
    <w:rsid w:val="006177D8"/>
    <w:rsid w:val="006200EB"/>
    <w:rsid w:val="006207A7"/>
    <w:rsid w:val="006209FE"/>
    <w:rsid w:val="00620D75"/>
    <w:rsid w:val="00621058"/>
    <w:rsid w:val="00621126"/>
    <w:rsid w:val="00621648"/>
    <w:rsid w:val="00621ADF"/>
    <w:rsid w:val="00621B47"/>
    <w:rsid w:val="00622527"/>
    <w:rsid w:val="00622598"/>
    <w:rsid w:val="0062314A"/>
    <w:rsid w:val="00623289"/>
    <w:rsid w:val="00623378"/>
    <w:rsid w:val="00623720"/>
    <w:rsid w:val="00623900"/>
    <w:rsid w:val="00623E3B"/>
    <w:rsid w:val="00624586"/>
    <w:rsid w:val="00624D8C"/>
    <w:rsid w:val="00625144"/>
    <w:rsid w:val="00625E81"/>
    <w:rsid w:val="006267F7"/>
    <w:rsid w:val="006270DF"/>
    <w:rsid w:val="00627274"/>
    <w:rsid w:val="0062794D"/>
    <w:rsid w:val="00627AED"/>
    <w:rsid w:val="00627C0D"/>
    <w:rsid w:val="0063001A"/>
    <w:rsid w:val="00630138"/>
    <w:rsid w:val="006301EF"/>
    <w:rsid w:val="006304CA"/>
    <w:rsid w:val="0063092D"/>
    <w:rsid w:val="00630987"/>
    <w:rsid w:val="00630A9E"/>
    <w:rsid w:val="00631843"/>
    <w:rsid w:val="00631B13"/>
    <w:rsid w:val="00631BB5"/>
    <w:rsid w:val="00632821"/>
    <w:rsid w:val="00633064"/>
    <w:rsid w:val="00633242"/>
    <w:rsid w:val="006333E6"/>
    <w:rsid w:val="006334DE"/>
    <w:rsid w:val="0063352C"/>
    <w:rsid w:val="006342C7"/>
    <w:rsid w:val="006353E1"/>
    <w:rsid w:val="00635D82"/>
    <w:rsid w:val="00636173"/>
    <w:rsid w:val="0063633D"/>
    <w:rsid w:val="00636368"/>
    <w:rsid w:val="006368BD"/>
    <w:rsid w:val="00636C67"/>
    <w:rsid w:val="00636D8C"/>
    <w:rsid w:val="00637AAB"/>
    <w:rsid w:val="00637B6D"/>
    <w:rsid w:val="00637DBA"/>
    <w:rsid w:val="00640576"/>
    <w:rsid w:val="006405C1"/>
    <w:rsid w:val="006405D4"/>
    <w:rsid w:val="006409CC"/>
    <w:rsid w:val="00640A53"/>
    <w:rsid w:val="006411D5"/>
    <w:rsid w:val="00641227"/>
    <w:rsid w:val="00641572"/>
    <w:rsid w:val="00641E9D"/>
    <w:rsid w:val="006427A4"/>
    <w:rsid w:val="0064306C"/>
    <w:rsid w:val="006431D9"/>
    <w:rsid w:val="0064326B"/>
    <w:rsid w:val="0064369D"/>
    <w:rsid w:val="0064389A"/>
    <w:rsid w:val="00643BDD"/>
    <w:rsid w:val="00643E79"/>
    <w:rsid w:val="0064598B"/>
    <w:rsid w:val="00645E2D"/>
    <w:rsid w:val="00645E39"/>
    <w:rsid w:val="006468ED"/>
    <w:rsid w:val="006469FF"/>
    <w:rsid w:val="00646D3B"/>
    <w:rsid w:val="0064711A"/>
    <w:rsid w:val="00647218"/>
    <w:rsid w:val="0064734D"/>
    <w:rsid w:val="00647A48"/>
    <w:rsid w:val="00647DBF"/>
    <w:rsid w:val="00647E82"/>
    <w:rsid w:val="00647EC9"/>
    <w:rsid w:val="006513F1"/>
    <w:rsid w:val="00651C20"/>
    <w:rsid w:val="00651C39"/>
    <w:rsid w:val="00651C8B"/>
    <w:rsid w:val="00651EFE"/>
    <w:rsid w:val="006527D7"/>
    <w:rsid w:val="0065298A"/>
    <w:rsid w:val="00652DDF"/>
    <w:rsid w:val="00652E40"/>
    <w:rsid w:val="006533FA"/>
    <w:rsid w:val="00653785"/>
    <w:rsid w:val="00653DE0"/>
    <w:rsid w:val="0065465C"/>
    <w:rsid w:val="00654B41"/>
    <w:rsid w:val="00654F51"/>
    <w:rsid w:val="006553AA"/>
    <w:rsid w:val="00655874"/>
    <w:rsid w:val="00655B76"/>
    <w:rsid w:val="00655BBA"/>
    <w:rsid w:val="00655E1F"/>
    <w:rsid w:val="00656120"/>
    <w:rsid w:val="006561B7"/>
    <w:rsid w:val="00656BAE"/>
    <w:rsid w:val="00657298"/>
    <w:rsid w:val="006575A7"/>
    <w:rsid w:val="00657907"/>
    <w:rsid w:val="00657983"/>
    <w:rsid w:val="00657D7C"/>
    <w:rsid w:val="00657DB1"/>
    <w:rsid w:val="006602A5"/>
    <w:rsid w:val="006603EA"/>
    <w:rsid w:val="006607F9"/>
    <w:rsid w:val="006610A7"/>
    <w:rsid w:val="006615F6"/>
    <w:rsid w:val="00661B72"/>
    <w:rsid w:val="00661C4C"/>
    <w:rsid w:val="00661C53"/>
    <w:rsid w:val="00661E12"/>
    <w:rsid w:val="0066217E"/>
    <w:rsid w:val="0066252B"/>
    <w:rsid w:val="00662974"/>
    <w:rsid w:val="00663145"/>
    <w:rsid w:val="0066343B"/>
    <w:rsid w:val="006637D5"/>
    <w:rsid w:val="00663A9C"/>
    <w:rsid w:val="00663E99"/>
    <w:rsid w:val="00663ED9"/>
    <w:rsid w:val="00663F6F"/>
    <w:rsid w:val="0066434C"/>
    <w:rsid w:val="00664A87"/>
    <w:rsid w:val="00664DE5"/>
    <w:rsid w:val="0066524A"/>
    <w:rsid w:val="00665598"/>
    <w:rsid w:val="0066562E"/>
    <w:rsid w:val="00665F7A"/>
    <w:rsid w:val="006661E9"/>
    <w:rsid w:val="00666206"/>
    <w:rsid w:val="00666647"/>
    <w:rsid w:val="00666E84"/>
    <w:rsid w:val="0066728D"/>
    <w:rsid w:val="006673B4"/>
    <w:rsid w:val="006675EC"/>
    <w:rsid w:val="00667A2A"/>
    <w:rsid w:val="00670953"/>
    <w:rsid w:val="00670B72"/>
    <w:rsid w:val="00670C02"/>
    <w:rsid w:val="00670CE9"/>
    <w:rsid w:val="00670E0C"/>
    <w:rsid w:val="0067117D"/>
    <w:rsid w:val="00671333"/>
    <w:rsid w:val="00671375"/>
    <w:rsid w:val="00671A20"/>
    <w:rsid w:val="00671B42"/>
    <w:rsid w:val="00671BD9"/>
    <w:rsid w:val="00671D5F"/>
    <w:rsid w:val="00671DD2"/>
    <w:rsid w:val="0067229C"/>
    <w:rsid w:val="00672353"/>
    <w:rsid w:val="0067258D"/>
    <w:rsid w:val="006725F4"/>
    <w:rsid w:val="00672AC8"/>
    <w:rsid w:val="00672D07"/>
    <w:rsid w:val="00673951"/>
    <w:rsid w:val="0067410A"/>
    <w:rsid w:val="0067424B"/>
    <w:rsid w:val="006742D1"/>
    <w:rsid w:val="006743AF"/>
    <w:rsid w:val="006744F2"/>
    <w:rsid w:val="00674517"/>
    <w:rsid w:val="00674895"/>
    <w:rsid w:val="00674966"/>
    <w:rsid w:val="006753D6"/>
    <w:rsid w:val="0067588E"/>
    <w:rsid w:val="006759D2"/>
    <w:rsid w:val="00676967"/>
    <w:rsid w:val="006771E9"/>
    <w:rsid w:val="006776B1"/>
    <w:rsid w:val="0067778B"/>
    <w:rsid w:val="00680361"/>
    <w:rsid w:val="006804DE"/>
    <w:rsid w:val="00680C2C"/>
    <w:rsid w:val="00680F9F"/>
    <w:rsid w:val="00680FF4"/>
    <w:rsid w:val="006813B5"/>
    <w:rsid w:val="00681537"/>
    <w:rsid w:val="006816BD"/>
    <w:rsid w:val="00681F10"/>
    <w:rsid w:val="00681F41"/>
    <w:rsid w:val="006821A0"/>
    <w:rsid w:val="0068229F"/>
    <w:rsid w:val="0068251B"/>
    <w:rsid w:val="006825B8"/>
    <w:rsid w:val="006832C5"/>
    <w:rsid w:val="00683892"/>
    <w:rsid w:val="00684076"/>
    <w:rsid w:val="00684194"/>
    <w:rsid w:val="00684AE8"/>
    <w:rsid w:val="00684D0F"/>
    <w:rsid w:val="006866F2"/>
    <w:rsid w:val="006869B4"/>
    <w:rsid w:val="00686EC9"/>
    <w:rsid w:val="00686F4F"/>
    <w:rsid w:val="00687036"/>
    <w:rsid w:val="006874C4"/>
    <w:rsid w:val="0068757C"/>
    <w:rsid w:val="00687ABE"/>
    <w:rsid w:val="00690153"/>
    <w:rsid w:val="00690938"/>
    <w:rsid w:val="00690A3A"/>
    <w:rsid w:val="00690C1E"/>
    <w:rsid w:val="00690CBC"/>
    <w:rsid w:val="00690D9A"/>
    <w:rsid w:val="00691269"/>
    <w:rsid w:val="00691481"/>
    <w:rsid w:val="00691532"/>
    <w:rsid w:val="00691692"/>
    <w:rsid w:val="00692059"/>
    <w:rsid w:val="006922B8"/>
    <w:rsid w:val="006925C1"/>
    <w:rsid w:val="00692847"/>
    <w:rsid w:val="0069286F"/>
    <w:rsid w:val="00692ADE"/>
    <w:rsid w:val="00692C5D"/>
    <w:rsid w:val="00693173"/>
    <w:rsid w:val="00693DB0"/>
    <w:rsid w:val="00693DBA"/>
    <w:rsid w:val="00694061"/>
    <w:rsid w:val="00694417"/>
    <w:rsid w:val="00694C15"/>
    <w:rsid w:val="00694CA3"/>
    <w:rsid w:val="00694D2B"/>
    <w:rsid w:val="006950BA"/>
    <w:rsid w:val="00695289"/>
    <w:rsid w:val="0069572D"/>
    <w:rsid w:val="00696DBA"/>
    <w:rsid w:val="00696EAE"/>
    <w:rsid w:val="00696FA6"/>
    <w:rsid w:val="006974A4"/>
    <w:rsid w:val="0069798F"/>
    <w:rsid w:val="00697A5E"/>
    <w:rsid w:val="00697ABF"/>
    <w:rsid w:val="00697EA0"/>
    <w:rsid w:val="006A0300"/>
    <w:rsid w:val="006A04F4"/>
    <w:rsid w:val="006A089A"/>
    <w:rsid w:val="006A0A1A"/>
    <w:rsid w:val="006A0C8F"/>
    <w:rsid w:val="006A158A"/>
    <w:rsid w:val="006A16FE"/>
    <w:rsid w:val="006A186E"/>
    <w:rsid w:val="006A1AF7"/>
    <w:rsid w:val="006A1FE4"/>
    <w:rsid w:val="006A259A"/>
    <w:rsid w:val="006A2D54"/>
    <w:rsid w:val="006A2D91"/>
    <w:rsid w:val="006A31AC"/>
    <w:rsid w:val="006A3466"/>
    <w:rsid w:val="006A39D0"/>
    <w:rsid w:val="006A3BD6"/>
    <w:rsid w:val="006A3DE9"/>
    <w:rsid w:val="006A3FCC"/>
    <w:rsid w:val="006A4B67"/>
    <w:rsid w:val="006A4D6D"/>
    <w:rsid w:val="006A4DD2"/>
    <w:rsid w:val="006A51F6"/>
    <w:rsid w:val="006A5362"/>
    <w:rsid w:val="006A55AE"/>
    <w:rsid w:val="006A5A09"/>
    <w:rsid w:val="006A5D9B"/>
    <w:rsid w:val="006A5ED7"/>
    <w:rsid w:val="006A6205"/>
    <w:rsid w:val="006A65F9"/>
    <w:rsid w:val="006A66B3"/>
    <w:rsid w:val="006A684A"/>
    <w:rsid w:val="006A6C5A"/>
    <w:rsid w:val="006A77FA"/>
    <w:rsid w:val="006A7C30"/>
    <w:rsid w:val="006A7F32"/>
    <w:rsid w:val="006B00A4"/>
    <w:rsid w:val="006B016A"/>
    <w:rsid w:val="006B0206"/>
    <w:rsid w:val="006B03E8"/>
    <w:rsid w:val="006B06D5"/>
    <w:rsid w:val="006B0841"/>
    <w:rsid w:val="006B0991"/>
    <w:rsid w:val="006B0B92"/>
    <w:rsid w:val="006B0D1D"/>
    <w:rsid w:val="006B0D33"/>
    <w:rsid w:val="006B0FEC"/>
    <w:rsid w:val="006B1101"/>
    <w:rsid w:val="006B1102"/>
    <w:rsid w:val="006B14DD"/>
    <w:rsid w:val="006B190E"/>
    <w:rsid w:val="006B1CA8"/>
    <w:rsid w:val="006B26D5"/>
    <w:rsid w:val="006B3879"/>
    <w:rsid w:val="006B41DE"/>
    <w:rsid w:val="006B4651"/>
    <w:rsid w:val="006B49DD"/>
    <w:rsid w:val="006B4C2B"/>
    <w:rsid w:val="006B5C5F"/>
    <w:rsid w:val="006B6082"/>
    <w:rsid w:val="006B6990"/>
    <w:rsid w:val="006B6A19"/>
    <w:rsid w:val="006B6A54"/>
    <w:rsid w:val="006B7556"/>
    <w:rsid w:val="006C1438"/>
    <w:rsid w:val="006C1442"/>
    <w:rsid w:val="006C168D"/>
    <w:rsid w:val="006C1987"/>
    <w:rsid w:val="006C1DA3"/>
    <w:rsid w:val="006C1DE0"/>
    <w:rsid w:val="006C1EDB"/>
    <w:rsid w:val="006C22CC"/>
    <w:rsid w:val="006C2463"/>
    <w:rsid w:val="006C24A2"/>
    <w:rsid w:val="006C2E98"/>
    <w:rsid w:val="006C333C"/>
    <w:rsid w:val="006C362D"/>
    <w:rsid w:val="006C3638"/>
    <w:rsid w:val="006C3905"/>
    <w:rsid w:val="006C3930"/>
    <w:rsid w:val="006C3DED"/>
    <w:rsid w:val="006C3E52"/>
    <w:rsid w:val="006C4DE5"/>
    <w:rsid w:val="006C5000"/>
    <w:rsid w:val="006C514B"/>
    <w:rsid w:val="006C5492"/>
    <w:rsid w:val="006C57E1"/>
    <w:rsid w:val="006C64FA"/>
    <w:rsid w:val="006C65D8"/>
    <w:rsid w:val="006C669D"/>
    <w:rsid w:val="006C6770"/>
    <w:rsid w:val="006C6A7B"/>
    <w:rsid w:val="006C6FE8"/>
    <w:rsid w:val="006C71C7"/>
    <w:rsid w:val="006C73BB"/>
    <w:rsid w:val="006C773F"/>
    <w:rsid w:val="006C7A10"/>
    <w:rsid w:val="006C7A79"/>
    <w:rsid w:val="006C7B82"/>
    <w:rsid w:val="006C7CB7"/>
    <w:rsid w:val="006D0810"/>
    <w:rsid w:val="006D103B"/>
    <w:rsid w:val="006D10A9"/>
    <w:rsid w:val="006D1475"/>
    <w:rsid w:val="006D14C9"/>
    <w:rsid w:val="006D14FA"/>
    <w:rsid w:val="006D1860"/>
    <w:rsid w:val="006D1EAC"/>
    <w:rsid w:val="006D2257"/>
    <w:rsid w:val="006D227F"/>
    <w:rsid w:val="006D2367"/>
    <w:rsid w:val="006D28AC"/>
    <w:rsid w:val="006D29F8"/>
    <w:rsid w:val="006D32FB"/>
    <w:rsid w:val="006D3F2A"/>
    <w:rsid w:val="006D4535"/>
    <w:rsid w:val="006D4550"/>
    <w:rsid w:val="006D490D"/>
    <w:rsid w:val="006D504F"/>
    <w:rsid w:val="006D5189"/>
    <w:rsid w:val="006D5337"/>
    <w:rsid w:val="006D54AC"/>
    <w:rsid w:val="006D5B48"/>
    <w:rsid w:val="006D65A2"/>
    <w:rsid w:val="006D6681"/>
    <w:rsid w:val="006D6E36"/>
    <w:rsid w:val="006D733F"/>
    <w:rsid w:val="006D76D5"/>
    <w:rsid w:val="006D7AA5"/>
    <w:rsid w:val="006E0323"/>
    <w:rsid w:val="006E033C"/>
    <w:rsid w:val="006E0512"/>
    <w:rsid w:val="006E0CA4"/>
    <w:rsid w:val="006E0EB4"/>
    <w:rsid w:val="006E10E3"/>
    <w:rsid w:val="006E19F6"/>
    <w:rsid w:val="006E1A30"/>
    <w:rsid w:val="006E1A82"/>
    <w:rsid w:val="006E1E43"/>
    <w:rsid w:val="006E263A"/>
    <w:rsid w:val="006E2CE4"/>
    <w:rsid w:val="006E2D46"/>
    <w:rsid w:val="006E2E31"/>
    <w:rsid w:val="006E2F0C"/>
    <w:rsid w:val="006E36C8"/>
    <w:rsid w:val="006E37C7"/>
    <w:rsid w:val="006E3854"/>
    <w:rsid w:val="006E39BD"/>
    <w:rsid w:val="006E3A56"/>
    <w:rsid w:val="006E3AA7"/>
    <w:rsid w:val="006E4820"/>
    <w:rsid w:val="006E512F"/>
    <w:rsid w:val="006E5774"/>
    <w:rsid w:val="006E58D6"/>
    <w:rsid w:val="006E5D5B"/>
    <w:rsid w:val="006E5D92"/>
    <w:rsid w:val="006E6131"/>
    <w:rsid w:val="006E620F"/>
    <w:rsid w:val="006E642A"/>
    <w:rsid w:val="006E6DED"/>
    <w:rsid w:val="006E6E25"/>
    <w:rsid w:val="006E7805"/>
    <w:rsid w:val="006E79B7"/>
    <w:rsid w:val="006E7C9A"/>
    <w:rsid w:val="006E7E9C"/>
    <w:rsid w:val="006F070A"/>
    <w:rsid w:val="006F0CB6"/>
    <w:rsid w:val="006F1432"/>
    <w:rsid w:val="006F1DBE"/>
    <w:rsid w:val="006F2566"/>
    <w:rsid w:val="006F2615"/>
    <w:rsid w:val="006F2702"/>
    <w:rsid w:val="006F2A80"/>
    <w:rsid w:val="006F2B10"/>
    <w:rsid w:val="006F2CD5"/>
    <w:rsid w:val="006F2F8F"/>
    <w:rsid w:val="006F310A"/>
    <w:rsid w:val="006F3715"/>
    <w:rsid w:val="006F3C54"/>
    <w:rsid w:val="006F3F6B"/>
    <w:rsid w:val="006F406F"/>
    <w:rsid w:val="006F52B6"/>
    <w:rsid w:val="006F549F"/>
    <w:rsid w:val="006F59AA"/>
    <w:rsid w:val="006F612C"/>
    <w:rsid w:val="006F637D"/>
    <w:rsid w:val="006F6D9C"/>
    <w:rsid w:val="006F7024"/>
    <w:rsid w:val="006F7091"/>
    <w:rsid w:val="006F70E5"/>
    <w:rsid w:val="006F7794"/>
    <w:rsid w:val="006F7E7C"/>
    <w:rsid w:val="006F7F2A"/>
    <w:rsid w:val="006F7F53"/>
    <w:rsid w:val="007001E6"/>
    <w:rsid w:val="00700537"/>
    <w:rsid w:val="0070092A"/>
    <w:rsid w:val="00700B0F"/>
    <w:rsid w:val="00701027"/>
    <w:rsid w:val="00701B45"/>
    <w:rsid w:val="00701C02"/>
    <w:rsid w:val="00701EB9"/>
    <w:rsid w:val="007020CC"/>
    <w:rsid w:val="007024D8"/>
    <w:rsid w:val="007024F2"/>
    <w:rsid w:val="007025AF"/>
    <w:rsid w:val="0070290B"/>
    <w:rsid w:val="00702CF0"/>
    <w:rsid w:val="0070368D"/>
    <w:rsid w:val="007036F6"/>
    <w:rsid w:val="0070374F"/>
    <w:rsid w:val="0070382E"/>
    <w:rsid w:val="00703AA6"/>
    <w:rsid w:val="00703CFA"/>
    <w:rsid w:val="00703F31"/>
    <w:rsid w:val="00704048"/>
    <w:rsid w:val="00704248"/>
    <w:rsid w:val="007042F2"/>
    <w:rsid w:val="0070448F"/>
    <w:rsid w:val="007048C0"/>
    <w:rsid w:val="007049ED"/>
    <w:rsid w:val="00704F1D"/>
    <w:rsid w:val="0070544A"/>
    <w:rsid w:val="007058DA"/>
    <w:rsid w:val="0070639D"/>
    <w:rsid w:val="00706C05"/>
    <w:rsid w:val="007076E5"/>
    <w:rsid w:val="00707728"/>
    <w:rsid w:val="007077E6"/>
    <w:rsid w:val="00710624"/>
    <w:rsid w:val="00710873"/>
    <w:rsid w:val="00710B75"/>
    <w:rsid w:val="00711344"/>
    <w:rsid w:val="007114AB"/>
    <w:rsid w:val="0071259C"/>
    <w:rsid w:val="00712898"/>
    <w:rsid w:val="007128D2"/>
    <w:rsid w:val="0071293A"/>
    <w:rsid w:val="00712D2A"/>
    <w:rsid w:val="00712EA4"/>
    <w:rsid w:val="00713009"/>
    <w:rsid w:val="0071376C"/>
    <w:rsid w:val="0071395A"/>
    <w:rsid w:val="00713F99"/>
    <w:rsid w:val="007143A7"/>
    <w:rsid w:val="007147A2"/>
    <w:rsid w:val="00714C6C"/>
    <w:rsid w:val="00714F2E"/>
    <w:rsid w:val="00714F59"/>
    <w:rsid w:val="00714FE5"/>
    <w:rsid w:val="00715336"/>
    <w:rsid w:val="00715D62"/>
    <w:rsid w:val="00716692"/>
    <w:rsid w:val="00716E19"/>
    <w:rsid w:val="007172A1"/>
    <w:rsid w:val="00717ED2"/>
    <w:rsid w:val="007202F2"/>
    <w:rsid w:val="00720980"/>
    <w:rsid w:val="0072106C"/>
    <w:rsid w:val="00721254"/>
    <w:rsid w:val="007216A2"/>
    <w:rsid w:val="00721A95"/>
    <w:rsid w:val="00722687"/>
    <w:rsid w:val="00722777"/>
    <w:rsid w:val="007239A4"/>
    <w:rsid w:val="00723E5A"/>
    <w:rsid w:val="007240BE"/>
    <w:rsid w:val="007244C3"/>
    <w:rsid w:val="00724AF8"/>
    <w:rsid w:val="00724E7F"/>
    <w:rsid w:val="007256ED"/>
    <w:rsid w:val="0072578B"/>
    <w:rsid w:val="00725E0A"/>
    <w:rsid w:val="0072695B"/>
    <w:rsid w:val="00726AD2"/>
    <w:rsid w:val="00727377"/>
    <w:rsid w:val="007273D3"/>
    <w:rsid w:val="007302D6"/>
    <w:rsid w:val="007303EC"/>
    <w:rsid w:val="00730C73"/>
    <w:rsid w:val="0073107F"/>
    <w:rsid w:val="00731588"/>
    <w:rsid w:val="00731812"/>
    <w:rsid w:val="007318F3"/>
    <w:rsid w:val="00731988"/>
    <w:rsid w:val="0073198C"/>
    <w:rsid w:val="00731A34"/>
    <w:rsid w:val="007320DD"/>
    <w:rsid w:val="0073236D"/>
    <w:rsid w:val="0073258A"/>
    <w:rsid w:val="00732845"/>
    <w:rsid w:val="00732DDC"/>
    <w:rsid w:val="00733767"/>
    <w:rsid w:val="00733CF6"/>
    <w:rsid w:val="00734B52"/>
    <w:rsid w:val="00735396"/>
    <w:rsid w:val="00735CA3"/>
    <w:rsid w:val="00735E36"/>
    <w:rsid w:val="00735F67"/>
    <w:rsid w:val="00736000"/>
    <w:rsid w:val="00736529"/>
    <w:rsid w:val="0073692B"/>
    <w:rsid w:val="00736A9E"/>
    <w:rsid w:val="00736DCB"/>
    <w:rsid w:val="007371FE"/>
    <w:rsid w:val="0073748C"/>
    <w:rsid w:val="007401A9"/>
    <w:rsid w:val="00740761"/>
    <w:rsid w:val="00740850"/>
    <w:rsid w:val="00740C1B"/>
    <w:rsid w:val="0074134D"/>
    <w:rsid w:val="00741707"/>
    <w:rsid w:val="0074210B"/>
    <w:rsid w:val="00742167"/>
    <w:rsid w:val="007430B2"/>
    <w:rsid w:val="00743418"/>
    <w:rsid w:val="00743A57"/>
    <w:rsid w:val="00743A7A"/>
    <w:rsid w:val="00743E60"/>
    <w:rsid w:val="00743FEB"/>
    <w:rsid w:val="00744094"/>
    <w:rsid w:val="007448D3"/>
    <w:rsid w:val="00744C57"/>
    <w:rsid w:val="00744CFD"/>
    <w:rsid w:val="007453D7"/>
    <w:rsid w:val="00745E80"/>
    <w:rsid w:val="00746553"/>
    <w:rsid w:val="0074690A"/>
    <w:rsid w:val="00746F46"/>
    <w:rsid w:val="00747278"/>
    <w:rsid w:val="0074733A"/>
    <w:rsid w:val="00747543"/>
    <w:rsid w:val="00747620"/>
    <w:rsid w:val="00747E6D"/>
    <w:rsid w:val="0075008F"/>
    <w:rsid w:val="007506B7"/>
    <w:rsid w:val="00750D9F"/>
    <w:rsid w:val="007513EE"/>
    <w:rsid w:val="00751B88"/>
    <w:rsid w:val="00751D10"/>
    <w:rsid w:val="00752381"/>
    <w:rsid w:val="0075244F"/>
    <w:rsid w:val="0075290C"/>
    <w:rsid w:val="00752A34"/>
    <w:rsid w:val="00752AFF"/>
    <w:rsid w:val="00752E6A"/>
    <w:rsid w:val="00753E71"/>
    <w:rsid w:val="00754177"/>
    <w:rsid w:val="007541E4"/>
    <w:rsid w:val="00754350"/>
    <w:rsid w:val="0075435F"/>
    <w:rsid w:val="007543B8"/>
    <w:rsid w:val="007545FC"/>
    <w:rsid w:val="00754851"/>
    <w:rsid w:val="007548F6"/>
    <w:rsid w:val="00754A08"/>
    <w:rsid w:val="00754F96"/>
    <w:rsid w:val="00755412"/>
    <w:rsid w:val="00756002"/>
    <w:rsid w:val="00756708"/>
    <w:rsid w:val="00756C82"/>
    <w:rsid w:val="00756D54"/>
    <w:rsid w:val="00756F00"/>
    <w:rsid w:val="0075714D"/>
    <w:rsid w:val="007573DC"/>
    <w:rsid w:val="00757819"/>
    <w:rsid w:val="0076029C"/>
    <w:rsid w:val="007602CD"/>
    <w:rsid w:val="00760B73"/>
    <w:rsid w:val="00760DF1"/>
    <w:rsid w:val="00761F8B"/>
    <w:rsid w:val="00762591"/>
    <w:rsid w:val="00763248"/>
    <w:rsid w:val="007634CB"/>
    <w:rsid w:val="0076363A"/>
    <w:rsid w:val="007640C8"/>
    <w:rsid w:val="00764137"/>
    <w:rsid w:val="007643D5"/>
    <w:rsid w:val="00764587"/>
    <w:rsid w:val="00764A7B"/>
    <w:rsid w:val="00764B74"/>
    <w:rsid w:val="00764E4A"/>
    <w:rsid w:val="00764F75"/>
    <w:rsid w:val="00765590"/>
    <w:rsid w:val="007658DD"/>
    <w:rsid w:val="00765B1A"/>
    <w:rsid w:val="00765C76"/>
    <w:rsid w:val="00766824"/>
    <w:rsid w:val="00766E2A"/>
    <w:rsid w:val="007679DB"/>
    <w:rsid w:val="00767E27"/>
    <w:rsid w:val="007701B6"/>
    <w:rsid w:val="007701F7"/>
    <w:rsid w:val="00770498"/>
    <w:rsid w:val="007704E9"/>
    <w:rsid w:val="00770C26"/>
    <w:rsid w:val="00771061"/>
    <w:rsid w:val="00771765"/>
    <w:rsid w:val="00771CA3"/>
    <w:rsid w:val="00771CFE"/>
    <w:rsid w:val="00771DC9"/>
    <w:rsid w:val="00771E72"/>
    <w:rsid w:val="0077219A"/>
    <w:rsid w:val="007721BC"/>
    <w:rsid w:val="007723C4"/>
    <w:rsid w:val="00772D87"/>
    <w:rsid w:val="007743A4"/>
    <w:rsid w:val="007749B6"/>
    <w:rsid w:val="007749DD"/>
    <w:rsid w:val="00774ECC"/>
    <w:rsid w:val="00775ED7"/>
    <w:rsid w:val="00776476"/>
    <w:rsid w:val="007764EF"/>
    <w:rsid w:val="007765A7"/>
    <w:rsid w:val="007768B2"/>
    <w:rsid w:val="00776C1C"/>
    <w:rsid w:val="00777000"/>
    <w:rsid w:val="007771B3"/>
    <w:rsid w:val="00777211"/>
    <w:rsid w:val="0077743B"/>
    <w:rsid w:val="007775A0"/>
    <w:rsid w:val="00777C83"/>
    <w:rsid w:val="00777CF0"/>
    <w:rsid w:val="00780056"/>
    <w:rsid w:val="0078056C"/>
    <w:rsid w:val="00780A68"/>
    <w:rsid w:val="0078199F"/>
    <w:rsid w:val="00781F1B"/>
    <w:rsid w:val="007825B4"/>
    <w:rsid w:val="00782BCE"/>
    <w:rsid w:val="00783041"/>
    <w:rsid w:val="0078306C"/>
    <w:rsid w:val="00783821"/>
    <w:rsid w:val="00783C8F"/>
    <w:rsid w:val="00783F1C"/>
    <w:rsid w:val="00783F5F"/>
    <w:rsid w:val="0078405D"/>
    <w:rsid w:val="00784CF6"/>
    <w:rsid w:val="00785837"/>
    <w:rsid w:val="00785CE0"/>
    <w:rsid w:val="00785CF5"/>
    <w:rsid w:val="00785D3D"/>
    <w:rsid w:val="00786BF2"/>
    <w:rsid w:val="00786FD4"/>
    <w:rsid w:val="007870DB"/>
    <w:rsid w:val="00787460"/>
    <w:rsid w:val="00787AF5"/>
    <w:rsid w:val="00787EB1"/>
    <w:rsid w:val="007902D3"/>
    <w:rsid w:val="007907AF"/>
    <w:rsid w:val="00790827"/>
    <w:rsid w:val="00791346"/>
    <w:rsid w:val="007915A3"/>
    <w:rsid w:val="0079185A"/>
    <w:rsid w:val="0079197F"/>
    <w:rsid w:val="00791B5E"/>
    <w:rsid w:val="00791FA8"/>
    <w:rsid w:val="00792398"/>
    <w:rsid w:val="00792994"/>
    <w:rsid w:val="00792B45"/>
    <w:rsid w:val="00792C4E"/>
    <w:rsid w:val="00793A32"/>
    <w:rsid w:val="0079414A"/>
    <w:rsid w:val="00794546"/>
    <w:rsid w:val="007949A0"/>
    <w:rsid w:val="0079512D"/>
    <w:rsid w:val="00795287"/>
    <w:rsid w:val="0079570E"/>
    <w:rsid w:val="00795903"/>
    <w:rsid w:val="00795BD9"/>
    <w:rsid w:val="00795BDA"/>
    <w:rsid w:val="00795BDD"/>
    <w:rsid w:val="007962E2"/>
    <w:rsid w:val="00796708"/>
    <w:rsid w:val="00796A80"/>
    <w:rsid w:val="00796AF0"/>
    <w:rsid w:val="00796B45"/>
    <w:rsid w:val="00796B69"/>
    <w:rsid w:val="0079704E"/>
    <w:rsid w:val="00797079"/>
    <w:rsid w:val="00797270"/>
    <w:rsid w:val="007A01B1"/>
    <w:rsid w:val="007A08C7"/>
    <w:rsid w:val="007A0B86"/>
    <w:rsid w:val="007A155D"/>
    <w:rsid w:val="007A1632"/>
    <w:rsid w:val="007A1723"/>
    <w:rsid w:val="007A1A61"/>
    <w:rsid w:val="007A256D"/>
    <w:rsid w:val="007A296E"/>
    <w:rsid w:val="007A2974"/>
    <w:rsid w:val="007A2C08"/>
    <w:rsid w:val="007A2EC8"/>
    <w:rsid w:val="007A3262"/>
    <w:rsid w:val="007A355D"/>
    <w:rsid w:val="007A37F7"/>
    <w:rsid w:val="007A395F"/>
    <w:rsid w:val="007A3AAC"/>
    <w:rsid w:val="007A3E59"/>
    <w:rsid w:val="007A3EEE"/>
    <w:rsid w:val="007A4085"/>
    <w:rsid w:val="007A44D8"/>
    <w:rsid w:val="007A46C7"/>
    <w:rsid w:val="007A4CDD"/>
    <w:rsid w:val="007A4F6E"/>
    <w:rsid w:val="007A4F7F"/>
    <w:rsid w:val="007A4FD9"/>
    <w:rsid w:val="007A5331"/>
    <w:rsid w:val="007A5AF9"/>
    <w:rsid w:val="007A5B60"/>
    <w:rsid w:val="007A5E73"/>
    <w:rsid w:val="007A62E1"/>
    <w:rsid w:val="007A69ED"/>
    <w:rsid w:val="007A6A23"/>
    <w:rsid w:val="007A789A"/>
    <w:rsid w:val="007A7BED"/>
    <w:rsid w:val="007A7FED"/>
    <w:rsid w:val="007B01FC"/>
    <w:rsid w:val="007B0370"/>
    <w:rsid w:val="007B0487"/>
    <w:rsid w:val="007B24AA"/>
    <w:rsid w:val="007B2926"/>
    <w:rsid w:val="007B2E92"/>
    <w:rsid w:val="007B3C52"/>
    <w:rsid w:val="007B3E94"/>
    <w:rsid w:val="007B4365"/>
    <w:rsid w:val="007B4F5F"/>
    <w:rsid w:val="007B5043"/>
    <w:rsid w:val="007B580D"/>
    <w:rsid w:val="007B5A82"/>
    <w:rsid w:val="007B60B6"/>
    <w:rsid w:val="007B6307"/>
    <w:rsid w:val="007B63BA"/>
    <w:rsid w:val="007B64BF"/>
    <w:rsid w:val="007B6969"/>
    <w:rsid w:val="007B69C3"/>
    <w:rsid w:val="007B765C"/>
    <w:rsid w:val="007B769A"/>
    <w:rsid w:val="007B7C33"/>
    <w:rsid w:val="007C03B5"/>
    <w:rsid w:val="007C07E4"/>
    <w:rsid w:val="007C0818"/>
    <w:rsid w:val="007C0EBA"/>
    <w:rsid w:val="007C1649"/>
    <w:rsid w:val="007C1FAD"/>
    <w:rsid w:val="007C201B"/>
    <w:rsid w:val="007C202C"/>
    <w:rsid w:val="007C228E"/>
    <w:rsid w:val="007C2AA4"/>
    <w:rsid w:val="007C2B59"/>
    <w:rsid w:val="007C2C0C"/>
    <w:rsid w:val="007C2CC6"/>
    <w:rsid w:val="007C3721"/>
    <w:rsid w:val="007C39F9"/>
    <w:rsid w:val="007C3EFE"/>
    <w:rsid w:val="007C43A8"/>
    <w:rsid w:val="007C4686"/>
    <w:rsid w:val="007C4759"/>
    <w:rsid w:val="007C4889"/>
    <w:rsid w:val="007C4A58"/>
    <w:rsid w:val="007C4CD1"/>
    <w:rsid w:val="007C5262"/>
    <w:rsid w:val="007C54A1"/>
    <w:rsid w:val="007C56FB"/>
    <w:rsid w:val="007C6696"/>
    <w:rsid w:val="007C690E"/>
    <w:rsid w:val="007C6B90"/>
    <w:rsid w:val="007C6EC1"/>
    <w:rsid w:val="007C7DF1"/>
    <w:rsid w:val="007D02A4"/>
    <w:rsid w:val="007D09D1"/>
    <w:rsid w:val="007D0ADA"/>
    <w:rsid w:val="007D0E3B"/>
    <w:rsid w:val="007D10F8"/>
    <w:rsid w:val="007D1298"/>
    <w:rsid w:val="007D209C"/>
    <w:rsid w:val="007D215A"/>
    <w:rsid w:val="007D2189"/>
    <w:rsid w:val="007D21E8"/>
    <w:rsid w:val="007D26E5"/>
    <w:rsid w:val="007D2AA0"/>
    <w:rsid w:val="007D2F5A"/>
    <w:rsid w:val="007D30AE"/>
    <w:rsid w:val="007D30CA"/>
    <w:rsid w:val="007D360B"/>
    <w:rsid w:val="007D3DAF"/>
    <w:rsid w:val="007D4197"/>
    <w:rsid w:val="007D41B7"/>
    <w:rsid w:val="007D42B3"/>
    <w:rsid w:val="007D4777"/>
    <w:rsid w:val="007D4A7B"/>
    <w:rsid w:val="007D4CAA"/>
    <w:rsid w:val="007D4CAD"/>
    <w:rsid w:val="007D511B"/>
    <w:rsid w:val="007D54DD"/>
    <w:rsid w:val="007D57AA"/>
    <w:rsid w:val="007D5939"/>
    <w:rsid w:val="007D672F"/>
    <w:rsid w:val="007D6FE4"/>
    <w:rsid w:val="007D713B"/>
    <w:rsid w:val="007D7480"/>
    <w:rsid w:val="007D74E9"/>
    <w:rsid w:val="007E00A9"/>
    <w:rsid w:val="007E0282"/>
    <w:rsid w:val="007E0329"/>
    <w:rsid w:val="007E090F"/>
    <w:rsid w:val="007E0C17"/>
    <w:rsid w:val="007E0CF6"/>
    <w:rsid w:val="007E16E6"/>
    <w:rsid w:val="007E173D"/>
    <w:rsid w:val="007E18C6"/>
    <w:rsid w:val="007E1972"/>
    <w:rsid w:val="007E1A9C"/>
    <w:rsid w:val="007E24B4"/>
    <w:rsid w:val="007E29F3"/>
    <w:rsid w:val="007E3149"/>
    <w:rsid w:val="007E3652"/>
    <w:rsid w:val="007E3DDE"/>
    <w:rsid w:val="007E3E90"/>
    <w:rsid w:val="007E435C"/>
    <w:rsid w:val="007E43F9"/>
    <w:rsid w:val="007E4F17"/>
    <w:rsid w:val="007E513F"/>
    <w:rsid w:val="007E551C"/>
    <w:rsid w:val="007E566D"/>
    <w:rsid w:val="007E56A8"/>
    <w:rsid w:val="007E6A51"/>
    <w:rsid w:val="007E6AE0"/>
    <w:rsid w:val="007E6B8A"/>
    <w:rsid w:val="007E6B96"/>
    <w:rsid w:val="007E6EE9"/>
    <w:rsid w:val="007E6FEE"/>
    <w:rsid w:val="007E7131"/>
    <w:rsid w:val="007E74B9"/>
    <w:rsid w:val="007E75DC"/>
    <w:rsid w:val="007E7A8A"/>
    <w:rsid w:val="007F02AD"/>
    <w:rsid w:val="007F0845"/>
    <w:rsid w:val="007F0A54"/>
    <w:rsid w:val="007F15A7"/>
    <w:rsid w:val="007F18AA"/>
    <w:rsid w:val="007F209D"/>
    <w:rsid w:val="007F21D6"/>
    <w:rsid w:val="007F2888"/>
    <w:rsid w:val="007F2A07"/>
    <w:rsid w:val="007F2A54"/>
    <w:rsid w:val="007F2B3F"/>
    <w:rsid w:val="007F30B1"/>
    <w:rsid w:val="007F33B4"/>
    <w:rsid w:val="007F36ED"/>
    <w:rsid w:val="007F399A"/>
    <w:rsid w:val="007F401B"/>
    <w:rsid w:val="007F4035"/>
    <w:rsid w:val="007F45DE"/>
    <w:rsid w:val="007F467D"/>
    <w:rsid w:val="007F4882"/>
    <w:rsid w:val="007F48B5"/>
    <w:rsid w:val="007F4C76"/>
    <w:rsid w:val="007F5697"/>
    <w:rsid w:val="007F5A3F"/>
    <w:rsid w:val="007F5CA5"/>
    <w:rsid w:val="007F5FE8"/>
    <w:rsid w:val="007F664A"/>
    <w:rsid w:val="007F68CE"/>
    <w:rsid w:val="007F69B3"/>
    <w:rsid w:val="007F6D52"/>
    <w:rsid w:val="007F6E9F"/>
    <w:rsid w:val="007F76AC"/>
    <w:rsid w:val="007F78B2"/>
    <w:rsid w:val="007F7A0C"/>
    <w:rsid w:val="007F7A89"/>
    <w:rsid w:val="007F7C0B"/>
    <w:rsid w:val="007F7EEF"/>
    <w:rsid w:val="007F7F47"/>
    <w:rsid w:val="0080029A"/>
    <w:rsid w:val="008003F6"/>
    <w:rsid w:val="008006D1"/>
    <w:rsid w:val="00800A13"/>
    <w:rsid w:val="00800B68"/>
    <w:rsid w:val="00800EF0"/>
    <w:rsid w:val="00801120"/>
    <w:rsid w:val="008011A4"/>
    <w:rsid w:val="008014DB"/>
    <w:rsid w:val="00801C29"/>
    <w:rsid w:val="00801C63"/>
    <w:rsid w:val="00801D35"/>
    <w:rsid w:val="00801D46"/>
    <w:rsid w:val="008026BB"/>
    <w:rsid w:val="00802708"/>
    <w:rsid w:val="00802F98"/>
    <w:rsid w:val="008035CE"/>
    <w:rsid w:val="00803DC8"/>
    <w:rsid w:val="00803F0D"/>
    <w:rsid w:val="008040F6"/>
    <w:rsid w:val="00804467"/>
    <w:rsid w:val="008046BF"/>
    <w:rsid w:val="00804930"/>
    <w:rsid w:val="0080497F"/>
    <w:rsid w:val="00804BE1"/>
    <w:rsid w:val="00804D7E"/>
    <w:rsid w:val="00804EB0"/>
    <w:rsid w:val="00805033"/>
    <w:rsid w:val="008050FF"/>
    <w:rsid w:val="008055B5"/>
    <w:rsid w:val="00805841"/>
    <w:rsid w:val="00805BE9"/>
    <w:rsid w:val="00805E86"/>
    <w:rsid w:val="00805EDF"/>
    <w:rsid w:val="00806D32"/>
    <w:rsid w:val="00806EEB"/>
    <w:rsid w:val="008071DB"/>
    <w:rsid w:val="008073B7"/>
    <w:rsid w:val="008073B8"/>
    <w:rsid w:val="00807A75"/>
    <w:rsid w:val="00807D5C"/>
    <w:rsid w:val="00807FEB"/>
    <w:rsid w:val="00810456"/>
    <w:rsid w:val="00810890"/>
    <w:rsid w:val="0081096F"/>
    <w:rsid w:val="00810EA4"/>
    <w:rsid w:val="00810EA7"/>
    <w:rsid w:val="008114BE"/>
    <w:rsid w:val="008117BD"/>
    <w:rsid w:val="00811E07"/>
    <w:rsid w:val="008120B6"/>
    <w:rsid w:val="00812168"/>
    <w:rsid w:val="008121E5"/>
    <w:rsid w:val="008127F0"/>
    <w:rsid w:val="0081282E"/>
    <w:rsid w:val="00812A9A"/>
    <w:rsid w:val="00812AAF"/>
    <w:rsid w:val="008130CD"/>
    <w:rsid w:val="00813360"/>
    <w:rsid w:val="00813A9F"/>
    <w:rsid w:val="00813C91"/>
    <w:rsid w:val="00813CED"/>
    <w:rsid w:val="00814283"/>
    <w:rsid w:val="00814421"/>
    <w:rsid w:val="00814697"/>
    <w:rsid w:val="008147B9"/>
    <w:rsid w:val="008147E1"/>
    <w:rsid w:val="00814833"/>
    <w:rsid w:val="00814B3D"/>
    <w:rsid w:val="00814BE2"/>
    <w:rsid w:val="00814E5F"/>
    <w:rsid w:val="00814F66"/>
    <w:rsid w:val="008155A6"/>
    <w:rsid w:val="008156F2"/>
    <w:rsid w:val="00815863"/>
    <w:rsid w:val="00815C1C"/>
    <w:rsid w:val="00815C98"/>
    <w:rsid w:val="00815F81"/>
    <w:rsid w:val="0081607D"/>
    <w:rsid w:val="00816108"/>
    <w:rsid w:val="008169A6"/>
    <w:rsid w:val="00816E44"/>
    <w:rsid w:val="00816FE6"/>
    <w:rsid w:val="0081710C"/>
    <w:rsid w:val="008173C7"/>
    <w:rsid w:val="00817E56"/>
    <w:rsid w:val="0082039E"/>
    <w:rsid w:val="008204C8"/>
    <w:rsid w:val="008205A9"/>
    <w:rsid w:val="00820913"/>
    <w:rsid w:val="00820E80"/>
    <w:rsid w:val="00821569"/>
    <w:rsid w:val="00821C97"/>
    <w:rsid w:val="008232C6"/>
    <w:rsid w:val="008236FF"/>
    <w:rsid w:val="00823D14"/>
    <w:rsid w:val="00823F42"/>
    <w:rsid w:val="008244D2"/>
    <w:rsid w:val="00824BCF"/>
    <w:rsid w:val="00824D3A"/>
    <w:rsid w:val="00825061"/>
    <w:rsid w:val="00825363"/>
    <w:rsid w:val="008253A4"/>
    <w:rsid w:val="00825419"/>
    <w:rsid w:val="00825487"/>
    <w:rsid w:val="008258C7"/>
    <w:rsid w:val="0082595E"/>
    <w:rsid w:val="00825983"/>
    <w:rsid w:val="00825F00"/>
    <w:rsid w:val="00826735"/>
    <w:rsid w:val="00826B56"/>
    <w:rsid w:val="00826C4D"/>
    <w:rsid w:val="00826D02"/>
    <w:rsid w:val="008302BA"/>
    <w:rsid w:val="008307F9"/>
    <w:rsid w:val="00830AB0"/>
    <w:rsid w:val="00830C19"/>
    <w:rsid w:val="00830C90"/>
    <w:rsid w:val="00830FBE"/>
    <w:rsid w:val="00831014"/>
    <w:rsid w:val="00831080"/>
    <w:rsid w:val="0083145D"/>
    <w:rsid w:val="0083193E"/>
    <w:rsid w:val="00831A02"/>
    <w:rsid w:val="0083308B"/>
    <w:rsid w:val="00833153"/>
    <w:rsid w:val="0083323B"/>
    <w:rsid w:val="0083334C"/>
    <w:rsid w:val="00833509"/>
    <w:rsid w:val="0083356A"/>
    <w:rsid w:val="00833CA0"/>
    <w:rsid w:val="0083459E"/>
    <w:rsid w:val="0083480B"/>
    <w:rsid w:val="00834F3C"/>
    <w:rsid w:val="008363BD"/>
    <w:rsid w:val="00836616"/>
    <w:rsid w:val="00836688"/>
    <w:rsid w:val="00836713"/>
    <w:rsid w:val="00836E0C"/>
    <w:rsid w:val="00837635"/>
    <w:rsid w:val="0084002E"/>
    <w:rsid w:val="008403E3"/>
    <w:rsid w:val="0084043D"/>
    <w:rsid w:val="0084054A"/>
    <w:rsid w:val="00840622"/>
    <w:rsid w:val="00840E38"/>
    <w:rsid w:val="008417A0"/>
    <w:rsid w:val="00842032"/>
    <w:rsid w:val="008426F6"/>
    <w:rsid w:val="00842F29"/>
    <w:rsid w:val="008433A5"/>
    <w:rsid w:val="00843489"/>
    <w:rsid w:val="00843C26"/>
    <w:rsid w:val="008444D4"/>
    <w:rsid w:val="00844707"/>
    <w:rsid w:val="0084488D"/>
    <w:rsid w:val="00844C78"/>
    <w:rsid w:val="00845052"/>
    <w:rsid w:val="008452AE"/>
    <w:rsid w:val="008454CE"/>
    <w:rsid w:val="008457BD"/>
    <w:rsid w:val="00845830"/>
    <w:rsid w:val="008461DE"/>
    <w:rsid w:val="008466CD"/>
    <w:rsid w:val="008470D1"/>
    <w:rsid w:val="00847118"/>
    <w:rsid w:val="0084716C"/>
    <w:rsid w:val="00847637"/>
    <w:rsid w:val="00847786"/>
    <w:rsid w:val="00847C16"/>
    <w:rsid w:val="00847F73"/>
    <w:rsid w:val="008504D0"/>
    <w:rsid w:val="008508AE"/>
    <w:rsid w:val="00850936"/>
    <w:rsid w:val="00850FF1"/>
    <w:rsid w:val="00851657"/>
    <w:rsid w:val="008517D0"/>
    <w:rsid w:val="00851EC1"/>
    <w:rsid w:val="00851F2B"/>
    <w:rsid w:val="0085240C"/>
    <w:rsid w:val="008540C4"/>
    <w:rsid w:val="0085416D"/>
    <w:rsid w:val="0085440C"/>
    <w:rsid w:val="00854B9C"/>
    <w:rsid w:val="00854C90"/>
    <w:rsid w:val="00854E66"/>
    <w:rsid w:val="0085500D"/>
    <w:rsid w:val="00855697"/>
    <w:rsid w:val="008558CF"/>
    <w:rsid w:val="00855CB2"/>
    <w:rsid w:val="008562FC"/>
    <w:rsid w:val="00856334"/>
    <w:rsid w:val="0085667A"/>
    <w:rsid w:val="008567A0"/>
    <w:rsid w:val="008569B8"/>
    <w:rsid w:val="00856C4F"/>
    <w:rsid w:val="00856CE7"/>
    <w:rsid w:val="00856D56"/>
    <w:rsid w:val="00856DD9"/>
    <w:rsid w:val="00857027"/>
    <w:rsid w:val="00857077"/>
    <w:rsid w:val="00860246"/>
    <w:rsid w:val="0086075D"/>
    <w:rsid w:val="00860ADC"/>
    <w:rsid w:val="0086117B"/>
    <w:rsid w:val="0086177C"/>
    <w:rsid w:val="0086187F"/>
    <w:rsid w:val="008618BC"/>
    <w:rsid w:val="00861EA4"/>
    <w:rsid w:val="008622E0"/>
    <w:rsid w:val="008624C0"/>
    <w:rsid w:val="00862D54"/>
    <w:rsid w:val="00862E9D"/>
    <w:rsid w:val="00862F6D"/>
    <w:rsid w:val="00863248"/>
    <w:rsid w:val="008635D6"/>
    <w:rsid w:val="008635EA"/>
    <w:rsid w:val="00863611"/>
    <w:rsid w:val="008640BE"/>
    <w:rsid w:val="008644F1"/>
    <w:rsid w:val="00864734"/>
    <w:rsid w:val="00864B5F"/>
    <w:rsid w:val="00864BF4"/>
    <w:rsid w:val="00864D32"/>
    <w:rsid w:val="008652B2"/>
    <w:rsid w:val="00865613"/>
    <w:rsid w:val="0086562C"/>
    <w:rsid w:val="0086586E"/>
    <w:rsid w:val="00865879"/>
    <w:rsid w:val="00865B2F"/>
    <w:rsid w:val="00865C7E"/>
    <w:rsid w:val="008663A1"/>
    <w:rsid w:val="008668EF"/>
    <w:rsid w:val="00866AD0"/>
    <w:rsid w:val="00866CCA"/>
    <w:rsid w:val="00866E7F"/>
    <w:rsid w:val="008671FE"/>
    <w:rsid w:val="00870423"/>
    <w:rsid w:val="00870603"/>
    <w:rsid w:val="00870CD2"/>
    <w:rsid w:val="00871371"/>
    <w:rsid w:val="00871CA9"/>
    <w:rsid w:val="00872299"/>
    <w:rsid w:val="008723AA"/>
    <w:rsid w:val="00872644"/>
    <w:rsid w:val="00872E45"/>
    <w:rsid w:val="0087351B"/>
    <w:rsid w:val="008735EE"/>
    <w:rsid w:val="00873802"/>
    <w:rsid w:val="00873E16"/>
    <w:rsid w:val="00873FE4"/>
    <w:rsid w:val="008752DA"/>
    <w:rsid w:val="0087574A"/>
    <w:rsid w:val="00875830"/>
    <w:rsid w:val="00875AB4"/>
    <w:rsid w:val="00875AE7"/>
    <w:rsid w:val="00875CFB"/>
    <w:rsid w:val="00875E91"/>
    <w:rsid w:val="008764CA"/>
    <w:rsid w:val="0087663F"/>
    <w:rsid w:val="00876FB0"/>
    <w:rsid w:val="008773DC"/>
    <w:rsid w:val="00877710"/>
    <w:rsid w:val="00877BCA"/>
    <w:rsid w:val="00877C6D"/>
    <w:rsid w:val="00880F85"/>
    <w:rsid w:val="008816C4"/>
    <w:rsid w:val="0088172A"/>
    <w:rsid w:val="00881771"/>
    <w:rsid w:val="00881E6F"/>
    <w:rsid w:val="00882515"/>
    <w:rsid w:val="0088269A"/>
    <w:rsid w:val="008829D4"/>
    <w:rsid w:val="00882A0E"/>
    <w:rsid w:val="00882BDD"/>
    <w:rsid w:val="00882DF6"/>
    <w:rsid w:val="00882FC1"/>
    <w:rsid w:val="00883224"/>
    <w:rsid w:val="00883679"/>
    <w:rsid w:val="00883EAC"/>
    <w:rsid w:val="00884507"/>
    <w:rsid w:val="00884C97"/>
    <w:rsid w:val="00884DCD"/>
    <w:rsid w:val="00884E47"/>
    <w:rsid w:val="008851D0"/>
    <w:rsid w:val="008854A0"/>
    <w:rsid w:val="008859AE"/>
    <w:rsid w:val="00885BCE"/>
    <w:rsid w:val="00885E94"/>
    <w:rsid w:val="008861D5"/>
    <w:rsid w:val="008861EF"/>
    <w:rsid w:val="00886714"/>
    <w:rsid w:val="00886BE7"/>
    <w:rsid w:val="00886CA1"/>
    <w:rsid w:val="00886DBD"/>
    <w:rsid w:val="00887D38"/>
    <w:rsid w:val="0089007E"/>
    <w:rsid w:val="0089063A"/>
    <w:rsid w:val="00890B92"/>
    <w:rsid w:val="00890BD1"/>
    <w:rsid w:val="00890E01"/>
    <w:rsid w:val="008916C9"/>
    <w:rsid w:val="00891BA4"/>
    <w:rsid w:val="0089233C"/>
    <w:rsid w:val="0089270D"/>
    <w:rsid w:val="00892A60"/>
    <w:rsid w:val="00892D40"/>
    <w:rsid w:val="00892E50"/>
    <w:rsid w:val="00892EFE"/>
    <w:rsid w:val="0089310B"/>
    <w:rsid w:val="0089321E"/>
    <w:rsid w:val="00893B95"/>
    <w:rsid w:val="008940E7"/>
    <w:rsid w:val="008946C3"/>
    <w:rsid w:val="00895364"/>
    <w:rsid w:val="0089546B"/>
    <w:rsid w:val="0089549F"/>
    <w:rsid w:val="0089589F"/>
    <w:rsid w:val="008966E0"/>
    <w:rsid w:val="00896944"/>
    <w:rsid w:val="0089711B"/>
    <w:rsid w:val="00897288"/>
    <w:rsid w:val="00897780"/>
    <w:rsid w:val="008978CB"/>
    <w:rsid w:val="00897FC0"/>
    <w:rsid w:val="008A02BA"/>
    <w:rsid w:val="008A0376"/>
    <w:rsid w:val="008A054D"/>
    <w:rsid w:val="008A05E8"/>
    <w:rsid w:val="008A062A"/>
    <w:rsid w:val="008A08FE"/>
    <w:rsid w:val="008A0971"/>
    <w:rsid w:val="008A0D04"/>
    <w:rsid w:val="008A145C"/>
    <w:rsid w:val="008A1A63"/>
    <w:rsid w:val="008A1AFB"/>
    <w:rsid w:val="008A1EC9"/>
    <w:rsid w:val="008A226B"/>
    <w:rsid w:val="008A22A9"/>
    <w:rsid w:val="008A2AF7"/>
    <w:rsid w:val="008A2AFF"/>
    <w:rsid w:val="008A2B77"/>
    <w:rsid w:val="008A2C05"/>
    <w:rsid w:val="008A2EC7"/>
    <w:rsid w:val="008A2EE8"/>
    <w:rsid w:val="008A2F17"/>
    <w:rsid w:val="008A31D8"/>
    <w:rsid w:val="008A32A9"/>
    <w:rsid w:val="008A3716"/>
    <w:rsid w:val="008A373D"/>
    <w:rsid w:val="008A44BE"/>
    <w:rsid w:val="008A4ABE"/>
    <w:rsid w:val="008A6260"/>
    <w:rsid w:val="008A73AE"/>
    <w:rsid w:val="008A764F"/>
    <w:rsid w:val="008A76FA"/>
    <w:rsid w:val="008A78AD"/>
    <w:rsid w:val="008A797A"/>
    <w:rsid w:val="008A79C5"/>
    <w:rsid w:val="008A7BDF"/>
    <w:rsid w:val="008A7E4E"/>
    <w:rsid w:val="008A7FF0"/>
    <w:rsid w:val="008B0285"/>
    <w:rsid w:val="008B0A24"/>
    <w:rsid w:val="008B0D87"/>
    <w:rsid w:val="008B1056"/>
    <w:rsid w:val="008B129F"/>
    <w:rsid w:val="008B1B7B"/>
    <w:rsid w:val="008B1E8F"/>
    <w:rsid w:val="008B1E93"/>
    <w:rsid w:val="008B2357"/>
    <w:rsid w:val="008B24A2"/>
    <w:rsid w:val="008B2525"/>
    <w:rsid w:val="008B257E"/>
    <w:rsid w:val="008B2D30"/>
    <w:rsid w:val="008B2DF5"/>
    <w:rsid w:val="008B3062"/>
    <w:rsid w:val="008B3216"/>
    <w:rsid w:val="008B3525"/>
    <w:rsid w:val="008B3663"/>
    <w:rsid w:val="008B3918"/>
    <w:rsid w:val="008B394D"/>
    <w:rsid w:val="008B3AC3"/>
    <w:rsid w:val="008B3AF8"/>
    <w:rsid w:val="008B3BD7"/>
    <w:rsid w:val="008B3FFD"/>
    <w:rsid w:val="008B44CF"/>
    <w:rsid w:val="008B4C40"/>
    <w:rsid w:val="008B4FA4"/>
    <w:rsid w:val="008B5051"/>
    <w:rsid w:val="008B54BF"/>
    <w:rsid w:val="008B598E"/>
    <w:rsid w:val="008B5D59"/>
    <w:rsid w:val="008B5D8B"/>
    <w:rsid w:val="008B61F1"/>
    <w:rsid w:val="008B6533"/>
    <w:rsid w:val="008B65A3"/>
    <w:rsid w:val="008B65F9"/>
    <w:rsid w:val="008B6F9D"/>
    <w:rsid w:val="008B765E"/>
    <w:rsid w:val="008B7CE6"/>
    <w:rsid w:val="008B7D7E"/>
    <w:rsid w:val="008C0243"/>
    <w:rsid w:val="008C0309"/>
    <w:rsid w:val="008C0842"/>
    <w:rsid w:val="008C08AD"/>
    <w:rsid w:val="008C0DB5"/>
    <w:rsid w:val="008C143C"/>
    <w:rsid w:val="008C1C48"/>
    <w:rsid w:val="008C22C4"/>
    <w:rsid w:val="008C2589"/>
    <w:rsid w:val="008C2BB5"/>
    <w:rsid w:val="008C3084"/>
    <w:rsid w:val="008C3219"/>
    <w:rsid w:val="008C3995"/>
    <w:rsid w:val="008C469E"/>
    <w:rsid w:val="008C4CFB"/>
    <w:rsid w:val="008C4D7D"/>
    <w:rsid w:val="008C5336"/>
    <w:rsid w:val="008C55BE"/>
    <w:rsid w:val="008C5648"/>
    <w:rsid w:val="008C585B"/>
    <w:rsid w:val="008C5B3D"/>
    <w:rsid w:val="008C6299"/>
    <w:rsid w:val="008C6365"/>
    <w:rsid w:val="008C7100"/>
    <w:rsid w:val="008C7231"/>
    <w:rsid w:val="008C751A"/>
    <w:rsid w:val="008C7652"/>
    <w:rsid w:val="008C7759"/>
    <w:rsid w:val="008C7881"/>
    <w:rsid w:val="008C7E1A"/>
    <w:rsid w:val="008D05F2"/>
    <w:rsid w:val="008D0C3C"/>
    <w:rsid w:val="008D0D8D"/>
    <w:rsid w:val="008D0D9D"/>
    <w:rsid w:val="008D1161"/>
    <w:rsid w:val="008D1168"/>
    <w:rsid w:val="008D1272"/>
    <w:rsid w:val="008D1354"/>
    <w:rsid w:val="008D14B8"/>
    <w:rsid w:val="008D1A14"/>
    <w:rsid w:val="008D1C29"/>
    <w:rsid w:val="008D1DDD"/>
    <w:rsid w:val="008D1FCB"/>
    <w:rsid w:val="008D1FFB"/>
    <w:rsid w:val="008D288C"/>
    <w:rsid w:val="008D2A1C"/>
    <w:rsid w:val="008D2AA9"/>
    <w:rsid w:val="008D43AF"/>
    <w:rsid w:val="008D48CB"/>
    <w:rsid w:val="008D4AFA"/>
    <w:rsid w:val="008D4C13"/>
    <w:rsid w:val="008D5410"/>
    <w:rsid w:val="008D542E"/>
    <w:rsid w:val="008D5D46"/>
    <w:rsid w:val="008D6588"/>
    <w:rsid w:val="008D676F"/>
    <w:rsid w:val="008D6EE3"/>
    <w:rsid w:val="008D72A9"/>
    <w:rsid w:val="008D748F"/>
    <w:rsid w:val="008D7616"/>
    <w:rsid w:val="008D7652"/>
    <w:rsid w:val="008D7960"/>
    <w:rsid w:val="008D7A67"/>
    <w:rsid w:val="008D7B70"/>
    <w:rsid w:val="008D7FC8"/>
    <w:rsid w:val="008E0621"/>
    <w:rsid w:val="008E0B5E"/>
    <w:rsid w:val="008E1646"/>
    <w:rsid w:val="008E165A"/>
    <w:rsid w:val="008E20B9"/>
    <w:rsid w:val="008E256C"/>
    <w:rsid w:val="008E2DAC"/>
    <w:rsid w:val="008E3391"/>
    <w:rsid w:val="008E33E7"/>
    <w:rsid w:val="008E4025"/>
    <w:rsid w:val="008E42AA"/>
    <w:rsid w:val="008E462B"/>
    <w:rsid w:val="008E46CC"/>
    <w:rsid w:val="008E47B1"/>
    <w:rsid w:val="008E4A22"/>
    <w:rsid w:val="008E4C0D"/>
    <w:rsid w:val="008E516A"/>
    <w:rsid w:val="008E55B9"/>
    <w:rsid w:val="008E6142"/>
    <w:rsid w:val="008E6EFB"/>
    <w:rsid w:val="008E745E"/>
    <w:rsid w:val="008E7481"/>
    <w:rsid w:val="008E75C0"/>
    <w:rsid w:val="008E7AB2"/>
    <w:rsid w:val="008E7B23"/>
    <w:rsid w:val="008E7B43"/>
    <w:rsid w:val="008E7EF5"/>
    <w:rsid w:val="008F0250"/>
    <w:rsid w:val="008F03E5"/>
    <w:rsid w:val="008F0716"/>
    <w:rsid w:val="008F0CD6"/>
    <w:rsid w:val="008F0E69"/>
    <w:rsid w:val="008F0FDC"/>
    <w:rsid w:val="008F1466"/>
    <w:rsid w:val="008F1C5F"/>
    <w:rsid w:val="008F245A"/>
    <w:rsid w:val="008F24FB"/>
    <w:rsid w:val="008F27B8"/>
    <w:rsid w:val="008F29B5"/>
    <w:rsid w:val="008F2BCF"/>
    <w:rsid w:val="008F3657"/>
    <w:rsid w:val="008F40CC"/>
    <w:rsid w:val="008F412A"/>
    <w:rsid w:val="008F4486"/>
    <w:rsid w:val="008F45D6"/>
    <w:rsid w:val="008F4776"/>
    <w:rsid w:val="008F4D51"/>
    <w:rsid w:val="008F52F0"/>
    <w:rsid w:val="008F6208"/>
    <w:rsid w:val="008F64E3"/>
    <w:rsid w:val="008F679A"/>
    <w:rsid w:val="008F6BEF"/>
    <w:rsid w:val="008F6F74"/>
    <w:rsid w:val="008F6F99"/>
    <w:rsid w:val="008F713F"/>
    <w:rsid w:val="008F76EE"/>
    <w:rsid w:val="008F7DEE"/>
    <w:rsid w:val="0090051E"/>
    <w:rsid w:val="00900B0C"/>
    <w:rsid w:val="00900E68"/>
    <w:rsid w:val="00900F97"/>
    <w:rsid w:val="009010FE"/>
    <w:rsid w:val="0090163C"/>
    <w:rsid w:val="009017C5"/>
    <w:rsid w:val="00901825"/>
    <w:rsid w:val="00901BA4"/>
    <w:rsid w:val="00901FE0"/>
    <w:rsid w:val="009023E8"/>
    <w:rsid w:val="00903B36"/>
    <w:rsid w:val="00903D79"/>
    <w:rsid w:val="00903DCE"/>
    <w:rsid w:val="00903F0C"/>
    <w:rsid w:val="00904192"/>
    <w:rsid w:val="0090424A"/>
    <w:rsid w:val="009043C3"/>
    <w:rsid w:val="00904535"/>
    <w:rsid w:val="00904580"/>
    <w:rsid w:val="00904756"/>
    <w:rsid w:val="00904A0D"/>
    <w:rsid w:val="00904C9B"/>
    <w:rsid w:val="00904CC1"/>
    <w:rsid w:val="00904ECA"/>
    <w:rsid w:val="00905401"/>
    <w:rsid w:val="00905C43"/>
    <w:rsid w:val="0090660F"/>
    <w:rsid w:val="0090663E"/>
    <w:rsid w:val="00906A53"/>
    <w:rsid w:val="00906C13"/>
    <w:rsid w:val="00906F74"/>
    <w:rsid w:val="00906FCE"/>
    <w:rsid w:val="00907344"/>
    <w:rsid w:val="00907469"/>
    <w:rsid w:val="00910752"/>
    <w:rsid w:val="00910F75"/>
    <w:rsid w:val="0091121C"/>
    <w:rsid w:val="009112DD"/>
    <w:rsid w:val="009115D6"/>
    <w:rsid w:val="00911609"/>
    <w:rsid w:val="00911977"/>
    <w:rsid w:val="009119FB"/>
    <w:rsid w:val="00911B08"/>
    <w:rsid w:val="00911C91"/>
    <w:rsid w:val="00911D9F"/>
    <w:rsid w:val="00911F71"/>
    <w:rsid w:val="00912008"/>
    <w:rsid w:val="00912116"/>
    <w:rsid w:val="00912A98"/>
    <w:rsid w:val="00912A99"/>
    <w:rsid w:val="00912DB8"/>
    <w:rsid w:val="00912E8B"/>
    <w:rsid w:val="0091308F"/>
    <w:rsid w:val="0091322F"/>
    <w:rsid w:val="00913408"/>
    <w:rsid w:val="00913B71"/>
    <w:rsid w:val="00913EEE"/>
    <w:rsid w:val="00914481"/>
    <w:rsid w:val="00914DDB"/>
    <w:rsid w:val="00915578"/>
    <w:rsid w:val="009161C4"/>
    <w:rsid w:val="0091646E"/>
    <w:rsid w:val="009164AE"/>
    <w:rsid w:val="0091686A"/>
    <w:rsid w:val="00916BB7"/>
    <w:rsid w:val="0091704D"/>
    <w:rsid w:val="0091742C"/>
    <w:rsid w:val="00917639"/>
    <w:rsid w:val="00917884"/>
    <w:rsid w:val="0092088A"/>
    <w:rsid w:val="00920AD3"/>
    <w:rsid w:val="00920B46"/>
    <w:rsid w:val="00920D2A"/>
    <w:rsid w:val="00920DE6"/>
    <w:rsid w:val="00920E7F"/>
    <w:rsid w:val="0092143A"/>
    <w:rsid w:val="00921667"/>
    <w:rsid w:val="00921815"/>
    <w:rsid w:val="00921B3A"/>
    <w:rsid w:val="009220C1"/>
    <w:rsid w:val="00922342"/>
    <w:rsid w:val="009227A6"/>
    <w:rsid w:val="00922A79"/>
    <w:rsid w:val="00923160"/>
    <w:rsid w:val="009236C4"/>
    <w:rsid w:val="009239C1"/>
    <w:rsid w:val="00923C91"/>
    <w:rsid w:val="0092468E"/>
    <w:rsid w:val="00924857"/>
    <w:rsid w:val="00924EDD"/>
    <w:rsid w:val="0092540A"/>
    <w:rsid w:val="0092549B"/>
    <w:rsid w:val="009256FC"/>
    <w:rsid w:val="00925E67"/>
    <w:rsid w:val="0092632C"/>
    <w:rsid w:val="00926412"/>
    <w:rsid w:val="00926704"/>
    <w:rsid w:val="0092707B"/>
    <w:rsid w:val="00927E19"/>
    <w:rsid w:val="00927EC6"/>
    <w:rsid w:val="00930F6D"/>
    <w:rsid w:val="00931162"/>
    <w:rsid w:val="009311B1"/>
    <w:rsid w:val="009317BD"/>
    <w:rsid w:val="009319F1"/>
    <w:rsid w:val="00931AD7"/>
    <w:rsid w:val="00932001"/>
    <w:rsid w:val="009325D2"/>
    <w:rsid w:val="009329EA"/>
    <w:rsid w:val="00932B1C"/>
    <w:rsid w:val="00932DF7"/>
    <w:rsid w:val="0093320C"/>
    <w:rsid w:val="00933214"/>
    <w:rsid w:val="0093344E"/>
    <w:rsid w:val="00933571"/>
    <w:rsid w:val="00933ADB"/>
    <w:rsid w:val="00933B5D"/>
    <w:rsid w:val="0093426B"/>
    <w:rsid w:val="00934411"/>
    <w:rsid w:val="00934536"/>
    <w:rsid w:val="00934576"/>
    <w:rsid w:val="009347BD"/>
    <w:rsid w:val="009347E3"/>
    <w:rsid w:val="00935294"/>
    <w:rsid w:val="00935794"/>
    <w:rsid w:val="00935D50"/>
    <w:rsid w:val="00936766"/>
    <w:rsid w:val="0093677C"/>
    <w:rsid w:val="00936ADB"/>
    <w:rsid w:val="00936D24"/>
    <w:rsid w:val="00936E0A"/>
    <w:rsid w:val="00936E45"/>
    <w:rsid w:val="00936E6B"/>
    <w:rsid w:val="00937407"/>
    <w:rsid w:val="0093740F"/>
    <w:rsid w:val="00937A47"/>
    <w:rsid w:val="00937C36"/>
    <w:rsid w:val="009402E6"/>
    <w:rsid w:val="009404CD"/>
    <w:rsid w:val="0094064C"/>
    <w:rsid w:val="00940F39"/>
    <w:rsid w:val="00941050"/>
    <w:rsid w:val="00941136"/>
    <w:rsid w:val="00941150"/>
    <w:rsid w:val="00941350"/>
    <w:rsid w:val="0094154F"/>
    <w:rsid w:val="009415DC"/>
    <w:rsid w:val="0094174F"/>
    <w:rsid w:val="00941870"/>
    <w:rsid w:val="0094189C"/>
    <w:rsid w:val="0094191C"/>
    <w:rsid w:val="00941C62"/>
    <w:rsid w:val="00941ED8"/>
    <w:rsid w:val="00942670"/>
    <w:rsid w:val="009428AA"/>
    <w:rsid w:val="009429B7"/>
    <w:rsid w:val="0094304C"/>
    <w:rsid w:val="009434EA"/>
    <w:rsid w:val="00943782"/>
    <w:rsid w:val="00943B0E"/>
    <w:rsid w:val="00944220"/>
    <w:rsid w:val="009443DA"/>
    <w:rsid w:val="0094441B"/>
    <w:rsid w:val="009445BD"/>
    <w:rsid w:val="0094536E"/>
    <w:rsid w:val="009454B0"/>
    <w:rsid w:val="00945F1E"/>
    <w:rsid w:val="00946DD0"/>
    <w:rsid w:val="00947966"/>
    <w:rsid w:val="009479CF"/>
    <w:rsid w:val="00947C24"/>
    <w:rsid w:val="00947D80"/>
    <w:rsid w:val="009504A2"/>
    <w:rsid w:val="00950727"/>
    <w:rsid w:val="00950B7C"/>
    <w:rsid w:val="00950C9D"/>
    <w:rsid w:val="009512CB"/>
    <w:rsid w:val="00951AF4"/>
    <w:rsid w:val="0095222B"/>
    <w:rsid w:val="009524B8"/>
    <w:rsid w:val="0095264D"/>
    <w:rsid w:val="009528E8"/>
    <w:rsid w:val="00953061"/>
    <w:rsid w:val="00953868"/>
    <w:rsid w:val="00953F6A"/>
    <w:rsid w:val="009542C3"/>
    <w:rsid w:val="00954884"/>
    <w:rsid w:val="00954D09"/>
    <w:rsid w:val="00955335"/>
    <w:rsid w:val="009558E4"/>
    <w:rsid w:val="00955967"/>
    <w:rsid w:val="0095632D"/>
    <w:rsid w:val="00956510"/>
    <w:rsid w:val="009569EC"/>
    <w:rsid w:val="00956B8D"/>
    <w:rsid w:val="0095707F"/>
    <w:rsid w:val="0095774A"/>
    <w:rsid w:val="00957933"/>
    <w:rsid w:val="00957AC3"/>
    <w:rsid w:val="00957BA2"/>
    <w:rsid w:val="00960098"/>
    <w:rsid w:val="0096051C"/>
    <w:rsid w:val="00960A4E"/>
    <w:rsid w:val="00960CC9"/>
    <w:rsid w:val="00960ECD"/>
    <w:rsid w:val="009612F8"/>
    <w:rsid w:val="009613B4"/>
    <w:rsid w:val="00961E6D"/>
    <w:rsid w:val="00961F79"/>
    <w:rsid w:val="00962589"/>
    <w:rsid w:val="0096259B"/>
    <w:rsid w:val="00962C59"/>
    <w:rsid w:val="009631DA"/>
    <w:rsid w:val="00963506"/>
    <w:rsid w:val="009635B6"/>
    <w:rsid w:val="00963DFB"/>
    <w:rsid w:val="00963E9B"/>
    <w:rsid w:val="00963F34"/>
    <w:rsid w:val="00964476"/>
    <w:rsid w:val="00964C4A"/>
    <w:rsid w:val="00965698"/>
    <w:rsid w:val="00966B33"/>
    <w:rsid w:val="0096722D"/>
    <w:rsid w:val="0096759C"/>
    <w:rsid w:val="009676FF"/>
    <w:rsid w:val="00967B66"/>
    <w:rsid w:val="00967CDB"/>
    <w:rsid w:val="00967D11"/>
    <w:rsid w:val="00967DE6"/>
    <w:rsid w:val="00970248"/>
    <w:rsid w:val="00970911"/>
    <w:rsid w:val="00970BDC"/>
    <w:rsid w:val="00970E4C"/>
    <w:rsid w:val="00970F94"/>
    <w:rsid w:val="00970FF6"/>
    <w:rsid w:val="009715E8"/>
    <w:rsid w:val="0097164A"/>
    <w:rsid w:val="0097179B"/>
    <w:rsid w:val="00971915"/>
    <w:rsid w:val="00971C07"/>
    <w:rsid w:val="00971C16"/>
    <w:rsid w:val="00971CB3"/>
    <w:rsid w:val="00972273"/>
    <w:rsid w:val="009722F5"/>
    <w:rsid w:val="00973118"/>
    <w:rsid w:val="009731C1"/>
    <w:rsid w:val="00973554"/>
    <w:rsid w:val="00973716"/>
    <w:rsid w:val="00973F34"/>
    <w:rsid w:val="009743E1"/>
    <w:rsid w:val="00974C6A"/>
    <w:rsid w:val="00974E3C"/>
    <w:rsid w:val="0097526A"/>
    <w:rsid w:val="009752DB"/>
    <w:rsid w:val="00975374"/>
    <w:rsid w:val="00975692"/>
    <w:rsid w:val="009757B6"/>
    <w:rsid w:val="0097588E"/>
    <w:rsid w:val="00975DFB"/>
    <w:rsid w:val="0097656C"/>
    <w:rsid w:val="009767AB"/>
    <w:rsid w:val="00976B3B"/>
    <w:rsid w:val="00976C60"/>
    <w:rsid w:val="00976C91"/>
    <w:rsid w:val="00976EC9"/>
    <w:rsid w:val="00977166"/>
    <w:rsid w:val="00977260"/>
    <w:rsid w:val="009808F6"/>
    <w:rsid w:val="00980EA1"/>
    <w:rsid w:val="0098181F"/>
    <w:rsid w:val="00981B57"/>
    <w:rsid w:val="00981C33"/>
    <w:rsid w:val="00982174"/>
    <w:rsid w:val="00982419"/>
    <w:rsid w:val="00982479"/>
    <w:rsid w:val="009837D7"/>
    <w:rsid w:val="00983844"/>
    <w:rsid w:val="00983CE1"/>
    <w:rsid w:val="00984089"/>
    <w:rsid w:val="00984400"/>
    <w:rsid w:val="00984512"/>
    <w:rsid w:val="00984608"/>
    <w:rsid w:val="00984683"/>
    <w:rsid w:val="00984762"/>
    <w:rsid w:val="009848F2"/>
    <w:rsid w:val="00984ADE"/>
    <w:rsid w:val="00984E4F"/>
    <w:rsid w:val="009853BC"/>
    <w:rsid w:val="00985543"/>
    <w:rsid w:val="009856B5"/>
    <w:rsid w:val="00985F7A"/>
    <w:rsid w:val="00985F85"/>
    <w:rsid w:val="009867BD"/>
    <w:rsid w:val="00986D97"/>
    <w:rsid w:val="00986FE4"/>
    <w:rsid w:val="009873AD"/>
    <w:rsid w:val="0098747F"/>
    <w:rsid w:val="009874CC"/>
    <w:rsid w:val="0098793C"/>
    <w:rsid w:val="00987C4A"/>
    <w:rsid w:val="00990060"/>
    <w:rsid w:val="00990533"/>
    <w:rsid w:val="00990956"/>
    <w:rsid w:val="00990B93"/>
    <w:rsid w:val="00990EF4"/>
    <w:rsid w:val="00990FF8"/>
    <w:rsid w:val="009912E5"/>
    <w:rsid w:val="00991328"/>
    <w:rsid w:val="009919B4"/>
    <w:rsid w:val="00991AD3"/>
    <w:rsid w:val="00991BF5"/>
    <w:rsid w:val="00991EEF"/>
    <w:rsid w:val="00991F86"/>
    <w:rsid w:val="0099237C"/>
    <w:rsid w:val="00992B7E"/>
    <w:rsid w:val="00992BB6"/>
    <w:rsid w:val="00992D9C"/>
    <w:rsid w:val="009931BE"/>
    <w:rsid w:val="009937E7"/>
    <w:rsid w:val="009937F9"/>
    <w:rsid w:val="00993F99"/>
    <w:rsid w:val="0099426D"/>
    <w:rsid w:val="00994DD9"/>
    <w:rsid w:val="009956FC"/>
    <w:rsid w:val="0099581A"/>
    <w:rsid w:val="00995E8B"/>
    <w:rsid w:val="009963A0"/>
    <w:rsid w:val="009969BE"/>
    <w:rsid w:val="00997385"/>
    <w:rsid w:val="00997F7C"/>
    <w:rsid w:val="009A0720"/>
    <w:rsid w:val="009A08AD"/>
    <w:rsid w:val="009A0B54"/>
    <w:rsid w:val="009A0C67"/>
    <w:rsid w:val="009A10B1"/>
    <w:rsid w:val="009A1538"/>
    <w:rsid w:val="009A1A04"/>
    <w:rsid w:val="009A1CE1"/>
    <w:rsid w:val="009A24E6"/>
    <w:rsid w:val="009A3385"/>
    <w:rsid w:val="009A3953"/>
    <w:rsid w:val="009A3B11"/>
    <w:rsid w:val="009A3CE2"/>
    <w:rsid w:val="009A3E76"/>
    <w:rsid w:val="009A4111"/>
    <w:rsid w:val="009A4121"/>
    <w:rsid w:val="009A41D6"/>
    <w:rsid w:val="009A4510"/>
    <w:rsid w:val="009A4A3D"/>
    <w:rsid w:val="009A5215"/>
    <w:rsid w:val="009A5550"/>
    <w:rsid w:val="009A55B8"/>
    <w:rsid w:val="009A5750"/>
    <w:rsid w:val="009A5AC2"/>
    <w:rsid w:val="009A5CB7"/>
    <w:rsid w:val="009A5F90"/>
    <w:rsid w:val="009A61B4"/>
    <w:rsid w:val="009A62AD"/>
    <w:rsid w:val="009A6751"/>
    <w:rsid w:val="009A6A37"/>
    <w:rsid w:val="009A6D5A"/>
    <w:rsid w:val="009A7CF0"/>
    <w:rsid w:val="009A7DB1"/>
    <w:rsid w:val="009A7E06"/>
    <w:rsid w:val="009B059E"/>
    <w:rsid w:val="009B1872"/>
    <w:rsid w:val="009B19D4"/>
    <w:rsid w:val="009B1BF5"/>
    <w:rsid w:val="009B26F5"/>
    <w:rsid w:val="009B376F"/>
    <w:rsid w:val="009B3E94"/>
    <w:rsid w:val="009B4328"/>
    <w:rsid w:val="009B4D9A"/>
    <w:rsid w:val="009B5298"/>
    <w:rsid w:val="009B566E"/>
    <w:rsid w:val="009B6AE7"/>
    <w:rsid w:val="009B6F2F"/>
    <w:rsid w:val="009B6F39"/>
    <w:rsid w:val="009B725D"/>
    <w:rsid w:val="009B74F3"/>
    <w:rsid w:val="009B7857"/>
    <w:rsid w:val="009B78CD"/>
    <w:rsid w:val="009B7DC3"/>
    <w:rsid w:val="009B7E40"/>
    <w:rsid w:val="009B7F4A"/>
    <w:rsid w:val="009C0189"/>
    <w:rsid w:val="009C027B"/>
    <w:rsid w:val="009C03EA"/>
    <w:rsid w:val="009C0778"/>
    <w:rsid w:val="009C0A62"/>
    <w:rsid w:val="009C0C23"/>
    <w:rsid w:val="009C0DF8"/>
    <w:rsid w:val="009C185E"/>
    <w:rsid w:val="009C194E"/>
    <w:rsid w:val="009C1B2E"/>
    <w:rsid w:val="009C2287"/>
    <w:rsid w:val="009C24E6"/>
    <w:rsid w:val="009C2562"/>
    <w:rsid w:val="009C27E7"/>
    <w:rsid w:val="009C2BD9"/>
    <w:rsid w:val="009C32F5"/>
    <w:rsid w:val="009C35E1"/>
    <w:rsid w:val="009C3E61"/>
    <w:rsid w:val="009C45CC"/>
    <w:rsid w:val="009C45ED"/>
    <w:rsid w:val="009C47D4"/>
    <w:rsid w:val="009C54BD"/>
    <w:rsid w:val="009C57FB"/>
    <w:rsid w:val="009C5A49"/>
    <w:rsid w:val="009C5BE2"/>
    <w:rsid w:val="009C5D65"/>
    <w:rsid w:val="009C5EBD"/>
    <w:rsid w:val="009C5EC2"/>
    <w:rsid w:val="009C5FFF"/>
    <w:rsid w:val="009C6A22"/>
    <w:rsid w:val="009C6F39"/>
    <w:rsid w:val="009D0CAD"/>
    <w:rsid w:val="009D0EE6"/>
    <w:rsid w:val="009D10F6"/>
    <w:rsid w:val="009D181C"/>
    <w:rsid w:val="009D1C8D"/>
    <w:rsid w:val="009D1E26"/>
    <w:rsid w:val="009D271F"/>
    <w:rsid w:val="009D2842"/>
    <w:rsid w:val="009D29E4"/>
    <w:rsid w:val="009D3028"/>
    <w:rsid w:val="009D34DA"/>
    <w:rsid w:val="009D3540"/>
    <w:rsid w:val="009D379B"/>
    <w:rsid w:val="009D470F"/>
    <w:rsid w:val="009D4BE7"/>
    <w:rsid w:val="009D4DEB"/>
    <w:rsid w:val="009D4FD3"/>
    <w:rsid w:val="009D5065"/>
    <w:rsid w:val="009D5471"/>
    <w:rsid w:val="009D5678"/>
    <w:rsid w:val="009D5F07"/>
    <w:rsid w:val="009D5FF8"/>
    <w:rsid w:val="009D6325"/>
    <w:rsid w:val="009D6359"/>
    <w:rsid w:val="009D6885"/>
    <w:rsid w:val="009D68F8"/>
    <w:rsid w:val="009D6ECB"/>
    <w:rsid w:val="009D6F6C"/>
    <w:rsid w:val="009D71E7"/>
    <w:rsid w:val="009D76B8"/>
    <w:rsid w:val="009D78F0"/>
    <w:rsid w:val="009D79F3"/>
    <w:rsid w:val="009D7B54"/>
    <w:rsid w:val="009E0122"/>
    <w:rsid w:val="009E025A"/>
    <w:rsid w:val="009E0655"/>
    <w:rsid w:val="009E0703"/>
    <w:rsid w:val="009E083A"/>
    <w:rsid w:val="009E0E1C"/>
    <w:rsid w:val="009E0F39"/>
    <w:rsid w:val="009E22AC"/>
    <w:rsid w:val="009E255B"/>
    <w:rsid w:val="009E27DF"/>
    <w:rsid w:val="009E2C9E"/>
    <w:rsid w:val="009E2FAD"/>
    <w:rsid w:val="009E3652"/>
    <w:rsid w:val="009E3951"/>
    <w:rsid w:val="009E3D49"/>
    <w:rsid w:val="009E3F65"/>
    <w:rsid w:val="009E4303"/>
    <w:rsid w:val="009E47D9"/>
    <w:rsid w:val="009E494A"/>
    <w:rsid w:val="009E4FED"/>
    <w:rsid w:val="009E50F7"/>
    <w:rsid w:val="009E51C4"/>
    <w:rsid w:val="009E5432"/>
    <w:rsid w:val="009E544A"/>
    <w:rsid w:val="009E5468"/>
    <w:rsid w:val="009E5541"/>
    <w:rsid w:val="009E564B"/>
    <w:rsid w:val="009E5EF1"/>
    <w:rsid w:val="009E5FD5"/>
    <w:rsid w:val="009E5FD7"/>
    <w:rsid w:val="009E6238"/>
    <w:rsid w:val="009E6ADA"/>
    <w:rsid w:val="009E723B"/>
    <w:rsid w:val="009E7275"/>
    <w:rsid w:val="009E7942"/>
    <w:rsid w:val="009E7A1A"/>
    <w:rsid w:val="009E7D12"/>
    <w:rsid w:val="009F02E9"/>
    <w:rsid w:val="009F0393"/>
    <w:rsid w:val="009F04BD"/>
    <w:rsid w:val="009F04FD"/>
    <w:rsid w:val="009F0779"/>
    <w:rsid w:val="009F0B29"/>
    <w:rsid w:val="009F0F1D"/>
    <w:rsid w:val="009F1ACD"/>
    <w:rsid w:val="009F2A31"/>
    <w:rsid w:val="009F2B60"/>
    <w:rsid w:val="009F2EC1"/>
    <w:rsid w:val="009F32D2"/>
    <w:rsid w:val="009F3785"/>
    <w:rsid w:val="009F39D6"/>
    <w:rsid w:val="009F3B18"/>
    <w:rsid w:val="009F3BF1"/>
    <w:rsid w:val="009F3E46"/>
    <w:rsid w:val="009F444D"/>
    <w:rsid w:val="009F44D4"/>
    <w:rsid w:val="009F4618"/>
    <w:rsid w:val="009F4A5D"/>
    <w:rsid w:val="009F4AE3"/>
    <w:rsid w:val="009F4F2A"/>
    <w:rsid w:val="009F54BD"/>
    <w:rsid w:val="009F5880"/>
    <w:rsid w:val="009F5B07"/>
    <w:rsid w:val="009F5F90"/>
    <w:rsid w:val="009F5FB6"/>
    <w:rsid w:val="009F6149"/>
    <w:rsid w:val="009F6213"/>
    <w:rsid w:val="009F62DD"/>
    <w:rsid w:val="009F64D7"/>
    <w:rsid w:val="009F6A01"/>
    <w:rsid w:val="009F6A4B"/>
    <w:rsid w:val="009F6BD7"/>
    <w:rsid w:val="009F6C94"/>
    <w:rsid w:val="009F6E07"/>
    <w:rsid w:val="009F6E4E"/>
    <w:rsid w:val="009F7373"/>
    <w:rsid w:val="00A0007F"/>
    <w:rsid w:val="00A0013D"/>
    <w:rsid w:val="00A0036B"/>
    <w:rsid w:val="00A00699"/>
    <w:rsid w:val="00A007DC"/>
    <w:rsid w:val="00A00919"/>
    <w:rsid w:val="00A0162D"/>
    <w:rsid w:val="00A01E1F"/>
    <w:rsid w:val="00A02478"/>
    <w:rsid w:val="00A024F8"/>
    <w:rsid w:val="00A02650"/>
    <w:rsid w:val="00A02771"/>
    <w:rsid w:val="00A02797"/>
    <w:rsid w:val="00A0293A"/>
    <w:rsid w:val="00A02D10"/>
    <w:rsid w:val="00A03864"/>
    <w:rsid w:val="00A03CA7"/>
    <w:rsid w:val="00A0474A"/>
    <w:rsid w:val="00A04987"/>
    <w:rsid w:val="00A0508C"/>
    <w:rsid w:val="00A05167"/>
    <w:rsid w:val="00A0545F"/>
    <w:rsid w:val="00A054D6"/>
    <w:rsid w:val="00A0553E"/>
    <w:rsid w:val="00A055E7"/>
    <w:rsid w:val="00A0578B"/>
    <w:rsid w:val="00A05E10"/>
    <w:rsid w:val="00A05EA2"/>
    <w:rsid w:val="00A063FC"/>
    <w:rsid w:val="00A06D50"/>
    <w:rsid w:val="00A07082"/>
    <w:rsid w:val="00A07421"/>
    <w:rsid w:val="00A077A9"/>
    <w:rsid w:val="00A0781F"/>
    <w:rsid w:val="00A07ED0"/>
    <w:rsid w:val="00A10096"/>
    <w:rsid w:val="00A1021F"/>
    <w:rsid w:val="00A10388"/>
    <w:rsid w:val="00A1060E"/>
    <w:rsid w:val="00A10A36"/>
    <w:rsid w:val="00A110F6"/>
    <w:rsid w:val="00A115DB"/>
    <w:rsid w:val="00A11A6F"/>
    <w:rsid w:val="00A11CFE"/>
    <w:rsid w:val="00A12AE3"/>
    <w:rsid w:val="00A12B35"/>
    <w:rsid w:val="00A12C3F"/>
    <w:rsid w:val="00A12DA5"/>
    <w:rsid w:val="00A12E3C"/>
    <w:rsid w:val="00A1371E"/>
    <w:rsid w:val="00A13E1A"/>
    <w:rsid w:val="00A1434E"/>
    <w:rsid w:val="00A143C0"/>
    <w:rsid w:val="00A14435"/>
    <w:rsid w:val="00A14B19"/>
    <w:rsid w:val="00A15308"/>
    <w:rsid w:val="00A15977"/>
    <w:rsid w:val="00A16288"/>
    <w:rsid w:val="00A16393"/>
    <w:rsid w:val="00A1655C"/>
    <w:rsid w:val="00A16B3A"/>
    <w:rsid w:val="00A16C92"/>
    <w:rsid w:val="00A16FCD"/>
    <w:rsid w:val="00A17106"/>
    <w:rsid w:val="00A174C0"/>
    <w:rsid w:val="00A17BC2"/>
    <w:rsid w:val="00A2048E"/>
    <w:rsid w:val="00A204CD"/>
    <w:rsid w:val="00A21072"/>
    <w:rsid w:val="00A21372"/>
    <w:rsid w:val="00A21488"/>
    <w:rsid w:val="00A216A8"/>
    <w:rsid w:val="00A216F6"/>
    <w:rsid w:val="00A220AD"/>
    <w:rsid w:val="00A222FB"/>
    <w:rsid w:val="00A2268B"/>
    <w:rsid w:val="00A228AA"/>
    <w:rsid w:val="00A2291F"/>
    <w:rsid w:val="00A22B3C"/>
    <w:rsid w:val="00A22F53"/>
    <w:rsid w:val="00A23324"/>
    <w:rsid w:val="00A233A1"/>
    <w:rsid w:val="00A239B3"/>
    <w:rsid w:val="00A23F3F"/>
    <w:rsid w:val="00A25166"/>
    <w:rsid w:val="00A25467"/>
    <w:rsid w:val="00A25B7A"/>
    <w:rsid w:val="00A25EE6"/>
    <w:rsid w:val="00A2617D"/>
    <w:rsid w:val="00A26375"/>
    <w:rsid w:val="00A267BD"/>
    <w:rsid w:val="00A26A4A"/>
    <w:rsid w:val="00A27331"/>
    <w:rsid w:val="00A27CEA"/>
    <w:rsid w:val="00A302EB"/>
    <w:rsid w:val="00A30D4F"/>
    <w:rsid w:val="00A3142E"/>
    <w:rsid w:val="00A3194D"/>
    <w:rsid w:val="00A31D7F"/>
    <w:rsid w:val="00A32152"/>
    <w:rsid w:val="00A32267"/>
    <w:rsid w:val="00A33672"/>
    <w:rsid w:val="00A33873"/>
    <w:rsid w:val="00A34602"/>
    <w:rsid w:val="00A349FA"/>
    <w:rsid w:val="00A34E16"/>
    <w:rsid w:val="00A352DA"/>
    <w:rsid w:val="00A357E4"/>
    <w:rsid w:val="00A366FE"/>
    <w:rsid w:val="00A367B1"/>
    <w:rsid w:val="00A368F9"/>
    <w:rsid w:val="00A36994"/>
    <w:rsid w:val="00A372E1"/>
    <w:rsid w:val="00A37561"/>
    <w:rsid w:val="00A37939"/>
    <w:rsid w:val="00A40126"/>
    <w:rsid w:val="00A40182"/>
    <w:rsid w:val="00A4041F"/>
    <w:rsid w:val="00A40495"/>
    <w:rsid w:val="00A4074A"/>
    <w:rsid w:val="00A407D0"/>
    <w:rsid w:val="00A40916"/>
    <w:rsid w:val="00A40AA0"/>
    <w:rsid w:val="00A40C62"/>
    <w:rsid w:val="00A40E67"/>
    <w:rsid w:val="00A416C4"/>
    <w:rsid w:val="00A419BE"/>
    <w:rsid w:val="00A41B6C"/>
    <w:rsid w:val="00A41EE6"/>
    <w:rsid w:val="00A42054"/>
    <w:rsid w:val="00A42063"/>
    <w:rsid w:val="00A421E3"/>
    <w:rsid w:val="00A42289"/>
    <w:rsid w:val="00A4244E"/>
    <w:rsid w:val="00A42CC5"/>
    <w:rsid w:val="00A42FE4"/>
    <w:rsid w:val="00A434FA"/>
    <w:rsid w:val="00A43A11"/>
    <w:rsid w:val="00A43AB9"/>
    <w:rsid w:val="00A442F5"/>
    <w:rsid w:val="00A44320"/>
    <w:rsid w:val="00A4479A"/>
    <w:rsid w:val="00A4482F"/>
    <w:rsid w:val="00A449A5"/>
    <w:rsid w:val="00A453B6"/>
    <w:rsid w:val="00A456EE"/>
    <w:rsid w:val="00A45C52"/>
    <w:rsid w:val="00A45C58"/>
    <w:rsid w:val="00A45D9A"/>
    <w:rsid w:val="00A46008"/>
    <w:rsid w:val="00A4621E"/>
    <w:rsid w:val="00A463F4"/>
    <w:rsid w:val="00A464E6"/>
    <w:rsid w:val="00A46818"/>
    <w:rsid w:val="00A46ED5"/>
    <w:rsid w:val="00A473EB"/>
    <w:rsid w:val="00A47538"/>
    <w:rsid w:val="00A47597"/>
    <w:rsid w:val="00A475AF"/>
    <w:rsid w:val="00A47781"/>
    <w:rsid w:val="00A47ADF"/>
    <w:rsid w:val="00A503AA"/>
    <w:rsid w:val="00A50637"/>
    <w:rsid w:val="00A50665"/>
    <w:rsid w:val="00A50D35"/>
    <w:rsid w:val="00A51099"/>
    <w:rsid w:val="00A510CA"/>
    <w:rsid w:val="00A51238"/>
    <w:rsid w:val="00A52748"/>
    <w:rsid w:val="00A529B2"/>
    <w:rsid w:val="00A52A2B"/>
    <w:rsid w:val="00A52ACE"/>
    <w:rsid w:val="00A52CF4"/>
    <w:rsid w:val="00A52EB6"/>
    <w:rsid w:val="00A52EC4"/>
    <w:rsid w:val="00A52F68"/>
    <w:rsid w:val="00A534E3"/>
    <w:rsid w:val="00A538C4"/>
    <w:rsid w:val="00A53EB9"/>
    <w:rsid w:val="00A53F7E"/>
    <w:rsid w:val="00A53F81"/>
    <w:rsid w:val="00A54289"/>
    <w:rsid w:val="00A54AE2"/>
    <w:rsid w:val="00A5503D"/>
    <w:rsid w:val="00A553C3"/>
    <w:rsid w:val="00A558E2"/>
    <w:rsid w:val="00A55D88"/>
    <w:rsid w:val="00A55F8D"/>
    <w:rsid w:val="00A56297"/>
    <w:rsid w:val="00A563F0"/>
    <w:rsid w:val="00A566FA"/>
    <w:rsid w:val="00A56962"/>
    <w:rsid w:val="00A57FC6"/>
    <w:rsid w:val="00A602E2"/>
    <w:rsid w:val="00A605C1"/>
    <w:rsid w:val="00A60983"/>
    <w:rsid w:val="00A609F6"/>
    <w:rsid w:val="00A60CF3"/>
    <w:rsid w:val="00A61803"/>
    <w:rsid w:val="00A61A00"/>
    <w:rsid w:val="00A61BFE"/>
    <w:rsid w:val="00A61D30"/>
    <w:rsid w:val="00A61DE1"/>
    <w:rsid w:val="00A62705"/>
    <w:rsid w:val="00A63029"/>
    <w:rsid w:val="00A631D5"/>
    <w:rsid w:val="00A637F1"/>
    <w:rsid w:val="00A63A4A"/>
    <w:rsid w:val="00A63ABD"/>
    <w:rsid w:val="00A63B84"/>
    <w:rsid w:val="00A63BF7"/>
    <w:rsid w:val="00A63E08"/>
    <w:rsid w:val="00A6417D"/>
    <w:rsid w:val="00A641CF"/>
    <w:rsid w:val="00A6426B"/>
    <w:rsid w:val="00A6430C"/>
    <w:rsid w:val="00A64535"/>
    <w:rsid w:val="00A645EF"/>
    <w:rsid w:val="00A64769"/>
    <w:rsid w:val="00A6494C"/>
    <w:rsid w:val="00A649C7"/>
    <w:rsid w:val="00A64AE0"/>
    <w:rsid w:val="00A6500C"/>
    <w:rsid w:val="00A65040"/>
    <w:rsid w:val="00A651F4"/>
    <w:rsid w:val="00A6521F"/>
    <w:rsid w:val="00A65522"/>
    <w:rsid w:val="00A65A86"/>
    <w:rsid w:val="00A65BA8"/>
    <w:rsid w:val="00A6632F"/>
    <w:rsid w:val="00A66353"/>
    <w:rsid w:val="00A66781"/>
    <w:rsid w:val="00A66E6B"/>
    <w:rsid w:val="00A66FBB"/>
    <w:rsid w:val="00A670E9"/>
    <w:rsid w:val="00A67423"/>
    <w:rsid w:val="00A67795"/>
    <w:rsid w:val="00A6792C"/>
    <w:rsid w:val="00A67ACC"/>
    <w:rsid w:val="00A67B5E"/>
    <w:rsid w:val="00A67D37"/>
    <w:rsid w:val="00A67FBB"/>
    <w:rsid w:val="00A67FBD"/>
    <w:rsid w:val="00A70AD5"/>
    <w:rsid w:val="00A70BF2"/>
    <w:rsid w:val="00A70E65"/>
    <w:rsid w:val="00A710B6"/>
    <w:rsid w:val="00A710CF"/>
    <w:rsid w:val="00A71752"/>
    <w:rsid w:val="00A719A3"/>
    <w:rsid w:val="00A7251C"/>
    <w:rsid w:val="00A72530"/>
    <w:rsid w:val="00A7292F"/>
    <w:rsid w:val="00A72E2B"/>
    <w:rsid w:val="00A732D0"/>
    <w:rsid w:val="00A73387"/>
    <w:rsid w:val="00A737F7"/>
    <w:rsid w:val="00A738B1"/>
    <w:rsid w:val="00A739F2"/>
    <w:rsid w:val="00A742DB"/>
    <w:rsid w:val="00A74542"/>
    <w:rsid w:val="00A750E4"/>
    <w:rsid w:val="00A7520E"/>
    <w:rsid w:val="00A75793"/>
    <w:rsid w:val="00A758E3"/>
    <w:rsid w:val="00A75B27"/>
    <w:rsid w:val="00A7620B"/>
    <w:rsid w:val="00A76F5C"/>
    <w:rsid w:val="00A7758A"/>
    <w:rsid w:val="00A77748"/>
    <w:rsid w:val="00A777B0"/>
    <w:rsid w:val="00A77D29"/>
    <w:rsid w:val="00A8092B"/>
    <w:rsid w:val="00A8094E"/>
    <w:rsid w:val="00A809CD"/>
    <w:rsid w:val="00A809E5"/>
    <w:rsid w:val="00A80B18"/>
    <w:rsid w:val="00A80E1D"/>
    <w:rsid w:val="00A80FE5"/>
    <w:rsid w:val="00A81554"/>
    <w:rsid w:val="00A81670"/>
    <w:rsid w:val="00A81958"/>
    <w:rsid w:val="00A825A5"/>
    <w:rsid w:val="00A8277D"/>
    <w:rsid w:val="00A829D2"/>
    <w:rsid w:val="00A82AE3"/>
    <w:rsid w:val="00A83036"/>
    <w:rsid w:val="00A8373C"/>
    <w:rsid w:val="00A83CEF"/>
    <w:rsid w:val="00A840B7"/>
    <w:rsid w:val="00A843FD"/>
    <w:rsid w:val="00A847A6"/>
    <w:rsid w:val="00A84815"/>
    <w:rsid w:val="00A84F01"/>
    <w:rsid w:val="00A85159"/>
    <w:rsid w:val="00A8529B"/>
    <w:rsid w:val="00A852C0"/>
    <w:rsid w:val="00A85391"/>
    <w:rsid w:val="00A85954"/>
    <w:rsid w:val="00A866EB"/>
    <w:rsid w:val="00A868C5"/>
    <w:rsid w:val="00A86AED"/>
    <w:rsid w:val="00A86E26"/>
    <w:rsid w:val="00A8732D"/>
    <w:rsid w:val="00A874CB"/>
    <w:rsid w:val="00A8772B"/>
    <w:rsid w:val="00A87988"/>
    <w:rsid w:val="00A87FC2"/>
    <w:rsid w:val="00A9021E"/>
    <w:rsid w:val="00A90AE5"/>
    <w:rsid w:val="00A90CBA"/>
    <w:rsid w:val="00A91428"/>
    <w:rsid w:val="00A91EF3"/>
    <w:rsid w:val="00A924C9"/>
    <w:rsid w:val="00A9255F"/>
    <w:rsid w:val="00A92E49"/>
    <w:rsid w:val="00A92E75"/>
    <w:rsid w:val="00A9318B"/>
    <w:rsid w:val="00A93244"/>
    <w:rsid w:val="00A9356E"/>
    <w:rsid w:val="00A9359F"/>
    <w:rsid w:val="00A935DC"/>
    <w:rsid w:val="00A937FB"/>
    <w:rsid w:val="00A93813"/>
    <w:rsid w:val="00A938BF"/>
    <w:rsid w:val="00A93FE3"/>
    <w:rsid w:val="00A940AB"/>
    <w:rsid w:val="00A94808"/>
    <w:rsid w:val="00A94868"/>
    <w:rsid w:val="00A94B0D"/>
    <w:rsid w:val="00A94CC6"/>
    <w:rsid w:val="00A9562E"/>
    <w:rsid w:val="00A957E4"/>
    <w:rsid w:val="00A95DA8"/>
    <w:rsid w:val="00A96A79"/>
    <w:rsid w:val="00A972CE"/>
    <w:rsid w:val="00A9737F"/>
    <w:rsid w:val="00A97525"/>
    <w:rsid w:val="00A97580"/>
    <w:rsid w:val="00A97790"/>
    <w:rsid w:val="00AA0914"/>
    <w:rsid w:val="00AA0DBD"/>
    <w:rsid w:val="00AA126C"/>
    <w:rsid w:val="00AA16CE"/>
    <w:rsid w:val="00AA1A2E"/>
    <w:rsid w:val="00AA1F29"/>
    <w:rsid w:val="00AA248D"/>
    <w:rsid w:val="00AA2AA5"/>
    <w:rsid w:val="00AA3752"/>
    <w:rsid w:val="00AA3976"/>
    <w:rsid w:val="00AA3B81"/>
    <w:rsid w:val="00AA3DAF"/>
    <w:rsid w:val="00AA415D"/>
    <w:rsid w:val="00AA4347"/>
    <w:rsid w:val="00AA4778"/>
    <w:rsid w:val="00AA5267"/>
    <w:rsid w:val="00AA546B"/>
    <w:rsid w:val="00AA56CE"/>
    <w:rsid w:val="00AA5D9D"/>
    <w:rsid w:val="00AA5F7C"/>
    <w:rsid w:val="00AA61D7"/>
    <w:rsid w:val="00AA636B"/>
    <w:rsid w:val="00AA6719"/>
    <w:rsid w:val="00AA67B1"/>
    <w:rsid w:val="00AA6B2F"/>
    <w:rsid w:val="00AA6C80"/>
    <w:rsid w:val="00AA764F"/>
    <w:rsid w:val="00AB0180"/>
    <w:rsid w:val="00AB0279"/>
    <w:rsid w:val="00AB0477"/>
    <w:rsid w:val="00AB0501"/>
    <w:rsid w:val="00AB063C"/>
    <w:rsid w:val="00AB1D77"/>
    <w:rsid w:val="00AB227B"/>
    <w:rsid w:val="00AB2E82"/>
    <w:rsid w:val="00AB3108"/>
    <w:rsid w:val="00AB33FC"/>
    <w:rsid w:val="00AB35C7"/>
    <w:rsid w:val="00AB3823"/>
    <w:rsid w:val="00AB3B4B"/>
    <w:rsid w:val="00AB3EC7"/>
    <w:rsid w:val="00AB4208"/>
    <w:rsid w:val="00AB48C1"/>
    <w:rsid w:val="00AB4B07"/>
    <w:rsid w:val="00AB4DBD"/>
    <w:rsid w:val="00AB4DE1"/>
    <w:rsid w:val="00AB4DF7"/>
    <w:rsid w:val="00AB5160"/>
    <w:rsid w:val="00AB5A9E"/>
    <w:rsid w:val="00AB5CBF"/>
    <w:rsid w:val="00AB5FB2"/>
    <w:rsid w:val="00AB6936"/>
    <w:rsid w:val="00AB6E14"/>
    <w:rsid w:val="00AB7449"/>
    <w:rsid w:val="00AB7768"/>
    <w:rsid w:val="00AB7C83"/>
    <w:rsid w:val="00AB7E08"/>
    <w:rsid w:val="00AB7F5E"/>
    <w:rsid w:val="00AC002E"/>
    <w:rsid w:val="00AC028C"/>
    <w:rsid w:val="00AC0B42"/>
    <w:rsid w:val="00AC10FF"/>
    <w:rsid w:val="00AC1EC5"/>
    <w:rsid w:val="00AC1ECD"/>
    <w:rsid w:val="00AC272E"/>
    <w:rsid w:val="00AC2E3B"/>
    <w:rsid w:val="00AC30C2"/>
    <w:rsid w:val="00AC34D4"/>
    <w:rsid w:val="00AC3BBF"/>
    <w:rsid w:val="00AC4066"/>
    <w:rsid w:val="00AC466E"/>
    <w:rsid w:val="00AC466F"/>
    <w:rsid w:val="00AC5040"/>
    <w:rsid w:val="00AC566C"/>
    <w:rsid w:val="00AC5717"/>
    <w:rsid w:val="00AC6071"/>
    <w:rsid w:val="00AC62B9"/>
    <w:rsid w:val="00AC711D"/>
    <w:rsid w:val="00AC7903"/>
    <w:rsid w:val="00AC7C23"/>
    <w:rsid w:val="00AD00A7"/>
    <w:rsid w:val="00AD018B"/>
    <w:rsid w:val="00AD026B"/>
    <w:rsid w:val="00AD05C7"/>
    <w:rsid w:val="00AD080A"/>
    <w:rsid w:val="00AD095F"/>
    <w:rsid w:val="00AD0ACE"/>
    <w:rsid w:val="00AD0CD3"/>
    <w:rsid w:val="00AD1EB5"/>
    <w:rsid w:val="00AD1F08"/>
    <w:rsid w:val="00AD236A"/>
    <w:rsid w:val="00AD2531"/>
    <w:rsid w:val="00AD2535"/>
    <w:rsid w:val="00AD2694"/>
    <w:rsid w:val="00AD288E"/>
    <w:rsid w:val="00AD2AA9"/>
    <w:rsid w:val="00AD2D82"/>
    <w:rsid w:val="00AD2D9F"/>
    <w:rsid w:val="00AD3012"/>
    <w:rsid w:val="00AD344A"/>
    <w:rsid w:val="00AD41D7"/>
    <w:rsid w:val="00AD4579"/>
    <w:rsid w:val="00AD51D5"/>
    <w:rsid w:val="00AD555F"/>
    <w:rsid w:val="00AD5BF2"/>
    <w:rsid w:val="00AD5F05"/>
    <w:rsid w:val="00AD6003"/>
    <w:rsid w:val="00AD64F2"/>
    <w:rsid w:val="00AD67A1"/>
    <w:rsid w:val="00AD6806"/>
    <w:rsid w:val="00AD6F09"/>
    <w:rsid w:val="00AD70F4"/>
    <w:rsid w:val="00AD775A"/>
    <w:rsid w:val="00AD7F63"/>
    <w:rsid w:val="00AD7F9A"/>
    <w:rsid w:val="00AE02AE"/>
    <w:rsid w:val="00AE1438"/>
    <w:rsid w:val="00AE16B8"/>
    <w:rsid w:val="00AE1FB6"/>
    <w:rsid w:val="00AE20F0"/>
    <w:rsid w:val="00AE276F"/>
    <w:rsid w:val="00AE2A26"/>
    <w:rsid w:val="00AE2BE0"/>
    <w:rsid w:val="00AE307D"/>
    <w:rsid w:val="00AE35AA"/>
    <w:rsid w:val="00AE36F2"/>
    <w:rsid w:val="00AE389C"/>
    <w:rsid w:val="00AE3987"/>
    <w:rsid w:val="00AE3994"/>
    <w:rsid w:val="00AE3C22"/>
    <w:rsid w:val="00AE3DD1"/>
    <w:rsid w:val="00AE429B"/>
    <w:rsid w:val="00AE42F0"/>
    <w:rsid w:val="00AE43AA"/>
    <w:rsid w:val="00AE485B"/>
    <w:rsid w:val="00AE4B33"/>
    <w:rsid w:val="00AE4C14"/>
    <w:rsid w:val="00AE4F84"/>
    <w:rsid w:val="00AE546A"/>
    <w:rsid w:val="00AE56D4"/>
    <w:rsid w:val="00AE67C4"/>
    <w:rsid w:val="00AE67C9"/>
    <w:rsid w:val="00AE6898"/>
    <w:rsid w:val="00AE6FF8"/>
    <w:rsid w:val="00AE7366"/>
    <w:rsid w:val="00AE78BF"/>
    <w:rsid w:val="00AF016B"/>
    <w:rsid w:val="00AF0319"/>
    <w:rsid w:val="00AF1312"/>
    <w:rsid w:val="00AF14B3"/>
    <w:rsid w:val="00AF17C8"/>
    <w:rsid w:val="00AF1C7D"/>
    <w:rsid w:val="00AF1EE8"/>
    <w:rsid w:val="00AF2A11"/>
    <w:rsid w:val="00AF2A7A"/>
    <w:rsid w:val="00AF2B62"/>
    <w:rsid w:val="00AF2EBF"/>
    <w:rsid w:val="00AF43D3"/>
    <w:rsid w:val="00AF4EE0"/>
    <w:rsid w:val="00AF577E"/>
    <w:rsid w:val="00AF5B21"/>
    <w:rsid w:val="00AF61B1"/>
    <w:rsid w:val="00AF627E"/>
    <w:rsid w:val="00AF6433"/>
    <w:rsid w:val="00AF6460"/>
    <w:rsid w:val="00AF653F"/>
    <w:rsid w:val="00AF70AF"/>
    <w:rsid w:val="00AF70F4"/>
    <w:rsid w:val="00AF71CC"/>
    <w:rsid w:val="00AF7BE0"/>
    <w:rsid w:val="00AF7C9E"/>
    <w:rsid w:val="00B001E0"/>
    <w:rsid w:val="00B002DC"/>
    <w:rsid w:val="00B010DE"/>
    <w:rsid w:val="00B01858"/>
    <w:rsid w:val="00B018C4"/>
    <w:rsid w:val="00B01997"/>
    <w:rsid w:val="00B02591"/>
    <w:rsid w:val="00B027A5"/>
    <w:rsid w:val="00B02CB6"/>
    <w:rsid w:val="00B03442"/>
    <w:rsid w:val="00B03BAF"/>
    <w:rsid w:val="00B03CBB"/>
    <w:rsid w:val="00B03DA6"/>
    <w:rsid w:val="00B03F99"/>
    <w:rsid w:val="00B044AE"/>
    <w:rsid w:val="00B0459D"/>
    <w:rsid w:val="00B04FA5"/>
    <w:rsid w:val="00B04FFB"/>
    <w:rsid w:val="00B051B6"/>
    <w:rsid w:val="00B05775"/>
    <w:rsid w:val="00B058B9"/>
    <w:rsid w:val="00B05A1B"/>
    <w:rsid w:val="00B05DDA"/>
    <w:rsid w:val="00B063C5"/>
    <w:rsid w:val="00B06852"/>
    <w:rsid w:val="00B069F4"/>
    <w:rsid w:val="00B079E0"/>
    <w:rsid w:val="00B07A54"/>
    <w:rsid w:val="00B07DCB"/>
    <w:rsid w:val="00B10103"/>
    <w:rsid w:val="00B106A4"/>
    <w:rsid w:val="00B10741"/>
    <w:rsid w:val="00B1074B"/>
    <w:rsid w:val="00B1090C"/>
    <w:rsid w:val="00B10BBA"/>
    <w:rsid w:val="00B112CA"/>
    <w:rsid w:val="00B11A1E"/>
    <w:rsid w:val="00B11FC9"/>
    <w:rsid w:val="00B12269"/>
    <w:rsid w:val="00B12766"/>
    <w:rsid w:val="00B12AFF"/>
    <w:rsid w:val="00B12DBF"/>
    <w:rsid w:val="00B13D85"/>
    <w:rsid w:val="00B13F83"/>
    <w:rsid w:val="00B14042"/>
    <w:rsid w:val="00B149B6"/>
    <w:rsid w:val="00B14A45"/>
    <w:rsid w:val="00B14A74"/>
    <w:rsid w:val="00B14D6A"/>
    <w:rsid w:val="00B14D6F"/>
    <w:rsid w:val="00B14ED6"/>
    <w:rsid w:val="00B14EDB"/>
    <w:rsid w:val="00B15384"/>
    <w:rsid w:val="00B154F1"/>
    <w:rsid w:val="00B158A1"/>
    <w:rsid w:val="00B161C5"/>
    <w:rsid w:val="00B161E3"/>
    <w:rsid w:val="00B16684"/>
    <w:rsid w:val="00B16938"/>
    <w:rsid w:val="00B16BE5"/>
    <w:rsid w:val="00B16F4B"/>
    <w:rsid w:val="00B16FCC"/>
    <w:rsid w:val="00B171E8"/>
    <w:rsid w:val="00B1745D"/>
    <w:rsid w:val="00B17AB4"/>
    <w:rsid w:val="00B17BFF"/>
    <w:rsid w:val="00B17CFF"/>
    <w:rsid w:val="00B205AF"/>
    <w:rsid w:val="00B20B20"/>
    <w:rsid w:val="00B21318"/>
    <w:rsid w:val="00B2144C"/>
    <w:rsid w:val="00B22083"/>
    <w:rsid w:val="00B223A0"/>
    <w:rsid w:val="00B223F4"/>
    <w:rsid w:val="00B225CF"/>
    <w:rsid w:val="00B226F9"/>
    <w:rsid w:val="00B2297C"/>
    <w:rsid w:val="00B229FE"/>
    <w:rsid w:val="00B22BD2"/>
    <w:rsid w:val="00B23072"/>
    <w:rsid w:val="00B23176"/>
    <w:rsid w:val="00B2331F"/>
    <w:rsid w:val="00B235CB"/>
    <w:rsid w:val="00B23A91"/>
    <w:rsid w:val="00B23AA7"/>
    <w:rsid w:val="00B23EAA"/>
    <w:rsid w:val="00B24695"/>
    <w:rsid w:val="00B24DEB"/>
    <w:rsid w:val="00B251F3"/>
    <w:rsid w:val="00B2539B"/>
    <w:rsid w:val="00B2586A"/>
    <w:rsid w:val="00B25E75"/>
    <w:rsid w:val="00B2603A"/>
    <w:rsid w:val="00B264EA"/>
    <w:rsid w:val="00B265D5"/>
    <w:rsid w:val="00B27045"/>
    <w:rsid w:val="00B273DD"/>
    <w:rsid w:val="00B27956"/>
    <w:rsid w:val="00B27C27"/>
    <w:rsid w:val="00B27EDD"/>
    <w:rsid w:val="00B306C5"/>
    <w:rsid w:val="00B30F57"/>
    <w:rsid w:val="00B30F7E"/>
    <w:rsid w:val="00B313C7"/>
    <w:rsid w:val="00B320F6"/>
    <w:rsid w:val="00B32104"/>
    <w:rsid w:val="00B329F6"/>
    <w:rsid w:val="00B32F06"/>
    <w:rsid w:val="00B3328B"/>
    <w:rsid w:val="00B33647"/>
    <w:rsid w:val="00B33848"/>
    <w:rsid w:val="00B33E02"/>
    <w:rsid w:val="00B34014"/>
    <w:rsid w:val="00B3408B"/>
    <w:rsid w:val="00B34166"/>
    <w:rsid w:val="00B34288"/>
    <w:rsid w:val="00B349C4"/>
    <w:rsid w:val="00B353D2"/>
    <w:rsid w:val="00B35A47"/>
    <w:rsid w:val="00B35D57"/>
    <w:rsid w:val="00B36212"/>
    <w:rsid w:val="00B36256"/>
    <w:rsid w:val="00B36E18"/>
    <w:rsid w:val="00B36EB1"/>
    <w:rsid w:val="00B3709B"/>
    <w:rsid w:val="00B3747A"/>
    <w:rsid w:val="00B37C85"/>
    <w:rsid w:val="00B40190"/>
    <w:rsid w:val="00B4025A"/>
    <w:rsid w:val="00B4062F"/>
    <w:rsid w:val="00B40E86"/>
    <w:rsid w:val="00B40EA1"/>
    <w:rsid w:val="00B40FC2"/>
    <w:rsid w:val="00B410A3"/>
    <w:rsid w:val="00B41452"/>
    <w:rsid w:val="00B421D0"/>
    <w:rsid w:val="00B42361"/>
    <w:rsid w:val="00B42405"/>
    <w:rsid w:val="00B4243D"/>
    <w:rsid w:val="00B42C4B"/>
    <w:rsid w:val="00B4373D"/>
    <w:rsid w:val="00B4381F"/>
    <w:rsid w:val="00B43A21"/>
    <w:rsid w:val="00B444AC"/>
    <w:rsid w:val="00B44A49"/>
    <w:rsid w:val="00B44AF8"/>
    <w:rsid w:val="00B44B0B"/>
    <w:rsid w:val="00B44ED8"/>
    <w:rsid w:val="00B45058"/>
    <w:rsid w:val="00B45BDF"/>
    <w:rsid w:val="00B45F0B"/>
    <w:rsid w:val="00B4636B"/>
    <w:rsid w:val="00B4652D"/>
    <w:rsid w:val="00B46E58"/>
    <w:rsid w:val="00B46F2A"/>
    <w:rsid w:val="00B47195"/>
    <w:rsid w:val="00B47294"/>
    <w:rsid w:val="00B47628"/>
    <w:rsid w:val="00B4767D"/>
    <w:rsid w:val="00B479F6"/>
    <w:rsid w:val="00B47A68"/>
    <w:rsid w:val="00B47B13"/>
    <w:rsid w:val="00B47D88"/>
    <w:rsid w:val="00B503AA"/>
    <w:rsid w:val="00B50412"/>
    <w:rsid w:val="00B50CFA"/>
    <w:rsid w:val="00B50D27"/>
    <w:rsid w:val="00B50ECC"/>
    <w:rsid w:val="00B51298"/>
    <w:rsid w:val="00B514DF"/>
    <w:rsid w:val="00B51977"/>
    <w:rsid w:val="00B51BF6"/>
    <w:rsid w:val="00B51E5B"/>
    <w:rsid w:val="00B51F91"/>
    <w:rsid w:val="00B52354"/>
    <w:rsid w:val="00B5257D"/>
    <w:rsid w:val="00B52761"/>
    <w:rsid w:val="00B5294E"/>
    <w:rsid w:val="00B53129"/>
    <w:rsid w:val="00B5354B"/>
    <w:rsid w:val="00B535DE"/>
    <w:rsid w:val="00B536AC"/>
    <w:rsid w:val="00B5395E"/>
    <w:rsid w:val="00B53A77"/>
    <w:rsid w:val="00B54232"/>
    <w:rsid w:val="00B54274"/>
    <w:rsid w:val="00B544E9"/>
    <w:rsid w:val="00B54715"/>
    <w:rsid w:val="00B54755"/>
    <w:rsid w:val="00B54A98"/>
    <w:rsid w:val="00B54AA0"/>
    <w:rsid w:val="00B55119"/>
    <w:rsid w:val="00B55212"/>
    <w:rsid w:val="00B5588E"/>
    <w:rsid w:val="00B559DC"/>
    <w:rsid w:val="00B55E22"/>
    <w:rsid w:val="00B56260"/>
    <w:rsid w:val="00B56E95"/>
    <w:rsid w:val="00B57752"/>
    <w:rsid w:val="00B6009B"/>
    <w:rsid w:val="00B606F3"/>
    <w:rsid w:val="00B60DCB"/>
    <w:rsid w:val="00B61C2E"/>
    <w:rsid w:val="00B61CC1"/>
    <w:rsid w:val="00B6209A"/>
    <w:rsid w:val="00B627C6"/>
    <w:rsid w:val="00B6284A"/>
    <w:rsid w:val="00B62BF4"/>
    <w:rsid w:val="00B63155"/>
    <w:rsid w:val="00B633B0"/>
    <w:rsid w:val="00B634F0"/>
    <w:rsid w:val="00B63527"/>
    <w:rsid w:val="00B63EAB"/>
    <w:rsid w:val="00B6403D"/>
    <w:rsid w:val="00B6486E"/>
    <w:rsid w:val="00B6496C"/>
    <w:rsid w:val="00B64B2C"/>
    <w:rsid w:val="00B64E26"/>
    <w:rsid w:val="00B65756"/>
    <w:rsid w:val="00B65759"/>
    <w:rsid w:val="00B65AAC"/>
    <w:rsid w:val="00B65CE1"/>
    <w:rsid w:val="00B65D9B"/>
    <w:rsid w:val="00B66431"/>
    <w:rsid w:val="00B66989"/>
    <w:rsid w:val="00B66A6F"/>
    <w:rsid w:val="00B66BBB"/>
    <w:rsid w:val="00B6703B"/>
    <w:rsid w:val="00B672EC"/>
    <w:rsid w:val="00B6773F"/>
    <w:rsid w:val="00B67845"/>
    <w:rsid w:val="00B67A07"/>
    <w:rsid w:val="00B67C1B"/>
    <w:rsid w:val="00B70096"/>
    <w:rsid w:val="00B70DB1"/>
    <w:rsid w:val="00B70E61"/>
    <w:rsid w:val="00B718FA"/>
    <w:rsid w:val="00B719D1"/>
    <w:rsid w:val="00B71D86"/>
    <w:rsid w:val="00B720ED"/>
    <w:rsid w:val="00B72330"/>
    <w:rsid w:val="00B72E66"/>
    <w:rsid w:val="00B73366"/>
    <w:rsid w:val="00B73B60"/>
    <w:rsid w:val="00B73FDA"/>
    <w:rsid w:val="00B742BA"/>
    <w:rsid w:val="00B749B6"/>
    <w:rsid w:val="00B74B5A"/>
    <w:rsid w:val="00B74D31"/>
    <w:rsid w:val="00B757EC"/>
    <w:rsid w:val="00B75BBB"/>
    <w:rsid w:val="00B75FB4"/>
    <w:rsid w:val="00B7607D"/>
    <w:rsid w:val="00B76222"/>
    <w:rsid w:val="00B7707C"/>
    <w:rsid w:val="00B775D5"/>
    <w:rsid w:val="00B77886"/>
    <w:rsid w:val="00B779FA"/>
    <w:rsid w:val="00B80111"/>
    <w:rsid w:val="00B80327"/>
    <w:rsid w:val="00B80622"/>
    <w:rsid w:val="00B8083F"/>
    <w:rsid w:val="00B8097E"/>
    <w:rsid w:val="00B80A9A"/>
    <w:rsid w:val="00B80EF4"/>
    <w:rsid w:val="00B818B4"/>
    <w:rsid w:val="00B818C7"/>
    <w:rsid w:val="00B81E9F"/>
    <w:rsid w:val="00B82F23"/>
    <w:rsid w:val="00B82FF7"/>
    <w:rsid w:val="00B832B8"/>
    <w:rsid w:val="00B83F1E"/>
    <w:rsid w:val="00B84832"/>
    <w:rsid w:val="00B8497D"/>
    <w:rsid w:val="00B84AA0"/>
    <w:rsid w:val="00B85204"/>
    <w:rsid w:val="00B85B02"/>
    <w:rsid w:val="00B85F68"/>
    <w:rsid w:val="00B86199"/>
    <w:rsid w:val="00B86EAD"/>
    <w:rsid w:val="00B86F0E"/>
    <w:rsid w:val="00B87148"/>
    <w:rsid w:val="00B87252"/>
    <w:rsid w:val="00B87697"/>
    <w:rsid w:val="00B87BF8"/>
    <w:rsid w:val="00B901B1"/>
    <w:rsid w:val="00B9055F"/>
    <w:rsid w:val="00B905B5"/>
    <w:rsid w:val="00B9064A"/>
    <w:rsid w:val="00B90CA5"/>
    <w:rsid w:val="00B90CCD"/>
    <w:rsid w:val="00B90CFF"/>
    <w:rsid w:val="00B90D3E"/>
    <w:rsid w:val="00B90E3D"/>
    <w:rsid w:val="00B90EBF"/>
    <w:rsid w:val="00B9124B"/>
    <w:rsid w:val="00B9155F"/>
    <w:rsid w:val="00B917BA"/>
    <w:rsid w:val="00B91D81"/>
    <w:rsid w:val="00B92211"/>
    <w:rsid w:val="00B92384"/>
    <w:rsid w:val="00B9281B"/>
    <w:rsid w:val="00B92EB8"/>
    <w:rsid w:val="00B93003"/>
    <w:rsid w:val="00B934BB"/>
    <w:rsid w:val="00B9388C"/>
    <w:rsid w:val="00B93A12"/>
    <w:rsid w:val="00B93B35"/>
    <w:rsid w:val="00B93D3F"/>
    <w:rsid w:val="00B93FE5"/>
    <w:rsid w:val="00B943B2"/>
    <w:rsid w:val="00B943D3"/>
    <w:rsid w:val="00B94EDD"/>
    <w:rsid w:val="00B95080"/>
    <w:rsid w:val="00B959C0"/>
    <w:rsid w:val="00B95BBF"/>
    <w:rsid w:val="00B97183"/>
    <w:rsid w:val="00B97377"/>
    <w:rsid w:val="00B97491"/>
    <w:rsid w:val="00B978DF"/>
    <w:rsid w:val="00B978ED"/>
    <w:rsid w:val="00B979AC"/>
    <w:rsid w:val="00BA016A"/>
    <w:rsid w:val="00BA03CB"/>
    <w:rsid w:val="00BA08ED"/>
    <w:rsid w:val="00BA12C4"/>
    <w:rsid w:val="00BA13B3"/>
    <w:rsid w:val="00BA162D"/>
    <w:rsid w:val="00BA1736"/>
    <w:rsid w:val="00BA183D"/>
    <w:rsid w:val="00BA1ACF"/>
    <w:rsid w:val="00BA31C8"/>
    <w:rsid w:val="00BA3AE5"/>
    <w:rsid w:val="00BA3BDA"/>
    <w:rsid w:val="00BA3CCD"/>
    <w:rsid w:val="00BA4123"/>
    <w:rsid w:val="00BA4225"/>
    <w:rsid w:val="00BA48EC"/>
    <w:rsid w:val="00BA5444"/>
    <w:rsid w:val="00BA54AD"/>
    <w:rsid w:val="00BA5BEA"/>
    <w:rsid w:val="00BA5FF0"/>
    <w:rsid w:val="00BA6C4A"/>
    <w:rsid w:val="00BA726D"/>
    <w:rsid w:val="00BA7359"/>
    <w:rsid w:val="00BA74AC"/>
    <w:rsid w:val="00BA7845"/>
    <w:rsid w:val="00BA7DAE"/>
    <w:rsid w:val="00BA7DE2"/>
    <w:rsid w:val="00BA7F2B"/>
    <w:rsid w:val="00BB0188"/>
    <w:rsid w:val="00BB0638"/>
    <w:rsid w:val="00BB0CDA"/>
    <w:rsid w:val="00BB0D93"/>
    <w:rsid w:val="00BB12DF"/>
    <w:rsid w:val="00BB1776"/>
    <w:rsid w:val="00BB1F2B"/>
    <w:rsid w:val="00BB2016"/>
    <w:rsid w:val="00BB2298"/>
    <w:rsid w:val="00BB293B"/>
    <w:rsid w:val="00BB2A81"/>
    <w:rsid w:val="00BB2F29"/>
    <w:rsid w:val="00BB3263"/>
    <w:rsid w:val="00BB35CF"/>
    <w:rsid w:val="00BB3B2E"/>
    <w:rsid w:val="00BB3F13"/>
    <w:rsid w:val="00BB40CD"/>
    <w:rsid w:val="00BB433C"/>
    <w:rsid w:val="00BB4434"/>
    <w:rsid w:val="00BB4B65"/>
    <w:rsid w:val="00BB5080"/>
    <w:rsid w:val="00BB575E"/>
    <w:rsid w:val="00BB5A0B"/>
    <w:rsid w:val="00BB63E4"/>
    <w:rsid w:val="00BB6885"/>
    <w:rsid w:val="00BB6AEA"/>
    <w:rsid w:val="00BB7431"/>
    <w:rsid w:val="00BB75E1"/>
    <w:rsid w:val="00BB77F0"/>
    <w:rsid w:val="00BB78A5"/>
    <w:rsid w:val="00BC02DD"/>
    <w:rsid w:val="00BC042F"/>
    <w:rsid w:val="00BC0589"/>
    <w:rsid w:val="00BC0593"/>
    <w:rsid w:val="00BC05D2"/>
    <w:rsid w:val="00BC08A6"/>
    <w:rsid w:val="00BC0B6B"/>
    <w:rsid w:val="00BC0E73"/>
    <w:rsid w:val="00BC0F1A"/>
    <w:rsid w:val="00BC108C"/>
    <w:rsid w:val="00BC16C0"/>
    <w:rsid w:val="00BC1FC9"/>
    <w:rsid w:val="00BC2083"/>
    <w:rsid w:val="00BC22F3"/>
    <w:rsid w:val="00BC2458"/>
    <w:rsid w:val="00BC250F"/>
    <w:rsid w:val="00BC2598"/>
    <w:rsid w:val="00BC2A05"/>
    <w:rsid w:val="00BC3376"/>
    <w:rsid w:val="00BC346C"/>
    <w:rsid w:val="00BC3557"/>
    <w:rsid w:val="00BC3A12"/>
    <w:rsid w:val="00BC4592"/>
    <w:rsid w:val="00BC488C"/>
    <w:rsid w:val="00BC4A03"/>
    <w:rsid w:val="00BC4A78"/>
    <w:rsid w:val="00BC4AE3"/>
    <w:rsid w:val="00BC4DEA"/>
    <w:rsid w:val="00BC524B"/>
    <w:rsid w:val="00BC5376"/>
    <w:rsid w:val="00BC581B"/>
    <w:rsid w:val="00BC59B1"/>
    <w:rsid w:val="00BC5BF1"/>
    <w:rsid w:val="00BC6F0C"/>
    <w:rsid w:val="00BC6F8D"/>
    <w:rsid w:val="00BC7140"/>
    <w:rsid w:val="00BC7409"/>
    <w:rsid w:val="00BC75CB"/>
    <w:rsid w:val="00BC764E"/>
    <w:rsid w:val="00BC7B56"/>
    <w:rsid w:val="00BC7CAB"/>
    <w:rsid w:val="00BC7DE4"/>
    <w:rsid w:val="00BC7EE6"/>
    <w:rsid w:val="00BD09F2"/>
    <w:rsid w:val="00BD0FCF"/>
    <w:rsid w:val="00BD0FE2"/>
    <w:rsid w:val="00BD1112"/>
    <w:rsid w:val="00BD11B5"/>
    <w:rsid w:val="00BD19D8"/>
    <w:rsid w:val="00BD1A78"/>
    <w:rsid w:val="00BD1A98"/>
    <w:rsid w:val="00BD1CED"/>
    <w:rsid w:val="00BD1D59"/>
    <w:rsid w:val="00BD1F0C"/>
    <w:rsid w:val="00BD1F10"/>
    <w:rsid w:val="00BD210F"/>
    <w:rsid w:val="00BD2197"/>
    <w:rsid w:val="00BD2246"/>
    <w:rsid w:val="00BD2635"/>
    <w:rsid w:val="00BD3AF0"/>
    <w:rsid w:val="00BD3DE6"/>
    <w:rsid w:val="00BD4469"/>
    <w:rsid w:val="00BD4724"/>
    <w:rsid w:val="00BD4CE6"/>
    <w:rsid w:val="00BD587A"/>
    <w:rsid w:val="00BD59A2"/>
    <w:rsid w:val="00BD6041"/>
    <w:rsid w:val="00BD606C"/>
    <w:rsid w:val="00BD6455"/>
    <w:rsid w:val="00BD6A44"/>
    <w:rsid w:val="00BD6D60"/>
    <w:rsid w:val="00BD7400"/>
    <w:rsid w:val="00BD745E"/>
    <w:rsid w:val="00BD7850"/>
    <w:rsid w:val="00BD7BC4"/>
    <w:rsid w:val="00BD7F6F"/>
    <w:rsid w:val="00BD7F99"/>
    <w:rsid w:val="00BE0561"/>
    <w:rsid w:val="00BE0898"/>
    <w:rsid w:val="00BE0AF7"/>
    <w:rsid w:val="00BE0F20"/>
    <w:rsid w:val="00BE1003"/>
    <w:rsid w:val="00BE13BA"/>
    <w:rsid w:val="00BE1622"/>
    <w:rsid w:val="00BE167A"/>
    <w:rsid w:val="00BE22EA"/>
    <w:rsid w:val="00BE2742"/>
    <w:rsid w:val="00BE32BD"/>
    <w:rsid w:val="00BE3745"/>
    <w:rsid w:val="00BE3763"/>
    <w:rsid w:val="00BE39BD"/>
    <w:rsid w:val="00BE3D15"/>
    <w:rsid w:val="00BE3DF6"/>
    <w:rsid w:val="00BE44F5"/>
    <w:rsid w:val="00BE4807"/>
    <w:rsid w:val="00BE4A0A"/>
    <w:rsid w:val="00BE4A35"/>
    <w:rsid w:val="00BE4B04"/>
    <w:rsid w:val="00BE4CC2"/>
    <w:rsid w:val="00BE4E5E"/>
    <w:rsid w:val="00BE5113"/>
    <w:rsid w:val="00BE615E"/>
    <w:rsid w:val="00BE6D5C"/>
    <w:rsid w:val="00BE717C"/>
    <w:rsid w:val="00BE7281"/>
    <w:rsid w:val="00BE73B5"/>
    <w:rsid w:val="00BE73ED"/>
    <w:rsid w:val="00BE75D4"/>
    <w:rsid w:val="00BE7ECB"/>
    <w:rsid w:val="00BF07E7"/>
    <w:rsid w:val="00BF08F1"/>
    <w:rsid w:val="00BF0B3D"/>
    <w:rsid w:val="00BF0F88"/>
    <w:rsid w:val="00BF1129"/>
    <w:rsid w:val="00BF1141"/>
    <w:rsid w:val="00BF17D9"/>
    <w:rsid w:val="00BF2038"/>
    <w:rsid w:val="00BF218B"/>
    <w:rsid w:val="00BF2422"/>
    <w:rsid w:val="00BF2B25"/>
    <w:rsid w:val="00BF3277"/>
    <w:rsid w:val="00BF32A9"/>
    <w:rsid w:val="00BF360C"/>
    <w:rsid w:val="00BF3AE4"/>
    <w:rsid w:val="00BF3B96"/>
    <w:rsid w:val="00BF3E0F"/>
    <w:rsid w:val="00BF401D"/>
    <w:rsid w:val="00BF4596"/>
    <w:rsid w:val="00BF4791"/>
    <w:rsid w:val="00BF4CA4"/>
    <w:rsid w:val="00BF4DF3"/>
    <w:rsid w:val="00BF54F6"/>
    <w:rsid w:val="00BF6BAA"/>
    <w:rsid w:val="00BF6C3D"/>
    <w:rsid w:val="00BF70CC"/>
    <w:rsid w:val="00BF71F1"/>
    <w:rsid w:val="00BF751F"/>
    <w:rsid w:val="00BF7638"/>
    <w:rsid w:val="00BF79D0"/>
    <w:rsid w:val="00BF7B78"/>
    <w:rsid w:val="00BF7DF1"/>
    <w:rsid w:val="00C003E6"/>
    <w:rsid w:val="00C0105F"/>
    <w:rsid w:val="00C0147F"/>
    <w:rsid w:val="00C0167E"/>
    <w:rsid w:val="00C018C9"/>
    <w:rsid w:val="00C020A2"/>
    <w:rsid w:val="00C02894"/>
    <w:rsid w:val="00C03B9D"/>
    <w:rsid w:val="00C0422F"/>
    <w:rsid w:val="00C04E23"/>
    <w:rsid w:val="00C04E5A"/>
    <w:rsid w:val="00C0545E"/>
    <w:rsid w:val="00C054AC"/>
    <w:rsid w:val="00C056FA"/>
    <w:rsid w:val="00C05C22"/>
    <w:rsid w:val="00C066C8"/>
    <w:rsid w:val="00C06EB1"/>
    <w:rsid w:val="00C07099"/>
    <w:rsid w:val="00C076B6"/>
    <w:rsid w:val="00C07CA9"/>
    <w:rsid w:val="00C07CD1"/>
    <w:rsid w:val="00C07E81"/>
    <w:rsid w:val="00C10244"/>
    <w:rsid w:val="00C1066A"/>
    <w:rsid w:val="00C107FB"/>
    <w:rsid w:val="00C11134"/>
    <w:rsid w:val="00C111FE"/>
    <w:rsid w:val="00C11B5F"/>
    <w:rsid w:val="00C11EC1"/>
    <w:rsid w:val="00C121FF"/>
    <w:rsid w:val="00C1245B"/>
    <w:rsid w:val="00C128E6"/>
    <w:rsid w:val="00C12A5A"/>
    <w:rsid w:val="00C12D85"/>
    <w:rsid w:val="00C12EA7"/>
    <w:rsid w:val="00C1392F"/>
    <w:rsid w:val="00C14654"/>
    <w:rsid w:val="00C149F5"/>
    <w:rsid w:val="00C14C76"/>
    <w:rsid w:val="00C14E14"/>
    <w:rsid w:val="00C154BB"/>
    <w:rsid w:val="00C15F64"/>
    <w:rsid w:val="00C1643B"/>
    <w:rsid w:val="00C166AE"/>
    <w:rsid w:val="00C16CCE"/>
    <w:rsid w:val="00C16DE7"/>
    <w:rsid w:val="00C16F1A"/>
    <w:rsid w:val="00C172EA"/>
    <w:rsid w:val="00C17493"/>
    <w:rsid w:val="00C1752A"/>
    <w:rsid w:val="00C176B6"/>
    <w:rsid w:val="00C17E3C"/>
    <w:rsid w:val="00C20084"/>
    <w:rsid w:val="00C208CB"/>
    <w:rsid w:val="00C21AB0"/>
    <w:rsid w:val="00C21FAB"/>
    <w:rsid w:val="00C22142"/>
    <w:rsid w:val="00C222A8"/>
    <w:rsid w:val="00C22397"/>
    <w:rsid w:val="00C22788"/>
    <w:rsid w:val="00C227F9"/>
    <w:rsid w:val="00C22D24"/>
    <w:rsid w:val="00C23257"/>
    <w:rsid w:val="00C23934"/>
    <w:rsid w:val="00C23A06"/>
    <w:rsid w:val="00C2406F"/>
    <w:rsid w:val="00C244B3"/>
    <w:rsid w:val="00C24513"/>
    <w:rsid w:val="00C24D1B"/>
    <w:rsid w:val="00C251D9"/>
    <w:rsid w:val="00C25374"/>
    <w:rsid w:val="00C2566A"/>
    <w:rsid w:val="00C26194"/>
    <w:rsid w:val="00C26287"/>
    <w:rsid w:val="00C26551"/>
    <w:rsid w:val="00C26A47"/>
    <w:rsid w:val="00C26B24"/>
    <w:rsid w:val="00C27887"/>
    <w:rsid w:val="00C27969"/>
    <w:rsid w:val="00C27A41"/>
    <w:rsid w:val="00C27E66"/>
    <w:rsid w:val="00C27FD5"/>
    <w:rsid w:val="00C3091D"/>
    <w:rsid w:val="00C30929"/>
    <w:rsid w:val="00C30B01"/>
    <w:rsid w:val="00C30EFF"/>
    <w:rsid w:val="00C3104D"/>
    <w:rsid w:val="00C31684"/>
    <w:rsid w:val="00C3182C"/>
    <w:rsid w:val="00C31EE4"/>
    <w:rsid w:val="00C3223B"/>
    <w:rsid w:val="00C32B83"/>
    <w:rsid w:val="00C32C42"/>
    <w:rsid w:val="00C32F98"/>
    <w:rsid w:val="00C32FBD"/>
    <w:rsid w:val="00C33579"/>
    <w:rsid w:val="00C33D64"/>
    <w:rsid w:val="00C33DCB"/>
    <w:rsid w:val="00C33F1F"/>
    <w:rsid w:val="00C34078"/>
    <w:rsid w:val="00C34331"/>
    <w:rsid w:val="00C346A2"/>
    <w:rsid w:val="00C3482E"/>
    <w:rsid w:val="00C3486A"/>
    <w:rsid w:val="00C34A05"/>
    <w:rsid w:val="00C34DBA"/>
    <w:rsid w:val="00C35422"/>
    <w:rsid w:val="00C35694"/>
    <w:rsid w:val="00C35707"/>
    <w:rsid w:val="00C37418"/>
    <w:rsid w:val="00C374CD"/>
    <w:rsid w:val="00C37664"/>
    <w:rsid w:val="00C37A7A"/>
    <w:rsid w:val="00C37E37"/>
    <w:rsid w:val="00C401A4"/>
    <w:rsid w:val="00C40259"/>
    <w:rsid w:val="00C4029D"/>
    <w:rsid w:val="00C4042A"/>
    <w:rsid w:val="00C40695"/>
    <w:rsid w:val="00C409A9"/>
    <w:rsid w:val="00C40B67"/>
    <w:rsid w:val="00C41C5F"/>
    <w:rsid w:val="00C41D17"/>
    <w:rsid w:val="00C41D1E"/>
    <w:rsid w:val="00C42F1A"/>
    <w:rsid w:val="00C431DC"/>
    <w:rsid w:val="00C433C6"/>
    <w:rsid w:val="00C43406"/>
    <w:rsid w:val="00C437A0"/>
    <w:rsid w:val="00C4383C"/>
    <w:rsid w:val="00C43845"/>
    <w:rsid w:val="00C4394D"/>
    <w:rsid w:val="00C43A19"/>
    <w:rsid w:val="00C43A78"/>
    <w:rsid w:val="00C43C23"/>
    <w:rsid w:val="00C43F14"/>
    <w:rsid w:val="00C440E5"/>
    <w:rsid w:val="00C44142"/>
    <w:rsid w:val="00C4427C"/>
    <w:rsid w:val="00C443FB"/>
    <w:rsid w:val="00C44698"/>
    <w:rsid w:val="00C44921"/>
    <w:rsid w:val="00C44D10"/>
    <w:rsid w:val="00C452A8"/>
    <w:rsid w:val="00C45868"/>
    <w:rsid w:val="00C4586D"/>
    <w:rsid w:val="00C459F4"/>
    <w:rsid w:val="00C45E17"/>
    <w:rsid w:val="00C45E96"/>
    <w:rsid w:val="00C463E1"/>
    <w:rsid w:val="00C46A84"/>
    <w:rsid w:val="00C4716B"/>
    <w:rsid w:val="00C47346"/>
    <w:rsid w:val="00C474D2"/>
    <w:rsid w:val="00C474D4"/>
    <w:rsid w:val="00C47814"/>
    <w:rsid w:val="00C47AD4"/>
    <w:rsid w:val="00C50233"/>
    <w:rsid w:val="00C50351"/>
    <w:rsid w:val="00C50894"/>
    <w:rsid w:val="00C508D2"/>
    <w:rsid w:val="00C50BDB"/>
    <w:rsid w:val="00C50E5E"/>
    <w:rsid w:val="00C5104C"/>
    <w:rsid w:val="00C5110C"/>
    <w:rsid w:val="00C516D8"/>
    <w:rsid w:val="00C51793"/>
    <w:rsid w:val="00C5183A"/>
    <w:rsid w:val="00C5192A"/>
    <w:rsid w:val="00C519A7"/>
    <w:rsid w:val="00C51FB8"/>
    <w:rsid w:val="00C5223A"/>
    <w:rsid w:val="00C525AE"/>
    <w:rsid w:val="00C528AE"/>
    <w:rsid w:val="00C52CA6"/>
    <w:rsid w:val="00C530C1"/>
    <w:rsid w:val="00C5320D"/>
    <w:rsid w:val="00C53E9E"/>
    <w:rsid w:val="00C54AE0"/>
    <w:rsid w:val="00C54B4B"/>
    <w:rsid w:val="00C54CB1"/>
    <w:rsid w:val="00C554B5"/>
    <w:rsid w:val="00C554C4"/>
    <w:rsid w:val="00C55DCA"/>
    <w:rsid w:val="00C55F2D"/>
    <w:rsid w:val="00C5603E"/>
    <w:rsid w:val="00C56ECF"/>
    <w:rsid w:val="00C5708C"/>
    <w:rsid w:val="00C57310"/>
    <w:rsid w:val="00C57421"/>
    <w:rsid w:val="00C57437"/>
    <w:rsid w:val="00C57BB5"/>
    <w:rsid w:val="00C57BFA"/>
    <w:rsid w:val="00C57ED2"/>
    <w:rsid w:val="00C57FED"/>
    <w:rsid w:val="00C60491"/>
    <w:rsid w:val="00C60695"/>
    <w:rsid w:val="00C60818"/>
    <w:rsid w:val="00C608E1"/>
    <w:rsid w:val="00C608F5"/>
    <w:rsid w:val="00C60929"/>
    <w:rsid w:val="00C61C49"/>
    <w:rsid w:val="00C6213C"/>
    <w:rsid w:val="00C624B2"/>
    <w:rsid w:val="00C62A4F"/>
    <w:rsid w:val="00C62A6E"/>
    <w:rsid w:val="00C62B09"/>
    <w:rsid w:val="00C62D30"/>
    <w:rsid w:val="00C6333D"/>
    <w:rsid w:val="00C634AA"/>
    <w:rsid w:val="00C635B4"/>
    <w:rsid w:val="00C63B11"/>
    <w:rsid w:val="00C6434F"/>
    <w:rsid w:val="00C6442B"/>
    <w:rsid w:val="00C6458E"/>
    <w:rsid w:val="00C6474A"/>
    <w:rsid w:val="00C6476D"/>
    <w:rsid w:val="00C648A2"/>
    <w:rsid w:val="00C64C8D"/>
    <w:rsid w:val="00C65A04"/>
    <w:rsid w:val="00C66026"/>
    <w:rsid w:val="00C6616B"/>
    <w:rsid w:val="00C66640"/>
    <w:rsid w:val="00C667B1"/>
    <w:rsid w:val="00C70130"/>
    <w:rsid w:val="00C70158"/>
    <w:rsid w:val="00C70232"/>
    <w:rsid w:val="00C707D8"/>
    <w:rsid w:val="00C707F2"/>
    <w:rsid w:val="00C70B77"/>
    <w:rsid w:val="00C70C13"/>
    <w:rsid w:val="00C72421"/>
    <w:rsid w:val="00C72565"/>
    <w:rsid w:val="00C7394E"/>
    <w:rsid w:val="00C739D5"/>
    <w:rsid w:val="00C73D38"/>
    <w:rsid w:val="00C74066"/>
    <w:rsid w:val="00C74597"/>
    <w:rsid w:val="00C7493F"/>
    <w:rsid w:val="00C74A00"/>
    <w:rsid w:val="00C74A8E"/>
    <w:rsid w:val="00C74ABF"/>
    <w:rsid w:val="00C74B27"/>
    <w:rsid w:val="00C74C6C"/>
    <w:rsid w:val="00C74C7A"/>
    <w:rsid w:val="00C74E77"/>
    <w:rsid w:val="00C7588E"/>
    <w:rsid w:val="00C75907"/>
    <w:rsid w:val="00C759A7"/>
    <w:rsid w:val="00C75D59"/>
    <w:rsid w:val="00C75EAD"/>
    <w:rsid w:val="00C75F81"/>
    <w:rsid w:val="00C76B2B"/>
    <w:rsid w:val="00C772F5"/>
    <w:rsid w:val="00C774EA"/>
    <w:rsid w:val="00C776EC"/>
    <w:rsid w:val="00C778E1"/>
    <w:rsid w:val="00C77D36"/>
    <w:rsid w:val="00C77F1B"/>
    <w:rsid w:val="00C80084"/>
    <w:rsid w:val="00C808DB"/>
    <w:rsid w:val="00C80FA0"/>
    <w:rsid w:val="00C8149E"/>
    <w:rsid w:val="00C819EE"/>
    <w:rsid w:val="00C81CAD"/>
    <w:rsid w:val="00C81FC8"/>
    <w:rsid w:val="00C82929"/>
    <w:rsid w:val="00C82955"/>
    <w:rsid w:val="00C82EF8"/>
    <w:rsid w:val="00C83105"/>
    <w:rsid w:val="00C83226"/>
    <w:rsid w:val="00C83483"/>
    <w:rsid w:val="00C839CE"/>
    <w:rsid w:val="00C83C8F"/>
    <w:rsid w:val="00C83D38"/>
    <w:rsid w:val="00C83DE7"/>
    <w:rsid w:val="00C8402C"/>
    <w:rsid w:val="00C844BA"/>
    <w:rsid w:val="00C847A7"/>
    <w:rsid w:val="00C84E41"/>
    <w:rsid w:val="00C853E6"/>
    <w:rsid w:val="00C86102"/>
    <w:rsid w:val="00C8628B"/>
    <w:rsid w:val="00C863A3"/>
    <w:rsid w:val="00C86B29"/>
    <w:rsid w:val="00C8771B"/>
    <w:rsid w:val="00C87E5E"/>
    <w:rsid w:val="00C87E8B"/>
    <w:rsid w:val="00C90196"/>
    <w:rsid w:val="00C902EE"/>
    <w:rsid w:val="00C90609"/>
    <w:rsid w:val="00C90635"/>
    <w:rsid w:val="00C90726"/>
    <w:rsid w:val="00C90767"/>
    <w:rsid w:val="00C90A2C"/>
    <w:rsid w:val="00C91A0F"/>
    <w:rsid w:val="00C92056"/>
    <w:rsid w:val="00C93243"/>
    <w:rsid w:val="00C93B6A"/>
    <w:rsid w:val="00C93DB9"/>
    <w:rsid w:val="00C9446E"/>
    <w:rsid w:val="00C94634"/>
    <w:rsid w:val="00C94C92"/>
    <w:rsid w:val="00C94F66"/>
    <w:rsid w:val="00C94FFC"/>
    <w:rsid w:val="00C9507E"/>
    <w:rsid w:val="00C95E39"/>
    <w:rsid w:val="00C96807"/>
    <w:rsid w:val="00C9684D"/>
    <w:rsid w:val="00C9711A"/>
    <w:rsid w:val="00C97121"/>
    <w:rsid w:val="00C972CD"/>
    <w:rsid w:val="00C974A4"/>
    <w:rsid w:val="00C9752A"/>
    <w:rsid w:val="00C9786F"/>
    <w:rsid w:val="00C9795E"/>
    <w:rsid w:val="00C97985"/>
    <w:rsid w:val="00C97BCA"/>
    <w:rsid w:val="00CA006A"/>
    <w:rsid w:val="00CA011C"/>
    <w:rsid w:val="00CA078C"/>
    <w:rsid w:val="00CA099A"/>
    <w:rsid w:val="00CA0B79"/>
    <w:rsid w:val="00CA0FAF"/>
    <w:rsid w:val="00CA25DF"/>
    <w:rsid w:val="00CA285B"/>
    <w:rsid w:val="00CA2D1A"/>
    <w:rsid w:val="00CA2ECE"/>
    <w:rsid w:val="00CA2F2E"/>
    <w:rsid w:val="00CA3818"/>
    <w:rsid w:val="00CA3CCC"/>
    <w:rsid w:val="00CA3DCC"/>
    <w:rsid w:val="00CA4BEB"/>
    <w:rsid w:val="00CA4F2C"/>
    <w:rsid w:val="00CA500A"/>
    <w:rsid w:val="00CA5545"/>
    <w:rsid w:val="00CA5BCF"/>
    <w:rsid w:val="00CA61B6"/>
    <w:rsid w:val="00CA68C8"/>
    <w:rsid w:val="00CA6E1A"/>
    <w:rsid w:val="00CA77BD"/>
    <w:rsid w:val="00CA7859"/>
    <w:rsid w:val="00CB0270"/>
    <w:rsid w:val="00CB092A"/>
    <w:rsid w:val="00CB13D1"/>
    <w:rsid w:val="00CB13DD"/>
    <w:rsid w:val="00CB15E7"/>
    <w:rsid w:val="00CB1EA9"/>
    <w:rsid w:val="00CB2050"/>
    <w:rsid w:val="00CB25CD"/>
    <w:rsid w:val="00CB2944"/>
    <w:rsid w:val="00CB2F61"/>
    <w:rsid w:val="00CB3261"/>
    <w:rsid w:val="00CB3547"/>
    <w:rsid w:val="00CB35D4"/>
    <w:rsid w:val="00CB39F9"/>
    <w:rsid w:val="00CB3B2F"/>
    <w:rsid w:val="00CB480E"/>
    <w:rsid w:val="00CB4E23"/>
    <w:rsid w:val="00CB5894"/>
    <w:rsid w:val="00CB5CEF"/>
    <w:rsid w:val="00CB61BE"/>
    <w:rsid w:val="00CB670E"/>
    <w:rsid w:val="00CB6A86"/>
    <w:rsid w:val="00CB6C0A"/>
    <w:rsid w:val="00CB6EF3"/>
    <w:rsid w:val="00CB79B4"/>
    <w:rsid w:val="00CC0268"/>
    <w:rsid w:val="00CC0A70"/>
    <w:rsid w:val="00CC0B9B"/>
    <w:rsid w:val="00CC1C87"/>
    <w:rsid w:val="00CC234C"/>
    <w:rsid w:val="00CC237A"/>
    <w:rsid w:val="00CC24CC"/>
    <w:rsid w:val="00CC301D"/>
    <w:rsid w:val="00CC33B7"/>
    <w:rsid w:val="00CC374A"/>
    <w:rsid w:val="00CC38B1"/>
    <w:rsid w:val="00CC444C"/>
    <w:rsid w:val="00CC4612"/>
    <w:rsid w:val="00CC4784"/>
    <w:rsid w:val="00CC4AF3"/>
    <w:rsid w:val="00CC4BB0"/>
    <w:rsid w:val="00CC5114"/>
    <w:rsid w:val="00CC5675"/>
    <w:rsid w:val="00CC5BB1"/>
    <w:rsid w:val="00CC6495"/>
    <w:rsid w:val="00CC6696"/>
    <w:rsid w:val="00CC6776"/>
    <w:rsid w:val="00CC6D86"/>
    <w:rsid w:val="00CC74AB"/>
    <w:rsid w:val="00CC75A1"/>
    <w:rsid w:val="00CC77DA"/>
    <w:rsid w:val="00CC7F13"/>
    <w:rsid w:val="00CD02F7"/>
    <w:rsid w:val="00CD04FB"/>
    <w:rsid w:val="00CD16C2"/>
    <w:rsid w:val="00CD17D4"/>
    <w:rsid w:val="00CD1B1F"/>
    <w:rsid w:val="00CD1C5D"/>
    <w:rsid w:val="00CD1EBE"/>
    <w:rsid w:val="00CD296F"/>
    <w:rsid w:val="00CD2A8E"/>
    <w:rsid w:val="00CD2E94"/>
    <w:rsid w:val="00CD33D7"/>
    <w:rsid w:val="00CD34E2"/>
    <w:rsid w:val="00CD383B"/>
    <w:rsid w:val="00CD3A9F"/>
    <w:rsid w:val="00CD3CCD"/>
    <w:rsid w:val="00CD3D06"/>
    <w:rsid w:val="00CD4151"/>
    <w:rsid w:val="00CD4231"/>
    <w:rsid w:val="00CD474E"/>
    <w:rsid w:val="00CD4991"/>
    <w:rsid w:val="00CD51A5"/>
    <w:rsid w:val="00CD51A8"/>
    <w:rsid w:val="00CD6147"/>
    <w:rsid w:val="00CD619A"/>
    <w:rsid w:val="00CD6518"/>
    <w:rsid w:val="00CD662A"/>
    <w:rsid w:val="00CD6773"/>
    <w:rsid w:val="00CD6CB8"/>
    <w:rsid w:val="00CD6E56"/>
    <w:rsid w:val="00CD7017"/>
    <w:rsid w:val="00CD70FD"/>
    <w:rsid w:val="00CD77F1"/>
    <w:rsid w:val="00CD7CC1"/>
    <w:rsid w:val="00CD7FDE"/>
    <w:rsid w:val="00CE0603"/>
    <w:rsid w:val="00CE0707"/>
    <w:rsid w:val="00CE0788"/>
    <w:rsid w:val="00CE0D12"/>
    <w:rsid w:val="00CE0F52"/>
    <w:rsid w:val="00CE140D"/>
    <w:rsid w:val="00CE1498"/>
    <w:rsid w:val="00CE15BC"/>
    <w:rsid w:val="00CE16BA"/>
    <w:rsid w:val="00CE1F74"/>
    <w:rsid w:val="00CE2657"/>
    <w:rsid w:val="00CE2BDB"/>
    <w:rsid w:val="00CE314E"/>
    <w:rsid w:val="00CE33B6"/>
    <w:rsid w:val="00CE3CAF"/>
    <w:rsid w:val="00CE3DB2"/>
    <w:rsid w:val="00CE513C"/>
    <w:rsid w:val="00CE531F"/>
    <w:rsid w:val="00CE5619"/>
    <w:rsid w:val="00CE612E"/>
    <w:rsid w:val="00CE66DA"/>
    <w:rsid w:val="00CE7026"/>
    <w:rsid w:val="00CE70E3"/>
    <w:rsid w:val="00CE739D"/>
    <w:rsid w:val="00CE75B4"/>
    <w:rsid w:val="00CE76B1"/>
    <w:rsid w:val="00CE78E8"/>
    <w:rsid w:val="00CE78F4"/>
    <w:rsid w:val="00CE7B20"/>
    <w:rsid w:val="00CE7C95"/>
    <w:rsid w:val="00CE7F9F"/>
    <w:rsid w:val="00CF01B1"/>
    <w:rsid w:val="00CF0415"/>
    <w:rsid w:val="00CF08AF"/>
    <w:rsid w:val="00CF09A4"/>
    <w:rsid w:val="00CF0FE7"/>
    <w:rsid w:val="00CF146B"/>
    <w:rsid w:val="00CF14C9"/>
    <w:rsid w:val="00CF156A"/>
    <w:rsid w:val="00CF1643"/>
    <w:rsid w:val="00CF1951"/>
    <w:rsid w:val="00CF1C26"/>
    <w:rsid w:val="00CF22CE"/>
    <w:rsid w:val="00CF2354"/>
    <w:rsid w:val="00CF2479"/>
    <w:rsid w:val="00CF2575"/>
    <w:rsid w:val="00CF2864"/>
    <w:rsid w:val="00CF2C79"/>
    <w:rsid w:val="00CF318A"/>
    <w:rsid w:val="00CF35FC"/>
    <w:rsid w:val="00CF3677"/>
    <w:rsid w:val="00CF37A8"/>
    <w:rsid w:val="00CF3869"/>
    <w:rsid w:val="00CF38A7"/>
    <w:rsid w:val="00CF39C0"/>
    <w:rsid w:val="00CF4035"/>
    <w:rsid w:val="00CF408F"/>
    <w:rsid w:val="00CF42E9"/>
    <w:rsid w:val="00CF43FA"/>
    <w:rsid w:val="00CF4C8B"/>
    <w:rsid w:val="00CF4F6F"/>
    <w:rsid w:val="00CF512C"/>
    <w:rsid w:val="00CF5144"/>
    <w:rsid w:val="00CF55BB"/>
    <w:rsid w:val="00CF5689"/>
    <w:rsid w:val="00CF5AE3"/>
    <w:rsid w:val="00CF5D1E"/>
    <w:rsid w:val="00CF6272"/>
    <w:rsid w:val="00CF6385"/>
    <w:rsid w:val="00CF6A36"/>
    <w:rsid w:val="00CF6ABB"/>
    <w:rsid w:val="00CF6C4B"/>
    <w:rsid w:val="00CF6D4F"/>
    <w:rsid w:val="00CF77AE"/>
    <w:rsid w:val="00CF7812"/>
    <w:rsid w:val="00CF7A9D"/>
    <w:rsid w:val="00CF7C51"/>
    <w:rsid w:val="00CF7F0C"/>
    <w:rsid w:val="00D008D9"/>
    <w:rsid w:val="00D00C2E"/>
    <w:rsid w:val="00D00E32"/>
    <w:rsid w:val="00D00E75"/>
    <w:rsid w:val="00D00EE5"/>
    <w:rsid w:val="00D0171F"/>
    <w:rsid w:val="00D01CB4"/>
    <w:rsid w:val="00D02134"/>
    <w:rsid w:val="00D0220D"/>
    <w:rsid w:val="00D0303A"/>
    <w:rsid w:val="00D0305E"/>
    <w:rsid w:val="00D03137"/>
    <w:rsid w:val="00D03E89"/>
    <w:rsid w:val="00D03EAB"/>
    <w:rsid w:val="00D03FAB"/>
    <w:rsid w:val="00D0405A"/>
    <w:rsid w:val="00D04214"/>
    <w:rsid w:val="00D04DF9"/>
    <w:rsid w:val="00D05381"/>
    <w:rsid w:val="00D054E9"/>
    <w:rsid w:val="00D059A2"/>
    <w:rsid w:val="00D05CD3"/>
    <w:rsid w:val="00D060A5"/>
    <w:rsid w:val="00D06B4F"/>
    <w:rsid w:val="00D06F4F"/>
    <w:rsid w:val="00D06F64"/>
    <w:rsid w:val="00D06F91"/>
    <w:rsid w:val="00D077BD"/>
    <w:rsid w:val="00D07FEB"/>
    <w:rsid w:val="00D10121"/>
    <w:rsid w:val="00D10421"/>
    <w:rsid w:val="00D1048A"/>
    <w:rsid w:val="00D10747"/>
    <w:rsid w:val="00D111F8"/>
    <w:rsid w:val="00D11501"/>
    <w:rsid w:val="00D118E1"/>
    <w:rsid w:val="00D11A5E"/>
    <w:rsid w:val="00D11DA8"/>
    <w:rsid w:val="00D12045"/>
    <w:rsid w:val="00D12198"/>
    <w:rsid w:val="00D12738"/>
    <w:rsid w:val="00D12D74"/>
    <w:rsid w:val="00D12E81"/>
    <w:rsid w:val="00D134BE"/>
    <w:rsid w:val="00D13505"/>
    <w:rsid w:val="00D13F96"/>
    <w:rsid w:val="00D14331"/>
    <w:rsid w:val="00D14A04"/>
    <w:rsid w:val="00D15185"/>
    <w:rsid w:val="00D15393"/>
    <w:rsid w:val="00D15843"/>
    <w:rsid w:val="00D15B4A"/>
    <w:rsid w:val="00D15D15"/>
    <w:rsid w:val="00D15D92"/>
    <w:rsid w:val="00D16496"/>
    <w:rsid w:val="00D16676"/>
    <w:rsid w:val="00D168F4"/>
    <w:rsid w:val="00D17356"/>
    <w:rsid w:val="00D174FA"/>
    <w:rsid w:val="00D17621"/>
    <w:rsid w:val="00D1798B"/>
    <w:rsid w:val="00D17F11"/>
    <w:rsid w:val="00D20543"/>
    <w:rsid w:val="00D209EF"/>
    <w:rsid w:val="00D20C52"/>
    <w:rsid w:val="00D20E2F"/>
    <w:rsid w:val="00D20EAE"/>
    <w:rsid w:val="00D20F36"/>
    <w:rsid w:val="00D20F82"/>
    <w:rsid w:val="00D218A1"/>
    <w:rsid w:val="00D21CD5"/>
    <w:rsid w:val="00D21F65"/>
    <w:rsid w:val="00D220E4"/>
    <w:rsid w:val="00D223A9"/>
    <w:rsid w:val="00D22967"/>
    <w:rsid w:val="00D23462"/>
    <w:rsid w:val="00D23614"/>
    <w:rsid w:val="00D23783"/>
    <w:rsid w:val="00D23C81"/>
    <w:rsid w:val="00D240C3"/>
    <w:rsid w:val="00D243B9"/>
    <w:rsid w:val="00D24558"/>
    <w:rsid w:val="00D24F92"/>
    <w:rsid w:val="00D2576F"/>
    <w:rsid w:val="00D25D79"/>
    <w:rsid w:val="00D26003"/>
    <w:rsid w:val="00D26378"/>
    <w:rsid w:val="00D271DD"/>
    <w:rsid w:val="00D27984"/>
    <w:rsid w:val="00D300F9"/>
    <w:rsid w:val="00D304D3"/>
    <w:rsid w:val="00D307FC"/>
    <w:rsid w:val="00D31012"/>
    <w:rsid w:val="00D3119E"/>
    <w:rsid w:val="00D31608"/>
    <w:rsid w:val="00D31676"/>
    <w:rsid w:val="00D31980"/>
    <w:rsid w:val="00D31A75"/>
    <w:rsid w:val="00D31AFE"/>
    <w:rsid w:val="00D31F7A"/>
    <w:rsid w:val="00D3216F"/>
    <w:rsid w:val="00D32399"/>
    <w:rsid w:val="00D329CC"/>
    <w:rsid w:val="00D32ABF"/>
    <w:rsid w:val="00D32BB5"/>
    <w:rsid w:val="00D32E7B"/>
    <w:rsid w:val="00D32F5C"/>
    <w:rsid w:val="00D33109"/>
    <w:rsid w:val="00D33405"/>
    <w:rsid w:val="00D334C7"/>
    <w:rsid w:val="00D33682"/>
    <w:rsid w:val="00D33AC4"/>
    <w:rsid w:val="00D33C80"/>
    <w:rsid w:val="00D34D7A"/>
    <w:rsid w:val="00D3554A"/>
    <w:rsid w:val="00D35599"/>
    <w:rsid w:val="00D355ED"/>
    <w:rsid w:val="00D355FD"/>
    <w:rsid w:val="00D3561F"/>
    <w:rsid w:val="00D35D28"/>
    <w:rsid w:val="00D35DC0"/>
    <w:rsid w:val="00D35DD6"/>
    <w:rsid w:val="00D35EB9"/>
    <w:rsid w:val="00D3694F"/>
    <w:rsid w:val="00D36DDD"/>
    <w:rsid w:val="00D3735F"/>
    <w:rsid w:val="00D3736D"/>
    <w:rsid w:val="00D37F97"/>
    <w:rsid w:val="00D40980"/>
    <w:rsid w:val="00D40ADD"/>
    <w:rsid w:val="00D41406"/>
    <w:rsid w:val="00D41598"/>
    <w:rsid w:val="00D4159A"/>
    <w:rsid w:val="00D4174B"/>
    <w:rsid w:val="00D41E70"/>
    <w:rsid w:val="00D423F2"/>
    <w:rsid w:val="00D42580"/>
    <w:rsid w:val="00D42ADE"/>
    <w:rsid w:val="00D42AF2"/>
    <w:rsid w:val="00D4313B"/>
    <w:rsid w:val="00D4319F"/>
    <w:rsid w:val="00D432FD"/>
    <w:rsid w:val="00D43444"/>
    <w:rsid w:val="00D435A0"/>
    <w:rsid w:val="00D4393A"/>
    <w:rsid w:val="00D441AE"/>
    <w:rsid w:val="00D44523"/>
    <w:rsid w:val="00D44634"/>
    <w:rsid w:val="00D44666"/>
    <w:rsid w:val="00D45046"/>
    <w:rsid w:val="00D4523D"/>
    <w:rsid w:val="00D4568E"/>
    <w:rsid w:val="00D464E2"/>
    <w:rsid w:val="00D46A50"/>
    <w:rsid w:val="00D46C7D"/>
    <w:rsid w:val="00D47105"/>
    <w:rsid w:val="00D4741A"/>
    <w:rsid w:val="00D4753F"/>
    <w:rsid w:val="00D4766F"/>
    <w:rsid w:val="00D47C4C"/>
    <w:rsid w:val="00D47D6A"/>
    <w:rsid w:val="00D5002A"/>
    <w:rsid w:val="00D501A7"/>
    <w:rsid w:val="00D50595"/>
    <w:rsid w:val="00D50B20"/>
    <w:rsid w:val="00D51091"/>
    <w:rsid w:val="00D511E0"/>
    <w:rsid w:val="00D51EE9"/>
    <w:rsid w:val="00D523DA"/>
    <w:rsid w:val="00D52589"/>
    <w:rsid w:val="00D52974"/>
    <w:rsid w:val="00D52A46"/>
    <w:rsid w:val="00D52ED5"/>
    <w:rsid w:val="00D52F3C"/>
    <w:rsid w:val="00D53067"/>
    <w:rsid w:val="00D533F3"/>
    <w:rsid w:val="00D539A3"/>
    <w:rsid w:val="00D54155"/>
    <w:rsid w:val="00D5419E"/>
    <w:rsid w:val="00D5451B"/>
    <w:rsid w:val="00D54D3B"/>
    <w:rsid w:val="00D54D3C"/>
    <w:rsid w:val="00D55D5A"/>
    <w:rsid w:val="00D55E4B"/>
    <w:rsid w:val="00D56F98"/>
    <w:rsid w:val="00D572E4"/>
    <w:rsid w:val="00D57AD0"/>
    <w:rsid w:val="00D601EC"/>
    <w:rsid w:val="00D603EC"/>
    <w:rsid w:val="00D604B2"/>
    <w:rsid w:val="00D60A52"/>
    <w:rsid w:val="00D60AD1"/>
    <w:rsid w:val="00D60AE0"/>
    <w:rsid w:val="00D61056"/>
    <w:rsid w:val="00D612CC"/>
    <w:rsid w:val="00D61C2E"/>
    <w:rsid w:val="00D61FB2"/>
    <w:rsid w:val="00D628EF"/>
    <w:rsid w:val="00D62945"/>
    <w:rsid w:val="00D6297F"/>
    <w:rsid w:val="00D62CEE"/>
    <w:rsid w:val="00D63117"/>
    <w:rsid w:val="00D63470"/>
    <w:rsid w:val="00D63F1F"/>
    <w:rsid w:val="00D644E7"/>
    <w:rsid w:val="00D64993"/>
    <w:rsid w:val="00D649A0"/>
    <w:rsid w:val="00D64C62"/>
    <w:rsid w:val="00D653C3"/>
    <w:rsid w:val="00D65524"/>
    <w:rsid w:val="00D658D6"/>
    <w:rsid w:val="00D65F19"/>
    <w:rsid w:val="00D65F29"/>
    <w:rsid w:val="00D6603D"/>
    <w:rsid w:val="00D664CE"/>
    <w:rsid w:val="00D66609"/>
    <w:rsid w:val="00D66E0B"/>
    <w:rsid w:val="00D66EED"/>
    <w:rsid w:val="00D67171"/>
    <w:rsid w:val="00D679F2"/>
    <w:rsid w:val="00D67B8E"/>
    <w:rsid w:val="00D70929"/>
    <w:rsid w:val="00D7092D"/>
    <w:rsid w:val="00D70A12"/>
    <w:rsid w:val="00D70D3F"/>
    <w:rsid w:val="00D713B5"/>
    <w:rsid w:val="00D71585"/>
    <w:rsid w:val="00D719CF"/>
    <w:rsid w:val="00D71D82"/>
    <w:rsid w:val="00D71E4D"/>
    <w:rsid w:val="00D72248"/>
    <w:rsid w:val="00D7252A"/>
    <w:rsid w:val="00D726B6"/>
    <w:rsid w:val="00D7284F"/>
    <w:rsid w:val="00D72A78"/>
    <w:rsid w:val="00D72DA5"/>
    <w:rsid w:val="00D73221"/>
    <w:rsid w:val="00D732B7"/>
    <w:rsid w:val="00D73437"/>
    <w:rsid w:val="00D73692"/>
    <w:rsid w:val="00D73A5A"/>
    <w:rsid w:val="00D73BE0"/>
    <w:rsid w:val="00D7467A"/>
    <w:rsid w:val="00D749BC"/>
    <w:rsid w:val="00D74A80"/>
    <w:rsid w:val="00D74C9E"/>
    <w:rsid w:val="00D757A3"/>
    <w:rsid w:val="00D76079"/>
    <w:rsid w:val="00D7638C"/>
    <w:rsid w:val="00D76568"/>
    <w:rsid w:val="00D7691B"/>
    <w:rsid w:val="00D76E47"/>
    <w:rsid w:val="00D76FED"/>
    <w:rsid w:val="00D770BE"/>
    <w:rsid w:val="00D77165"/>
    <w:rsid w:val="00D77202"/>
    <w:rsid w:val="00D77F9C"/>
    <w:rsid w:val="00D804DC"/>
    <w:rsid w:val="00D8080B"/>
    <w:rsid w:val="00D81042"/>
    <w:rsid w:val="00D81212"/>
    <w:rsid w:val="00D81291"/>
    <w:rsid w:val="00D812F5"/>
    <w:rsid w:val="00D81A8C"/>
    <w:rsid w:val="00D81C57"/>
    <w:rsid w:val="00D81F82"/>
    <w:rsid w:val="00D822CC"/>
    <w:rsid w:val="00D82302"/>
    <w:rsid w:val="00D82A12"/>
    <w:rsid w:val="00D83523"/>
    <w:rsid w:val="00D8401B"/>
    <w:rsid w:val="00D841D7"/>
    <w:rsid w:val="00D845D4"/>
    <w:rsid w:val="00D846C4"/>
    <w:rsid w:val="00D84A25"/>
    <w:rsid w:val="00D84D4B"/>
    <w:rsid w:val="00D84EEE"/>
    <w:rsid w:val="00D84FC5"/>
    <w:rsid w:val="00D85015"/>
    <w:rsid w:val="00D8548C"/>
    <w:rsid w:val="00D854F8"/>
    <w:rsid w:val="00D8597F"/>
    <w:rsid w:val="00D85A89"/>
    <w:rsid w:val="00D85E1F"/>
    <w:rsid w:val="00D8687B"/>
    <w:rsid w:val="00D87315"/>
    <w:rsid w:val="00D87405"/>
    <w:rsid w:val="00D87586"/>
    <w:rsid w:val="00D87D1D"/>
    <w:rsid w:val="00D87FE2"/>
    <w:rsid w:val="00D9035E"/>
    <w:rsid w:val="00D90368"/>
    <w:rsid w:val="00D90657"/>
    <w:rsid w:val="00D90830"/>
    <w:rsid w:val="00D90A74"/>
    <w:rsid w:val="00D90D46"/>
    <w:rsid w:val="00D9114B"/>
    <w:rsid w:val="00D91740"/>
    <w:rsid w:val="00D91F33"/>
    <w:rsid w:val="00D922BA"/>
    <w:rsid w:val="00D928AE"/>
    <w:rsid w:val="00D9292B"/>
    <w:rsid w:val="00D92A5A"/>
    <w:rsid w:val="00D92B28"/>
    <w:rsid w:val="00D9319B"/>
    <w:rsid w:val="00D9342A"/>
    <w:rsid w:val="00D9382B"/>
    <w:rsid w:val="00D939B8"/>
    <w:rsid w:val="00D93AE6"/>
    <w:rsid w:val="00D93DC6"/>
    <w:rsid w:val="00D940A2"/>
    <w:rsid w:val="00D944FA"/>
    <w:rsid w:val="00D94596"/>
    <w:rsid w:val="00D94C78"/>
    <w:rsid w:val="00D94E09"/>
    <w:rsid w:val="00D94F6A"/>
    <w:rsid w:val="00D95B54"/>
    <w:rsid w:val="00D95D3A"/>
    <w:rsid w:val="00D964BE"/>
    <w:rsid w:val="00D9659D"/>
    <w:rsid w:val="00D965ED"/>
    <w:rsid w:val="00D96771"/>
    <w:rsid w:val="00D96DDE"/>
    <w:rsid w:val="00D970C0"/>
    <w:rsid w:val="00D970C3"/>
    <w:rsid w:val="00D97320"/>
    <w:rsid w:val="00D976BA"/>
    <w:rsid w:val="00D976D1"/>
    <w:rsid w:val="00D97AA8"/>
    <w:rsid w:val="00D97B08"/>
    <w:rsid w:val="00D97B4C"/>
    <w:rsid w:val="00D97D4C"/>
    <w:rsid w:val="00D97F4F"/>
    <w:rsid w:val="00D97FB3"/>
    <w:rsid w:val="00DA000A"/>
    <w:rsid w:val="00DA00BB"/>
    <w:rsid w:val="00DA040E"/>
    <w:rsid w:val="00DA049B"/>
    <w:rsid w:val="00DA04A5"/>
    <w:rsid w:val="00DA0862"/>
    <w:rsid w:val="00DA0DF6"/>
    <w:rsid w:val="00DA1944"/>
    <w:rsid w:val="00DA1AC1"/>
    <w:rsid w:val="00DA1EA0"/>
    <w:rsid w:val="00DA2097"/>
    <w:rsid w:val="00DA242D"/>
    <w:rsid w:val="00DA2882"/>
    <w:rsid w:val="00DA2A12"/>
    <w:rsid w:val="00DA2E0B"/>
    <w:rsid w:val="00DA2F48"/>
    <w:rsid w:val="00DA30A0"/>
    <w:rsid w:val="00DA33FE"/>
    <w:rsid w:val="00DA36DD"/>
    <w:rsid w:val="00DA3D16"/>
    <w:rsid w:val="00DA3D27"/>
    <w:rsid w:val="00DA48AF"/>
    <w:rsid w:val="00DA4A89"/>
    <w:rsid w:val="00DA4AF1"/>
    <w:rsid w:val="00DA546F"/>
    <w:rsid w:val="00DA5ECA"/>
    <w:rsid w:val="00DA66A6"/>
    <w:rsid w:val="00DA6AFE"/>
    <w:rsid w:val="00DA6CEE"/>
    <w:rsid w:val="00DA6DE5"/>
    <w:rsid w:val="00DA70C5"/>
    <w:rsid w:val="00DA713C"/>
    <w:rsid w:val="00DA75D8"/>
    <w:rsid w:val="00DA78BB"/>
    <w:rsid w:val="00DA7C3A"/>
    <w:rsid w:val="00DA7DCA"/>
    <w:rsid w:val="00DB0014"/>
    <w:rsid w:val="00DB042F"/>
    <w:rsid w:val="00DB0551"/>
    <w:rsid w:val="00DB1327"/>
    <w:rsid w:val="00DB13CC"/>
    <w:rsid w:val="00DB15A6"/>
    <w:rsid w:val="00DB1972"/>
    <w:rsid w:val="00DB203F"/>
    <w:rsid w:val="00DB24D2"/>
    <w:rsid w:val="00DB2AB4"/>
    <w:rsid w:val="00DB2BEA"/>
    <w:rsid w:val="00DB2E22"/>
    <w:rsid w:val="00DB2F11"/>
    <w:rsid w:val="00DB327D"/>
    <w:rsid w:val="00DB330E"/>
    <w:rsid w:val="00DB3450"/>
    <w:rsid w:val="00DB3F15"/>
    <w:rsid w:val="00DB405A"/>
    <w:rsid w:val="00DB45F2"/>
    <w:rsid w:val="00DB47CA"/>
    <w:rsid w:val="00DB49F8"/>
    <w:rsid w:val="00DB4D72"/>
    <w:rsid w:val="00DB4D88"/>
    <w:rsid w:val="00DB54E1"/>
    <w:rsid w:val="00DB5A8E"/>
    <w:rsid w:val="00DB6365"/>
    <w:rsid w:val="00DB6C88"/>
    <w:rsid w:val="00DB6E67"/>
    <w:rsid w:val="00DB6F81"/>
    <w:rsid w:val="00DB7265"/>
    <w:rsid w:val="00DB7471"/>
    <w:rsid w:val="00DB78EF"/>
    <w:rsid w:val="00DC032B"/>
    <w:rsid w:val="00DC0607"/>
    <w:rsid w:val="00DC08A3"/>
    <w:rsid w:val="00DC0D85"/>
    <w:rsid w:val="00DC0F47"/>
    <w:rsid w:val="00DC179F"/>
    <w:rsid w:val="00DC1A3C"/>
    <w:rsid w:val="00DC24EE"/>
    <w:rsid w:val="00DC250D"/>
    <w:rsid w:val="00DC288D"/>
    <w:rsid w:val="00DC2AD1"/>
    <w:rsid w:val="00DC2D60"/>
    <w:rsid w:val="00DC3675"/>
    <w:rsid w:val="00DC37AA"/>
    <w:rsid w:val="00DC3E33"/>
    <w:rsid w:val="00DC3E84"/>
    <w:rsid w:val="00DC3FE1"/>
    <w:rsid w:val="00DC44D4"/>
    <w:rsid w:val="00DC454F"/>
    <w:rsid w:val="00DC48DB"/>
    <w:rsid w:val="00DC4F78"/>
    <w:rsid w:val="00DC53C9"/>
    <w:rsid w:val="00DC5510"/>
    <w:rsid w:val="00DC578F"/>
    <w:rsid w:val="00DC5B96"/>
    <w:rsid w:val="00DC5C56"/>
    <w:rsid w:val="00DC5FF1"/>
    <w:rsid w:val="00DC6098"/>
    <w:rsid w:val="00DC6188"/>
    <w:rsid w:val="00DC6271"/>
    <w:rsid w:val="00DC62DA"/>
    <w:rsid w:val="00DC6DCE"/>
    <w:rsid w:val="00DC76F9"/>
    <w:rsid w:val="00DC7994"/>
    <w:rsid w:val="00DC7DFF"/>
    <w:rsid w:val="00DD008F"/>
    <w:rsid w:val="00DD0392"/>
    <w:rsid w:val="00DD050C"/>
    <w:rsid w:val="00DD067F"/>
    <w:rsid w:val="00DD07F0"/>
    <w:rsid w:val="00DD08D9"/>
    <w:rsid w:val="00DD0A37"/>
    <w:rsid w:val="00DD13F6"/>
    <w:rsid w:val="00DD1A64"/>
    <w:rsid w:val="00DD1B45"/>
    <w:rsid w:val="00DD1CD6"/>
    <w:rsid w:val="00DD1E6F"/>
    <w:rsid w:val="00DD246B"/>
    <w:rsid w:val="00DD2ECE"/>
    <w:rsid w:val="00DD30FE"/>
    <w:rsid w:val="00DD37B4"/>
    <w:rsid w:val="00DD3962"/>
    <w:rsid w:val="00DD3DB8"/>
    <w:rsid w:val="00DD3EA6"/>
    <w:rsid w:val="00DD427E"/>
    <w:rsid w:val="00DD4473"/>
    <w:rsid w:val="00DD4964"/>
    <w:rsid w:val="00DD4E58"/>
    <w:rsid w:val="00DD5706"/>
    <w:rsid w:val="00DD6440"/>
    <w:rsid w:val="00DD67C6"/>
    <w:rsid w:val="00DD6E0D"/>
    <w:rsid w:val="00DD6ECA"/>
    <w:rsid w:val="00DD7741"/>
    <w:rsid w:val="00DD77B5"/>
    <w:rsid w:val="00DD7997"/>
    <w:rsid w:val="00DD7C12"/>
    <w:rsid w:val="00DD7C41"/>
    <w:rsid w:val="00DD7CA8"/>
    <w:rsid w:val="00DE05CB"/>
    <w:rsid w:val="00DE06C3"/>
    <w:rsid w:val="00DE06FC"/>
    <w:rsid w:val="00DE0F0A"/>
    <w:rsid w:val="00DE2013"/>
    <w:rsid w:val="00DE24AB"/>
    <w:rsid w:val="00DE2764"/>
    <w:rsid w:val="00DE2E2D"/>
    <w:rsid w:val="00DE388B"/>
    <w:rsid w:val="00DE4668"/>
    <w:rsid w:val="00DE497E"/>
    <w:rsid w:val="00DE4A37"/>
    <w:rsid w:val="00DE4C5E"/>
    <w:rsid w:val="00DE4CC1"/>
    <w:rsid w:val="00DE4E2D"/>
    <w:rsid w:val="00DE5E0F"/>
    <w:rsid w:val="00DE5E60"/>
    <w:rsid w:val="00DE5EE3"/>
    <w:rsid w:val="00DE602F"/>
    <w:rsid w:val="00DE65D1"/>
    <w:rsid w:val="00DE6859"/>
    <w:rsid w:val="00DE69AB"/>
    <w:rsid w:val="00DE6AD7"/>
    <w:rsid w:val="00DE6D7C"/>
    <w:rsid w:val="00DE6DD6"/>
    <w:rsid w:val="00DE6F02"/>
    <w:rsid w:val="00DE7076"/>
    <w:rsid w:val="00DE744E"/>
    <w:rsid w:val="00DE790E"/>
    <w:rsid w:val="00DE7C0B"/>
    <w:rsid w:val="00DF02AA"/>
    <w:rsid w:val="00DF02E3"/>
    <w:rsid w:val="00DF03DF"/>
    <w:rsid w:val="00DF0830"/>
    <w:rsid w:val="00DF12F6"/>
    <w:rsid w:val="00DF1500"/>
    <w:rsid w:val="00DF1CD5"/>
    <w:rsid w:val="00DF207F"/>
    <w:rsid w:val="00DF229F"/>
    <w:rsid w:val="00DF22E2"/>
    <w:rsid w:val="00DF2350"/>
    <w:rsid w:val="00DF28BA"/>
    <w:rsid w:val="00DF336D"/>
    <w:rsid w:val="00DF4386"/>
    <w:rsid w:val="00DF481A"/>
    <w:rsid w:val="00DF5188"/>
    <w:rsid w:val="00DF5571"/>
    <w:rsid w:val="00DF56C4"/>
    <w:rsid w:val="00DF589E"/>
    <w:rsid w:val="00DF5905"/>
    <w:rsid w:val="00DF5CFE"/>
    <w:rsid w:val="00DF5D4A"/>
    <w:rsid w:val="00DF5E8C"/>
    <w:rsid w:val="00DF60B2"/>
    <w:rsid w:val="00DF611B"/>
    <w:rsid w:val="00DF6260"/>
    <w:rsid w:val="00DF673C"/>
    <w:rsid w:val="00DF6E54"/>
    <w:rsid w:val="00DF7232"/>
    <w:rsid w:val="00DF7247"/>
    <w:rsid w:val="00DF7342"/>
    <w:rsid w:val="00DF74FA"/>
    <w:rsid w:val="00DF7765"/>
    <w:rsid w:val="00DF7A2C"/>
    <w:rsid w:val="00E002D7"/>
    <w:rsid w:val="00E009A4"/>
    <w:rsid w:val="00E00A86"/>
    <w:rsid w:val="00E00E93"/>
    <w:rsid w:val="00E0175A"/>
    <w:rsid w:val="00E017D4"/>
    <w:rsid w:val="00E01973"/>
    <w:rsid w:val="00E01AEA"/>
    <w:rsid w:val="00E01AED"/>
    <w:rsid w:val="00E01B5F"/>
    <w:rsid w:val="00E01DAA"/>
    <w:rsid w:val="00E020E7"/>
    <w:rsid w:val="00E023A3"/>
    <w:rsid w:val="00E02429"/>
    <w:rsid w:val="00E02A68"/>
    <w:rsid w:val="00E02C3B"/>
    <w:rsid w:val="00E0365D"/>
    <w:rsid w:val="00E03BF3"/>
    <w:rsid w:val="00E03C38"/>
    <w:rsid w:val="00E03C3D"/>
    <w:rsid w:val="00E03C96"/>
    <w:rsid w:val="00E04251"/>
    <w:rsid w:val="00E04476"/>
    <w:rsid w:val="00E04821"/>
    <w:rsid w:val="00E04DA0"/>
    <w:rsid w:val="00E054A9"/>
    <w:rsid w:val="00E05CAD"/>
    <w:rsid w:val="00E05E67"/>
    <w:rsid w:val="00E05EF3"/>
    <w:rsid w:val="00E05F54"/>
    <w:rsid w:val="00E0631D"/>
    <w:rsid w:val="00E06546"/>
    <w:rsid w:val="00E0656E"/>
    <w:rsid w:val="00E0681E"/>
    <w:rsid w:val="00E06A52"/>
    <w:rsid w:val="00E06E4B"/>
    <w:rsid w:val="00E06F1E"/>
    <w:rsid w:val="00E10135"/>
    <w:rsid w:val="00E10327"/>
    <w:rsid w:val="00E103A1"/>
    <w:rsid w:val="00E104D2"/>
    <w:rsid w:val="00E10A37"/>
    <w:rsid w:val="00E10A8E"/>
    <w:rsid w:val="00E10C90"/>
    <w:rsid w:val="00E10EDB"/>
    <w:rsid w:val="00E11191"/>
    <w:rsid w:val="00E118BF"/>
    <w:rsid w:val="00E12048"/>
    <w:rsid w:val="00E122AF"/>
    <w:rsid w:val="00E122BF"/>
    <w:rsid w:val="00E126FC"/>
    <w:rsid w:val="00E12EA6"/>
    <w:rsid w:val="00E1315C"/>
    <w:rsid w:val="00E1344F"/>
    <w:rsid w:val="00E13554"/>
    <w:rsid w:val="00E13AA5"/>
    <w:rsid w:val="00E13CB1"/>
    <w:rsid w:val="00E13DAF"/>
    <w:rsid w:val="00E143CD"/>
    <w:rsid w:val="00E14C97"/>
    <w:rsid w:val="00E152EF"/>
    <w:rsid w:val="00E157E1"/>
    <w:rsid w:val="00E15D5A"/>
    <w:rsid w:val="00E15F19"/>
    <w:rsid w:val="00E1626B"/>
    <w:rsid w:val="00E16747"/>
    <w:rsid w:val="00E16C2B"/>
    <w:rsid w:val="00E16E69"/>
    <w:rsid w:val="00E16EE3"/>
    <w:rsid w:val="00E17FC0"/>
    <w:rsid w:val="00E203CB"/>
    <w:rsid w:val="00E205EC"/>
    <w:rsid w:val="00E208E8"/>
    <w:rsid w:val="00E21031"/>
    <w:rsid w:val="00E21376"/>
    <w:rsid w:val="00E21D5C"/>
    <w:rsid w:val="00E21D70"/>
    <w:rsid w:val="00E21EB6"/>
    <w:rsid w:val="00E21EE7"/>
    <w:rsid w:val="00E2200A"/>
    <w:rsid w:val="00E2306D"/>
    <w:rsid w:val="00E23157"/>
    <w:rsid w:val="00E233A1"/>
    <w:rsid w:val="00E24283"/>
    <w:rsid w:val="00E2450D"/>
    <w:rsid w:val="00E24827"/>
    <w:rsid w:val="00E24870"/>
    <w:rsid w:val="00E248D2"/>
    <w:rsid w:val="00E24954"/>
    <w:rsid w:val="00E25A70"/>
    <w:rsid w:val="00E25CA1"/>
    <w:rsid w:val="00E26ED5"/>
    <w:rsid w:val="00E27512"/>
    <w:rsid w:val="00E27672"/>
    <w:rsid w:val="00E2795E"/>
    <w:rsid w:val="00E27B1A"/>
    <w:rsid w:val="00E3036E"/>
    <w:rsid w:val="00E30394"/>
    <w:rsid w:val="00E31DA3"/>
    <w:rsid w:val="00E320D6"/>
    <w:rsid w:val="00E326C5"/>
    <w:rsid w:val="00E32882"/>
    <w:rsid w:val="00E328F8"/>
    <w:rsid w:val="00E32A9C"/>
    <w:rsid w:val="00E32BFB"/>
    <w:rsid w:val="00E32EEB"/>
    <w:rsid w:val="00E332E0"/>
    <w:rsid w:val="00E33E94"/>
    <w:rsid w:val="00E3494E"/>
    <w:rsid w:val="00E3498D"/>
    <w:rsid w:val="00E3536D"/>
    <w:rsid w:val="00E354F4"/>
    <w:rsid w:val="00E35841"/>
    <w:rsid w:val="00E3585F"/>
    <w:rsid w:val="00E358FF"/>
    <w:rsid w:val="00E35B8E"/>
    <w:rsid w:val="00E35D3A"/>
    <w:rsid w:val="00E365C1"/>
    <w:rsid w:val="00E36A2D"/>
    <w:rsid w:val="00E36C18"/>
    <w:rsid w:val="00E372C2"/>
    <w:rsid w:val="00E37812"/>
    <w:rsid w:val="00E40675"/>
    <w:rsid w:val="00E40971"/>
    <w:rsid w:val="00E41493"/>
    <w:rsid w:val="00E419B1"/>
    <w:rsid w:val="00E421DE"/>
    <w:rsid w:val="00E42531"/>
    <w:rsid w:val="00E426AD"/>
    <w:rsid w:val="00E42823"/>
    <w:rsid w:val="00E42A02"/>
    <w:rsid w:val="00E42C51"/>
    <w:rsid w:val="00E4332F"/>
    <w:rsid w:val="00E43902"/>
    <w:rsid w:val="00E442EF"/>
    <w:rsid w:val="00E445F1"/>
    <w:rsid w:val="00E4493B"/>
    <w:rsid w:val="00E44D22"/>
    <w:rsid w:val="00E459CE"/>
    <w:rsid w:val="00E45A3A"/>
    <w:rsid w:val="00E45E2D"/>
    <w:rsid w:val="00E46071"/>
    <w:rsid w:val="00E467A7"/>
    <w:rsid w:val="00E46CA2"/>
    <w:rsid w:val="00E4741F"/>
    <w:rsid w:val="00E47FB8"/>
    <w:rsid w:val="00E50187"/>
    <w:rsid w:val="00E501BA"/>
    <w:rsid w:val="00E50756"/>
    <w:rsid w:val="00E50A0E"/>
    <w:rsid w:val="00E513D0"/>
    <w:rsid w:val="00E519D4"/>
    <w:rsid w:val="00E51D91"/>
    <w:rsid w:val="00E52511"/>
    <w:rsid w:val="00E52536"/>
    <w:rsid w:val="00E52815"/>
    <w:rsid w:val="00E528B7"/>
    <w:rsid w:val="00E52C79"/>
    <w:rsid w:val="00E52D87"/>
    <w:rsid w:val="00E53B88"/>
    <w:rsid w:val="00E53DE5"/>
    <w:rsid w:val="00E53E29"/>
    <w:rsid w:val="00E53F5C"/>
    <w:rsid w:val="00E54235"/>
    <w:rsid w:val="00E544DF"/>
    <w:rsid w:val="00E54B60"/>
    <w:rsid w:val="00E54DA7"/>
    <w:rsid w:val="00E54EB6"/>
    <w:rsid w:val="00E55A6E"/>
    <w:rsid w:val="00E55AFA"/>
    <w:rsid w:val="00E55CAB"/>
    <w:rsid w:val="00E56099"/>
    <w:rsid w:val="00E560CD"/>
    <w:rsid w:val="00E5627E"/>
    <w:rsid w:val="00E56343"/>
    <w:rsid w:val="00E563D9"/>
    <w:rsid w:val="00E57452"/>
    <w:rsid w:val="00E57537"/>
    <w:rsid w:val="00E577A3"/>
    <w:rsid w:val="00E57C97"/>
    <w:rsid w:val="00E57D5E"/>
    <w:rsid w:val="00E57FE0"/>
    <w:rsid w:val="00E60145"/>
    <w:rsid w:val="00E6032D"/>
    <w:rsid w:val="00E60624"/>
    <w:rsid w:val="00E6064D"/>
    <w:rsid w:val="00E60B42"/>
    <w:rsid w:val="00E60DD6"/>
    <w:rsid w:val="00E60E91"/>
    <w:rsid w:val="00E6115E"/>
    <w:rsid w:val="00E616D8"/>
    <w:rsid w:val="00E61EA0"/>
    <w:rsid w:val="00E6202E"/>
    <w:rsid w:val="00E6210C"/>
    <w:rsid w:val="00E62596"/>
    <w:rsid w:val="00E62717"/>
    <w:rsid w:val="00E62A6C"/>
    <w:rsid w:val="00E62C16"/>
    <w:rsid w:val="00E62DEC"/>
    <w:rsid w:val="00E633A7"/>
    <w:rsid w:val="00E639FF"/>
    <w:rsid w:val="00E64028"/>
    <w:rsid w:val="00E642C5"/>
    <w:rsid w:val="00E64BE3"/>
    <w:rsid w:val="00E64D4D"/>
    <w:rsid w:val="00E64E40"/>
    <w:rsid w:val="00E65A3F"/>
    <w:rsid w:val="00E65AF2"/>
    <w:rsid w:val="00E66814"/>
    <w:rsid w:val="00E66B7B"/>
    <w:rsid w:val="00E67241"/>
    <w:rsid w:val="00E67441"/>
    <w:rsid w:val="00E677B8"/>
    <w:rsid w:val="00E67C5F"/>
    <w:rsid w:val="00E67C99"/>
    <w:rsid w:val="00E70708"/>
    <w:rsid w:val="00E70750"/>
    <w:rsid w:val="00E70AF2"/>
    <w:rsid w:val="00E70B7A"/>
    <w:rsid w:val="00E71700"/>
    <w:rsid w:val="00E719DB"/>
    <w:rsid w:val="00E71C11"/>
    <w:rsid w:val="00E71E7A"/>
    <w:rsid w:val="00E71F51"/>
    <w:rsid w:val="00E72649"/>
    <w:rsid w:val="00E72D6C"/>
    <w:rsid w:val="00E72EE7"/>
    <w:rsid w:val="00E739A5"/>
    <w:rsid w:val="00E73C5B"/>
    <w:rsid w:val="00E73D64"/>
    <w:rsid w:val="00E73DEF"/>
    <w:rsid w:val="00E73FFA"/>
    <w:rsid w:val="00E74ADC"/>
    <w:rsid w:val="00E74BB6"/>
    <w:rsid w:val="00E7550E"/>
    <w:rsid w:val="00E7555C"/>
    <w:rsid w:val="00E7574D"/>
    <w:rsid w:val="00E76C26"/>
    <w:rsid w:val="00E76E0C"/>
    <w:rsid w:val="00E775C9"/>
    <w:rsid w:val="00E77612"/>
    <w:rsid w:val="00E776A5"/>
    <w:rsid w:val="00E77AEA"/>
    <w:rsid w:val="00E77DF8"/>
    <w:rsid w:val="00E77F33"/>
    <w:rsid w:val="00E80550"/>
    <w:rsid w:val="00E80EB8"/>
    <w:rsid w:val="00E80EED"/>
    <w:rsid w:val="00E8148C"/>
    <w:rsid w:val="00E81512"/>
    <w:rsid w:val="00E81BCD"/>
    <w:rsid w:val="00E81C37"/>
    <w:rsid w:val="00E81DE6"/>
    <w:rsid w:val="00E81F55"/>
    <w:rsid w:val="00E82222"/>
    <w:rsid w:val="00E82470"/>
    <w:rsid w:val="00E8267E"/>
    <w:rsid w:val="00E82750"/>
    <w:rsid w:val="00E827FD"/>
    <w:rsid w:val="00E829A2"/>
    <w:rsid w:val="00E830BC"/>
    <w:rsid w:val="00E83261"/>
    <w:rsid w:val="00E832D3"/>
    <w:rsid w:val="00E83370"/>
    <w:rsid w:val="00E835BE"/>
    <w:rsid w:val="00E83F7D"/>
    <w:rsid w:val="00E847DB"/>
    <w:rsid w:val="00E84935"/>
    <w:rsid w:val="00E849AF"/>
    <w:rsid w:val="00E849BE"/>
    <w:rsid w:val="00E84B1A"/>
    <w:rsid w:val="00E84BE3"/>
    <w:rsid w:val="00E84E2B"/>
    <w:rsid w:val="00E84E8C"/>
    <w:rsid w:val="00E853A4"/>
    <w:rsid w:val="00E85A43"/>
    <w:rsid w:val="00E85AC3"/>
    <w:rsid w:val="00E85BC4"/>
    <w:rsid w:val="00E85E94"/>
    <w:rsid w:val="00E864D5"/>
    <w:rsid w:val="00E86757"/>
    <w:rsid w:val="00E869C2"/>
    <w:rsid w:val="00E87369"/>
    <w:rsid w:val="00E873DF"/>
    <w:rsid w:val="00E87758"/>
    <w:rsid w:val="00E90B5F"/>
    <w:rsid w:val="00E910E3"/>
    <w:rsid w:val="00E9170C"/>
    <w:rsid w:val="00E91BA8"/>
    <w:rsid w:val="00E91F09"/>
    <w:rsid w:val="00E9208C"/>
    <w:rsid w:val="00E92386"/>
    <w:rsid w:val="00E92453"/>
    <w:rsid w:val="00E93437"/>
    <w:rsid w:val="00E9391B"/>
    <w:rsid w:val="00E93AF0"/>
    <w:rsid w:val="00E93E67"/>
    <w:rsid w:val="00E94174"/>
    <w:rsid w:val="00E9429A"/>
    <w:rsid w:val="00E94393"/>
    <w:rsid w:val="00E94AD9"/>
    <w:rsid w:val="00E94B67"/>
    <w:rsid w:val="00E95380"/>
    <w:rsid w:val="00E9545B"/>
    <w:rsid w:val="00E95467"/>
    <w:rsid w:val="00E956D8"/>
    <w:rsid w:val="00E95ACA"/>
    <w:rsid w:val="00E95C56"/>
    <w:rsid w:val="00E95E9A"/>
    <w:rsid w:val="00E95EAF"/>
    <w:rsid w:val="00E95FF7"/>
    <w:rsid w:val="00E96445"/>
    <w:rsid w:val="00E96842"/>
    <w:rsid w:val="00E97441"/>
    <w:rsid w:val="00E97B89"/>
    <w:rsid w:val="00E97EE4"/>
    <w:rsid w:val="00E97FBA"/>
    <w:rsid w:val="00EA0541"/>
    <w:rsid w:val="00EA073D"/>
    <w:rsid w:val="00EA0A46"/>
    <w:rsid w:val="00EA0BC5"/>
    <w:rsid w:val="00EA0F26"/>
    <w:rsid w:val="00EA1151"/>
    <w:rsid w:val="00EA156F"/>
    <w:rsid w:val="00EA1883"/>
    <w:rsid w:val="00EA1A5E"/>
    <w:rsid w:val="00EA1AF8"/>
    <w:rsid w:val="00EA1CC4"/>
    <w:rsid w:val="00EA1DEE"/>
    <w:rsid w:val="00EA247B"/>
    <w:rsid w:val="00EA248B"/>
    <w:rsid w:val="00EA2A21"/>
    <w:rsid w:val="00EA2A85"/>
    <w:rsid w:val="00EA2DB9"/>
    <w:rsid w:val="00EA2E20"/>
    <w:rsid w:val="00EA3358"/>
    <w:rsid w:val="00EA3414"/>
    <w:rsid w:val="00EA34CC"/>
    <w:rsid w:val="00EA35DD"/>
    <w:rsid w:val="00EA3AF9"/>
    <w:rsid w:val="00EA3B2D"/>
    <w:rsid w:val="00EA40A0"/>
    <w:rsid w:val="00EA4127"/>
    <w:rsid w:val="00EA4410"/>
    <w:rsid w:val="00EA449A"/>
    <w:rsid w:val="00EA44A1"/>
    <w:rsid w:val="00EA489E"/>
    <w:rsid w:val="00EA48CF"/>
    <w:rsid w:val="00EA4C7E"/>
    <w:rsid w:val="00EA4E74"/>
    <w:rsid w:val="00EA561E"/>
    <w:rsid w:val="00EA583F"/>
    <w:rsid w:val="00EA5AD7"/>
    <w:rsid w:val="00EA5C39"/>
    <w:rsid w:val="00EA6638"/>
    <w:rsid w:val="00EA6A5C"/>
    <w:rsid w:val="00EA6A85"/>
    <w:rsid w:val="00EA739F"/>
    <w:rsid w:val="00EA754C"/>
    <w:rsid w:val="00EA78CA"/>
    <w:rsid w:val="00EA7E09"/>
    <w:rsid w:val="00EB03C4"/>
    <w:rsid w:val="00EB06BB"/>
    <w:rsid w:val="00EB10F7"/>
    <w:rsid w:val="00EB1898"/>
    <w:rsid w:val="00EB1A68"/>
    <w:rsid w:val="00EB1AE3"/>
    <w:rsid w:val="00EB1B7A"/>
    <w:rsid w:val="00EB1BC6"/>
    <w:rsid w:val="00EB1C8B"/>
    <w:rsid w:val="00EB2041"/>
    <w:rsid w:val="00EB20AA"/>
    <w:rsid w:val="00EB27FD"/>
    <w:rsid w:val="00EB2FFC"/>
    <w:rsid w:val="00EB3941"/>
    <w:rsid w:val="00EB407F"/>
    <w:rsid w:val="00EB4400"/>
    <w:rsid w:val="00EB49DF"/>
    <w:rsid w:val="00EB4B3D"/>
    <w:rsid w:val="00EB4D1F"/>
    <w:rsid w:val="00EB50BB"/>
    <w:rsid w:val="00EB51E5"/>
    <w:rsid w:val="00EB522A"/>
    <w:rsid w:val="00EB5605"/>
    <w:rsid w:val="00EB5C3E"/>
    <w:rsid w:val="00EB5C9A"/>
    <w:rsid w:val="00EB6148"/>
    <w:rsid w:val="00EB64F5"/>
    <w:rsid w:val="00EB65B1"/>
    <w:rsid w:val="00EB66B9"/>
    <w:rsid w:val="00EB6E2B"/>
    <w:rsid w:val="00EB6F41"/>
    <w:rsid w:val="00EB6F78"/>
    <w:rsid w:val="00EB71CE"/>
    <w:rsid w:val="00EB755F"/>
    <w:rsid w:val="00EC01E0"/>
    <w:rsid w:val="00EC0234"/>
    <w:rsid w:val="00EC044A"/>
    <w:rsid w:val="00EC0628"/>
    <w:rsid w:val="00EC10D4"/>
    <w:rsid w:val="00EC19F5"/>
    <w:rsid w:val="00EC1ADF"/>
    <w:rsid w:val="00EC1D1B"/>
    <w:rsid w:val="00EC1DE4"/>
    <w:rsid w:val="00EC1E12"/>
    <w:rsid w:val="00EC1F42"/>
    <w:rsid w:val="00EC20A7"/>
    <w:rsid w:val="00EC2576"/>
    <w:rsid w:val="00EC272A"/>
    <w:rsid w:val="00EC2810"/>
    <w:rsid w:val="00EC28A5"/>
    <w:rsid w:val="00EC2B2A"/>
    <w:rsid w:val="00EC34DC"/>
    <w:rsid w:val="00EC3B06"/>
    <w:rsid w:val="00EC3B83"/>
    <w:rsid w:val="00EC3C46"/>
    <w:rsid w:val="00EC3E78"/>
    <w:rsid w:val="00EC3E99"/>
    <w:rsid w:val="00EC42D4"/>
    <w:rsid w:val="00EC4AA9"/>
    <w:rsid w:val="00EC4BA8"/>
    <w:rsid w:val="00EC4E5E"/>
    <w:rsid w:val="00EC5506"/>
    <w:rsid w:val="00EC5DF9"/>
    <w:rsid w:val="00EC6023"/>
    <w:rsid w:val="00EC6B9D"/>
    <w:rsid w:val="00EC6C57"/>
    <w:rsid w:val="00EC6D05"/>
    <w:rsid w:val="00EC6FA3"/>
    <w:rsid w:val="00EC712D"/>
    <w:rsid w:val="00EC7687"/>
    <w:rsid w:val="00EC78DC"/>
    <w:rsid w:val="00EC7D94"/>
    <w:rsid w:val="00ED01C9"/>
    <w:rsid w:val="00ED0665"/>
    <w:rsid w:val="00ED0E24"/>
    <w:rsid w:val="00ED143E"/>
    <w:rsid w:val="00ED16AC"/>
    <w:rsid w:val="00ED292F"/>
    <w:rsid w:val="00ED2BD8"/>
    <w:rsid w:val="00ED2CF8"/>
    <w:rsid w:val="00ED2DE0"/>
    <w:rsid w:val="00ED31C7"/>
    <w:rsid w:val="00ED3ECB"/>
    <w:rsid w:val="00ED416D"/>
    <w:rsid w:val="00ED49ED"/>
    <w:rsid w:val="00ED4E14"/>
    <w:rsid w:val="00ED51BB"/>
    <w:rsid w:val="00ED5250"/>
    <w:rsid w:val="00ED52ED"/>
    <w:rsid w:val="00ED5494"/>
    <w:rsid w:val="00ED60C1"/>
    <w:rsid w:val="00ED630F"/>
    <w:rsid w:val="00ED635D"/>
    <w:rsid w:val="00ED7012"/>
    <w:rsid w:val="00ED709B"/>
    <w:rsid w:val="00ED7261"/>
    <w:rsid w:val="00ED75B6"/>
    <w:rsid w:val="00ED75E3"/>
    <w:rsid w:val="00ED776A"/>
    <w:rsid w:val="00ED77B1"/>
    <w:rsid w:val="00ED78EC"/>
    <w:rsid w:val="00ED7FA2"/>
    <w:rsid w:val="00EE0256"/>
    <w:rsid w:val="00EE0499"/>
    <w:rsid w:val="00EE1999"/>
    <w:rsid w:val="00EE1AC2"/>
    <w:rsid w:val="00EE1C17"/>
    <w:rsid w:val="00EE21B1"/>
    <w:rsid w:val="00EE29AE"/>
    <w:rsid w:val="00EE333B"/>
    <w:rsid w:val="00EE3682"/>
    <w:rsid w:val="00EE3684"/>
    <w:rsid w:val="00EE3E3D"/>
    <w:rsid w:val="00EE415A"/>
    <w:rsid w:val="00EE418E"/>
    <w:rsid w:val="00EE4A25"/>
    <w:rsid w:val="00EE4DF6"/>
    <w:rsid w:val="00EE4F31"/>
    <w:rsid w:val="00EE4FEF"/>
    <w:rsid w:val="00EE5FB5"/>
    <w:rsid w:val="00EE6518"/>
    <w:rsid w:val="00EE66BF"/>
    <w:rsid w:val="00EE6FC9"/>
    <w:rsid w:val="00EE7828"/>
    <w:rsid w:val="00EE7947"/>
    <w:rsid w:val="00EE7DCD"/>
    <w:rsid w:val="00EE7EFA"/>
    <w:rsid w:val="00EF0C70"/>
    <w:rsid w:val="00EF0DC5"/>
    <w:rsid w:val="00EF1476"/>
    <w:rsid w:val="00EF1545"/>
    <w:rsid w:val="00EF17EC"/>
    <w:rsid w:val="00EF19DF"/>
    <w:rsid w:val="00EF1BE4"/>
    <w:rsid w:val="00EF1C11"/>
    <w:rsid w:val="00EF207B"/>
    <w:rsid w:val="00EF2A28"/>
    <w:rsid w:val="00EF314E"/>
    <w:rsid w:val="00EF31FB"/>
    <w:rsid w:val="00EF4206"/>
    <w:rsid w:val="00EF42FF"/>
    <w:rsid w:val="00EF5435"/>
    <w:rsid w:val="00EF545F"/>
    <w:rsid w:val="00EF5CE2"/>
    <w:rsid w:val="00EF5DB3"/>
    <w:rsid w:val="00EF6311"/>
    <w:rsid w:val="00EF6632"/>
    <w:rsid w:val="00EF6A0F"/>
    <w:rsid w:val="00EF6B4D"/>
    <w:rsid w:val="00EF6FBC"/>
    <w:rsid w:val="00EF7351"/>
    <w:rsid w:val="00EF7A47"/>
    <w:rsid w:val="00EF7A9F"/>
    <w:rsid w:val="00EF7D1B"/>
    <w:rsid w:val="00F005E5"/>
    <w:rsid w:val="00F00991"/>
    <w:rsid w:val="00F00E21"/>
    <w:rsid w:val="00F01552"/>
    <w:rsid w:val="00F0191B"/>
    <w:rsid w:val="00F01B9C"/>
    <w:rsid w:val="00F01CCF"/>
    <w:rsid w:val="00F01EFC"/>
    <w:rsid w:val="00F01FEE"/>
    <w:rsid w:val="00F021DD"/>
    <w:rsid w:val="00F03489"/>
    <w:rsid w:val="00F03E99"/>
    <w:rsid w:val="00F03ED6"/>
    <w:rsid w:val="00F04660"/>
    <w:rsid w:val="00F04812"/>
    <w:rsid w:val="00F04C13"/>
    <w:rsid w:val="00F04DE6"/>
    <w:rsid w:val="00F05459"/>
    <w:rsid w:val="00F054EC"/>
    <w:rsid w:val="00F05A15"/>
    <w:rsid w:val="00F05A80"/>
    <w:rsid w:val="00F05DE2"/>
    <w:rsid w:val="00F0608C"/>
    <w:rsid w:val="00F06491"/>
    <w:rsid w:val="00F06693"/>
    <w:rsid w:val="00F06BA2"/>
    <w:rsid w:val="00F06F26"/>
    <w:rsid w:val="00F06F4E"/>
    <w:rsid w:val="00F074A9"/>
    <w:rsid w:val="00F07549"/>
    <w:rsid w:val="00F07705"/>
    <w:rsid w:val="00F0777C"/>
    <w:rsid w:val="00F07DAB"/>
    <w:rsid w:val="00F108F2"/>
    <w:rsid w:val="00F10DAD"/>
    <w:rsid w:val="00F11137"/>
    <w:rsid w:val="00F11658"/>
    <w:rsid w:val="00F11C8C"/>
    <w:rsid w:val="00F11F40"/>
    <w:rsid w:val="00F12015"/>
    <w:rsid w:val="00F136FF"/>
    <w:rsid w:val="00F13AEE"/>
    <w:rsid w:val="00F13DFE"/>
    <w:rsid w:val="00F14294"/>
    <w:rsid w:val="00F1442D"/>
    <w:rsid w:val="00F14501"/>
    <w:rsid w:val="00F146F0"/>
    <w:rsid w:val="00F14987"/>
    <w:rsid w:val="00F15286"/>
    <w:rsid w:val="00F1557C"/>
    <w:rsid w:val="00F160C3"/>
    <w:rsid w:val="00F168A9"/>
    <w:rsid w:val="00F16CC6"/>
    <w:rsid w:val="00F16F3E"/>
    <w:rsid w:val="00F172CB"/>
    <w:rsid w:val="00F1761F"/>
    <w:rsid w:val="00F17EC4"/>
    <w:rsid w:val="00F20843"/>
    <w:rsid w:val="00F20B4C"/>
    <w:rsid w:val="00F217BE"/>
    <w:rsid w:val="00F21F74"/>
    <w:rsid w:val="00F22115"/>
    <w:rsid w:val="00F222E5"/>
    <w:rsid w:val="00F22E19"/>
    <w:rsid w:val="00F238E4"/>
    <w:rsid w:val="00F239D1"/>
    <w:rsid w:val="00F24A9D"/>
    <w:rsid w:val="00F24D50"/>
    <w:rsid w:val="00F254B5"/>
    <w:rsid w:val="00F25A8E"/>
    <w:rsid w:val="00F25DEF"/>
    <w:rsid w:val="00F262CD"/>
    <w:rsid w:val="00F268BA"/>
    <w:rsid w:val="00F2730E"/>
    <w:rsid w:val="00F27631"/>
    <w:rsid w:val="00F277AD"/>
    <w:rsid w:val="00F279EF"/>
    <w:rsid w:val="00F303BE"/>
    <w:rsid w:val="00F306E0"/>
    <w:rsid w:val="00F30CC9"/>
    <w:rsid w:val="00F31053"/>
    <w:rsid w:val="00F312B0"/>
    <w:rsid w:val="00F315E4"/>
    <w:rsid w:val="00F31F58"/>
    <w:rsid w:val="00F320AF"/>
    <w:rsid w:val="00F32BF3"/>
    <w:rsid w:val="00F32CA8"/>
    <w:rsid w:val="00F33189"/>
    <w:rsid w:val="00F33270"/>
    <w:rsid w:val="00F333B1"/>
    <w:rsid w:val="00F3344B"/>
    <w:rsid w:val="00F337DE"/>
    <w:rsid w:val="00F33920"/>
    <w:rsid w:val="00F33D2A"/>
    <w:rsid w:val="00F33D8B"/>
    <w:rsid w:val="00F33DAF"/>
    <w:rsid w:val="00F33FF6"/>
    <w:rsid w:val="00F34180"/>
    <w:rsid w:val="00F34619"/>
    <w:rsid w:val="00F34B81"/>
    <w:rsid w:val="00F34EE0"/>
    <w:rsid w:val="00F3542C"/>
    <w:rsid w:val="00F356C7"/>
    <w:rsid w:val="00F35F4B"/>
    <w:rsid w:val="00F36211"/>
    <w:rsid w:val="00F36275"/>
    <w:rsid w:val="00F3678D"/>
    <w:rsid w:val="00F369E7"/>
    <w:rsid w:val="00F36AA6"/>
    <w:rsid w:val="00F36B1C"/>
    <w:rsid w:val="00F36CF5"/>
    <w:rsid w:val="00F36DB3"/>
    <w:rsid w:val="00F36EFC"/>
    <w:rsid w:val="00F37871"/>
    <w:rsid w:val="00F379D4"/>
    <w:rsid w:val="00F400CF"/>
    <w:rsid w:val="00F40761"/>
    <w:rsid w:val="00F40C55"/>
    <w:rsid w:val="00F412B1"/>
    <w:rsid w:val="00F41584"/>
    <w:rsid w:val="00F41630"/>
    <w:rsid w:val="00F41A1D"/>
    <w:rsid w:val="00F41D0E"/>
    <w:rsid w:val="00F41DE7"/>
    <w:rsid w:val="00F41FFF"/>
    <w:rsid w:val="00F42915"/>
    <w:rsid w:val="00F42945"/>
    <w:rsid w:val="00F42AAD"/>
    <w:rsid w:val="00F43073"/>
    <w:rsid w:val="00F4321A"/>
    <w:rsid w:val="00F4322B"/>
    <w:rsid w:val="00F43B23"/>
    <w:rsid w:val="00F43E82"/>
    <w:rsid w:val="00F43FCE"/>
    <w:rsid w:val="00F441FB"/>
    <w:rsid w:val="00F44418"/>
    <w:rsid w:val="00F4442A"/>
    <w:rsid w:val="00F446F5"/>
    <w:rsid w:val="00F451CB"/>
    <w:rsid w:val="00F4564D"/>
    <w:rsid w:val="00F45A77"/>
    <w:rsid w:val="00F45F74"/>
    <w:rsid w:val="00F465BA"/>
    <w:rsid w:val="00F47D61"/>
    <w:rsid w:val="00F50299"/>
    <w:rsid w:val="00F50BCD"/>
    <w:rsid w:val="00F50EE6"/>
    <w:rsid w:val="00F5102A"/>
    <w:rsid w:val="00F51068"/>
    <w:rsid w:val="00F51214"/>
    <w:rsid w:val="00F519F7"/>
    <w:rsid w:val="00F51F32"/>
    <w:rsid w:val="00F52488"/>
    <w:rsid w:val="00F5265D"/>
    <w:rsid w:val="00F52A02"/>
    <w:rsid w:val="00F5370A"/>
    <w:rsid w:val="00F5393A"/>
    <w:rsid w:val="00F54526"/>
    <w:rsid w:val="00F54593"/>
    <w:rsid w:val="00F5494E"/>
    <w:rsid w:val="00F54CC4"/>
    <w:rsid w:val="00F54E80"/>
    <w:rsid w:val="00F55229"/>
    <w:rsid w:val="00F55881"/>
    <w:rsid w:val="00F55929"/>
    <w:rsid w:val="00F55B70"/>
    <w:rsid w:val="00F55BB0"/>
    <w:rsid w:val="00F55FF2"/>
    <w:rsid w:val="00F564F4"/>
    <w:rsid w:val="00F565EE"/>
    <w:rsid w:val="00F56C99"/>
    <w:rsid w:val="00F5754D"/>
    <w:rsid w:val="00F57572"/>
    <w:rsid w:val="00F57CB7"/>
    <w:rsid w:val="00F60043"/>
    <w:rsid w:val="00F61147"/>
    <w:rsid w:val="00F6157B"/>
    <w:rsid w:val="00F6164F"/>
    <w:rsid w:val="00F61C93"/>
    <w:rsid w:val="00F621F3"/>
    <w:rsid w:val="00F623FB"/>
    <w:rsid w:val="00F62A29"/>
    <w:rsid w:val="00F62BFC"/>
    <w:rsid w:val="00F632AB"/>
    <w:rsid w:val="00F63A8F"/>
    <w:rsid w:val="00F63D80"/>
    <w:rsid w:val="00F63F37"/>
    <w:rsid w:val="00F645DE"/>
    <w:rsid w:val="00F64697"/>
    <w:rsid w:val="00F6490D"/>
    <w:rsid w:val="00F64CA8"/>
    <w:rsid w:val="00F64CF0"/>
    <w:rsid w:val="00F64D3A"/>
    <w:rsid w:val="00F64F25"/>
    <w:rsid w:val="00F64F43"/>
    <w:rsid w:val="00F65604"/>
    <w:rsid w:val="00F65DC2"/>
    <w:rsid w:val="00F66054"/>
    <w:rsid w:val="00F66305"/>
    <w:rsid w:val="00F66605"/>
    <w:rsid w:val="00F666D6"/>
    <w:rsid w:val="00F66761"/>
    <w:rsid w:val="00F66986"/>
    <w:rsid w:val="00F6708C"/>
    <w:rsid w:val="00F672EC"/>
    <w:rsid w:val="00F6762D"/>
    <w:rsid w:val="00F67934"/>
    <w:rsid w:val="00F700BB"/>
    <w:rsid w:val="00F700FE"/>
    <w:rsid w:val="00F7018B"/>
    <w:rsid w:val="00F70221"/>
    <w:rsid w:val="00F70AD8"/>
    <w:rsid w:val="00F70C11"/>
    <w:rsid w:val="00F70C14"/>
    <w:rsid w:val="00F7150F"/>
    <w:rsid w:val="00F7153B"/>
    <w:rsid w:val="00F715C1"/>
    <w:rsid w:val="00F71760"/>
    <w:rsid w:val="00F71902"/>
    <w:rsid w:val="00F71912"/>
    <w:rsid w:val="00F726A4"/>
    <w:rsid w:val="00F72B4C"/>
    <w:rsid w:val="00F72E07"/>
    <w:rsid w:val="00F73043"/>
    <w:rsid w:val="00F73E91"/>
    <w:rsid w:val="00F7445D"/>
    <w:rsid w:val="00F74925"/>
    <w:rsid w:val="00F74995"/>
    <w:rsid w:val="00F751F1"/>
    <w:rsid w:val="00F756AE"/>
    <w:rsid w:val="00F75722"/>
    <w:rsid w:val="00F757CB"/>
    <w:rsid w:val="00F75CD1"/>
    <w:rsid w:val="00F75CDB"/>
    <w:rsid w:val="00F75ECD"/>
    <w:rsid w:val="00F76ADA"/>
    <w:rsid w:val="00F77123"/>
    <w:rsid w:val="00F77139"/>
    <w:rsid w:val="00F77355"/>
    <w:rsid w:val="00F775B4"/>
    <w:rsid w:val="00F779E9"/>
    <w:rsid w:val="00F804ED"/>
    <w:rsid w:val="00F80646"/>
    <w:rsid w:val="00F80CBD"/>
    <w:rsid w:val="00F80E86"/>
    <w:rsid w:val="00F8119E"/>
    <w:rsid w:val="00F8142E"/>
    <w:rsid w:val="00F815CD"/>
    <w:rsid w:val="00F81854"/>
    <w:rsid w:val="00F81C77"/>
    <w:rsid w:val="00F81DCA"/>
    <w:rsid w:val="00F81E7A"/>
    <w:rsid w:val="00F82626"/>
    <w:rsid w:val="00F82FDC"/>
    <w:rsid w:val="00F830E1"/>
    <w:rsid w:val="00F834B0"/>
    <w:rsid w:val="00F83B4B"/>
    <w:rsid w:val="00F83F84"/>
    <w:rsid w:val="00F8492E"/>
    <w:rsid w:val="00F84BB8"/>
    <w:rsid w:val="00F84E32"/>
    <w:rsid w:val="00F84EB3"/>
    <w:rsid w:val="00F85379"/>
    <w:rsid w:val="00F85537"/>
    <w:rsid w:val="00F85569"/>
    <w:rsid w:val="00F8595B"/>
    <w:rsid w:val="00F85F8F"/>
    <w:rsid w:val="00F86BC2"/>
    <w:rsid w:val="00F86D74"/>
    <w:rsid w:val="00F86EDB"/>
    <w:rsid w:val="00F87406"/>
    <w:rsid w:val="00F875B5"/>
    <w:rsid w:val="00F87A63"/>
    <w:rsid w:val="00F87C7D"/>
    <w:rsid w:val="00F905D4"/>
    <w:rsid w:val="00F9084B"/>
    <w:rsid w:val="00F909B6"/>
    <w:rsid w:val="00F90D37"/>
    <w:rsid w:val="00F90D9E"/>
    <w:rsid w:val="00F91339"/>
    <w:rsid w:val="00F91462"/>
    <w:rsid w:val="00F91565"/>
    <w:rsid w:val="00F9357D"/>
    <w:rsid w:val="00F94627"/>
    <w:rsid w:val="00F947C6"/>
    <w:rsid w:val="00F94816"/>
    <w:rsid w:val="00F95059"/>
    <w:rsid w:val="00F9517C"/>
    <w:rsid w:val="00F95202"/>
    <w:rsid w:val="00F955A2"/>
    <w:rsid w:val="00F95707"/>
    <w:rsid w:val="00F95B02"/>
    <w:rsid w:val="00F9603B"/>
    <w:rsid w:val="00F96217"/>
    <w:rsid w:val="00F96229"/>
    <w:rsid w:val="00F96E88"/>
    <w:rsid w:val="00F96ECB"/>
    <w:rsid w:val="00F96FB4"/>
    <w:rsid w:val="00F97A06"/>
    <w:rsid w:val="00FA005A"/>
    <w:rsid w:val="00FA0152"/>
    <w:rsid w:val="00FA0668"/>
    <w:rsid w:val="00FA0F6F"/>
    <w:rsid w:val="00FA133C"/>
    <w:rsid w:val="00FA1D63"/>
    <w:rsid w:val="00FA2135"/>
    <w:rsid w:val="00FA2679"/>
    <w:rsid w:val="00FA26B6"/>
    <w:rsid w:val="00FA2D20"/>
    <w:rsid w:val="00FA2D75"/>
    <w:rsid w:val="00FA2D83"/>
    <w:rsid w:val="00FA336F"/>
    <w:rsid w:val="00FA390F"/>
    <w:rsid w:val="00FA3C5E"/>
    <w:rsid w:val="00FA3D13"/>
    <w:rsid w:val="00FA3D29"/>
    <w:rsid w:val="00FA3F64"/>
    <w:rsid w:val="00FA4812"/>
    <w:rsid w:val="00FA4BC8"/>
    <w:rsid w:val="00FA4BD2"/>
    <w:rsid w:val="00FA4D72"/>
    <w:rsid w:val="00FA501B"/>
    <w:rsid w:val="00FA5131"/>
    <w:rsid w:val="00FA5281"/>
    <w:rsid w:val="00FA5366"/>
    <w:rsid w:val="00FA559A"/>
    <w:rsid w:val="00FA5831"/>
    <w:rsid w:val="00FA5ABE"/>
    <w:rsid w:val="00FA5F7B"/>
    <w:rsid w:val="00FA5FE7"/>
    <w:rsid w:val="00FA660A"/>
    <w:rsid w:val="00FA6E28"/>
    <w:rsid w:val="00FA6E5B"/>
    <w:rsid w:val="00FA7262"/>
    <w:rsid w:val="00FA7574"/>
    <w:rsid w:val="00FA78BD"/>
    <w:rsid w:val="00FB0284"/>
    <w:rsid w:val="00FB039C"/>
    <w:rsid w:val="00FB0840"/>
    <w:rsid w:val="00FB0E4E"/>
    <w:rsid w:val="00FB1155"/>
    <w:rsid w:val="00FB15C7"/>
    <w:rsid w:val="00FB189D"/>
    <w:rsid w:val="00FB1CD4"/>
    <w:rsid w:val="00FB1E6B"/>
    <w:rsid w:val="00FB20C8"/>
    <w:rsid w:val="00FB2741"/>
    <w:rsid w:val="00FB2994"/>
    <w:rsid w:val="00FB2EFE"/>
    <w:rsid w:val="00FB3130"/>
    <w:rsid w:val="00FB3240"/>
    <w:rsid w:val="00FB426A"/>
    <w:rsid w:val="00FB4956"/>
    <w:rsid w:val="00FB509B"/>
    <w:rsid w:val="00FB58E6"/>
    <w:rsid w:val="00FB5EC3"/>
    <w:rsid w:val="00FB609F"/>
    <w:rsid w:val="00FB6273"/>
    <w:rsid w:val="00FB6FE9"/>
    <w:rsid w:val="00FB753F"/>
    <w:rsid w:val="00FB758A"/>
    <w:rsid w:val="00FC030C"/>
    <w:rsid w:val="00FC106F"/>
    <w:rsid w:val="00FC10B0"/>
    <w:rsid w:val="00FC12DC"/>
    <w:rsid w:val="00FC14BC"/>
    <w:rsid w:val="00FC1AD3"/>
    <w:rsid w:val="00FC1B7A"/>
    <w:rsid w:val="00FC1FC6"/>
    <w:rsid w:val="00FC2718"/>
    <w:rsid w:val="00FC2A36"/>
    <w:rsid w:val="00FC33C2"/>
    <w:rsid w:val="00FC37A0"/>
    <w:rsid w:val="00FC3E1E"/>
    <w:rsid w:val="00FC4552"/>
    <w:rsid w:val="00FC4DFC"/>
    <w:rsid w:val="00FC508E"/>
    <w:rsid w:val="00FC5096"/>
    <w:rsid w:val="00FC5297"/>
    <w:rsid w:val="00FC58CC"/>
    <w:rsid w:val="00FC5AE2"/>
    <w:rsid w:val="00FC5C64"/>
    <w:rsid w:val="00FC6129"/>
    <w:rsid w:val="00FC61E5"/>
    <w:rsid w:val="00FC6505"/>
    <w:rsid w:val="00FC72B3"/>
    <w:rsid w:val="00FC7462"/>
    <w:rsid w:val="00FC7C99"/>
    <w:rsid w:val="00FC7EE7"/>
    <w:rsid w:val="00FD033B"/>
    <w:rsid w:val="00FD0841"/>
    <w:rsid w:val="00FD0C2F"/>
    <w:rsid w:val="00FD0D51"/>
    <w:rsid w:val="00FD139A"/>
    <w:rsid w:val="00FD13F8"/>
    <w:rsid w:val="00FD143B"/>
    <w:rsid w:val="00FD1A3E"/>
    <w:rsid w:val="00FD1BC7"/>
    <w:rsid w:val="00FD1DC4"/>
    <w:rsid w:val="00FD2056"/>
    <w:rsid w:val="00FD3169"/>
    <w:rsid w:val="00FD3747"/>
    <w:rsid w:val="00FD4A34"/>
    <w:rsid w:val="00FD4EEF"/>
    <w:rsid w:val="00FD510D"/>
    <w:rsid w:val="00FD518E"/>
    <w:rsid w:val="00FD54E8"/>
    <w:rsid w:val="00FD5AE0"/>
    <w:rsid w:val="00FD5B67"/>
    <w:rsid w:val="00FD5BC0"/>
    <w:rsid w:val="00FD5F74"/>
    <w:rsid w:val="00FD5FC6"/>
    <w:rsid w:val="00FD6074"/>
    <w:rsid w:val="00FD60F8"/>
    <w:rsid w:val="00FD661E"/>
    <w:rsid w:val="00FD6CC6"/>
    <w:rsid w:val="00FD6FB2"/>
    <w:rsid w:val="00FD7738"/>
    <w:rsid w:val="00FD7E5F"/>
    <w:rsid w:val="00FE046E"/>
    <w:rsid w:val="00FE0C38"/>
    <w:rsid w:val="00FE1271"/>
    <w:rsid w:val="00FE132C"/>
    <w:rsid w:val="00FE1803"/>
    <w:rsid w:val="00FE1A3B"/>
    <w:rsid w:val="00FE21CB"/>
    <w:rsid w:val="00FE236E"/>
    <w:rsid w:val="00FE26F1"/>
    <w:rsid w:val="00FE27DD"/>
    <w:rsid w:val="00FE2826"/>
    <w:rsid w:val="00FE2A21"/>
    <w:rsid w:val="00FE34E0"/>
    <w:rsid w:val="00FE36E2"/>
    <w:rsid w:val="00FE37A9"/>
    <w:rsid w:val="00FE457D"/>
    <w:rsid w:val="00FE47D6"/>
    <w:rsid w:val="00FE4B36"/>
    <w:rsid w:val="00FE4E88"/>
    <w:rsid w:val="00FE565A"/>
    <w:rsid w:val="00FE5980"/>
    <w:rsid w:val="00FE5C81"/>
    <w:rsid w:val="00FE5DE0"/>
    <w:rsid w:val="00FE5E1E"/>
    <w:rsid w:val="00FE6A23"/>
    <w:rsid w:val="00FE7315"/>
    <w:rsid w:val="00FE774A"/>
    <w:rsid w:val="00FF0202"/>
    <w:rsid w:val="00FF0CFE"/>
    <w:rsid w:val="00FF1301"/>
    <w:rsid w:val="00FF141C"/>
    <w:rsid w:val="00FF159C"/>
    <w:rsid w:val="00FF18B8"/>
    <w:rsid w:val="00FF1E2C"/>
    <w:rsid w:val="00FF1EED"/>
    <w:rsid w:val="00FF1F58"/>
    <w:rsid w:val="00FF1F76"/>
    <w:rsid w:val="00FF2442"/>
    <w:rsid w:val="00FF24BB"/>
    <w:rsid w:val="00FF26FC"/>
    <w:rsid w:val="00FF2D42"/>
    <w:rsid w:val="00FF34AF"/>
    <w:rsid w:val="00FF3529"/>
    <w:rsid w:val="00FF398E"/>
    <w:rsid w:val="00FF398F"/>
    <w:rsid w:val="00FF48EC"/>
    <w:rsid w:val="00FF4B5A"/>
    <w:rsid w:val="00FF4B77"/>
    <w:rsid w:val="00FF4CF6"/>
    <w:rsid w:val="00FF4DFD"/>
    <w:rsid w:val="00FF4FEA"/>
    <w:rsid w:val="00FF520B"/>
    <w:rsid w:val="00FF570E"/>
    <w:rsid w:val="00FF5C1D"/>
    <w:rsid w:val="00FF6111"/>
    <w:rsid w:val="00FF6A46"/>
    <w:rsid w:val="00FF6F1E"/>
    <w:rsid w:val="00FF7026"/>
    <w:rsid w:val="00FF7052"/>
    <w:rsid w:val="00FF77D0"/>
    <w:rsid w:val="00FF7CF5"/>
    <w:rsid w:val="0348783C"/>
    <w:rsid w:val="092D2C44"/>
    <w:rsid w:val="26A3AA47"/>
    <w:rsid w:val="2D57A07C"/>
    <w:rsid w:val="30F32D24"/>
    <w:rsid w:val="355E9390"/>
    <w:rsid w:val="35B665B6"/>
    <w:rsid w:val="39A787AD"/>
    <w:rsid w:val="3BD56343"/>
    <w:rsid w:val="3E992654"/>
    <w:rsid w:val="44AD7902"/>
    <w:rsid w:val="48ECFB8B"/>
    <w:rsid w:val="4BC9517D"/>
    <w:rsid w:val="4D63A37C"/>
    <w:rsid w:val="50762C73"/>
    <w:rsid w:val="54923E25"/>
    <w:rsid w:val="58700E16"/>
    <w:rsid w:val="58712AA7"/>
    <w:rsid w:val="59376B48"/>
    <w:rsid w:val="619CD49E"/>
    <w:rsid w:val="67AA28AF"/>
    <w:rsid w:val="6A9D794E"/>
    <w:rsid w:val="6DE13AE7"/>
    <w:rsid w:val="6E9DC217"/>
    <w:rsid w:val="72755F4C"/>
    <w:rsid w:val="72D47118"/>
    <w:rsid w:val="78C09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0E6EE7"/>
    <w:pPr>
      <w:spacing w:before="120" w:line="276" w:lineRule="auto"/>
      <w:jc w:val="both"/>
    </w:pPr>
    <w:rPr>
      <w:rFonts w:ascii="Arial" w:eastAsia="Arial Unicode MS" w:hAnsi="Arial" w:cs="Arial"/>
      <w:sz w:val="20"/>
      <w:szCs w:val="20"/>
      <w:u w:color="000000"/>
      <w:lang w:eastAsia="en-US"/>
    </w:rPr>
  </w:style>
  <w:style w:type="paragraph" w:styleId="Nadpis1">
    <w:name w:val="heading 1"/>
    <w:basedOn w:val="Normln"/>
    <w:next w:val="Normln"/>
    <w:link w:val="Nadpis1Char"/>
    <w:uiPriority w:val="9"/>
    <w:qFormat/>
    <w:rsid w:val="00186906"/>
    <w:pPr>
      <w:keepNext/>
      <w:keepLines/>
      <w:numPr>
        <w:numId w:val="2"/>
      </w:numPr>
      <w:spacing w:before="480" w:after="240"/>
      <w:outlineLvl w:val="0"/>
    </w:pPr>
    <w:rPr>
      <w:rFonts w:eastAsia="Times New Roman"/>
      <w:b/>
      <w:bCs/>
      <w:color w:val="002060"/>
      <w:sz w:val="36"/>
      <w:szCs w:val="32"/>
    </w:rPr>
  </w:style>
  <w:style w:type="paragraph" w:styleId="Nadpis2">
    <w:name w:val="heading 2"/>
    <w:basedOn w:val="Nadpis1"/>
    <w:next w:val="Normln"/>
    <w:link w:val="Nadpis2Char"/>
    <w:uiPriority w:val="9"/>
    <w:qFormat/>
    <w:rsid w:val="00C401A4"/>
    <w:pPr>
      <w:numPr>
        <w:ilvl w:val="1"/>
      </w:numPr>
      <w:spacing w:before="240" w:after="120"/>
      <w:outlineLvl w:val="1"/>
    </w:pPr>
    <w:rPr>
      <w:sz w:val="28"/>
      <w:szCs w:val="28"/>
    </w:rPr>
  </w:style>
  <w:style w:type="paragraph" w:styleId="Nadpis3">
    <w:name w:val="heading 3"/>
    <w:basedOn w:val="Normln"/>
    <w:next w:val="Normln"/>
    <w:link w:val="Nadpis3Char"/>
    <w:uiPriority w:val="9"/>
    <w:qFormat/>
    <w:rsid w:val="00B8497D"/>
    <w:pPr>
      <w:keepNext/>
      <w:numPr>
        <w:ilvl w:val="2"/>
        <w:numId w:val="2"/>
      </w:numPr>
      <w:tabs>
        <w:tab w:val="left" w:pos="1985"/>
      </w:tabs>
      <w:spacing w:before="0" w:after="240"/>
      <w:outlineLvl w:val="2"/>
    </w:pPr>
    <w:rPr>
      <w:rFonts w:eastAsia="Calibri"/>
      <w:b/>
      <w:color w:val="002060"/>
    </w:rPr>
  </w:style>
  <w:style w:type="paragraph" w:styleId="Nadpis4">
    <w:name w:val="heading 4"/>
    <w:basedOn w:val="Normln"/>
    <w:next w:val="Normln"/>
    <w:link w:val="Nadpis4Char"/>
    <w:autoRedefine/>
    <w:uiPriority w:val="9"/>
    <w:qFormat/>
    <w:rsid w:val="00306E53"/>
    <w:pPr>
      <w:keepNext/>
      <w:keepLines/>
      <w:numPr>
        <w:ilvl w:val="3"/>
        <w:numId w:val="2"/>
      </w:numPr>
      <w:spacing w:before="200"/>
      <w:outlineLvl w:val="3"/>
    </w:pPr>
    <w:rPr>
      <w:rFonts w:eastAsiaTheme="majorEastAsia"/>
      <w:b/>
      <w:bCs/>
      <w:i/>
      <w:iCs/>
      <w:color w:val="17365D" w:themeColor="text2" w:themeShade="BF"/>
      <w:sz w:val="22"/>
      <w:szCs w:val="22"/>
    </w:rPr>
  </w:style>
  <w:style w:type="paragraph" w:styleId="Nadpis5">
    <w:name w:val="heading 5"/>
    <w:basedOn w:val="Normln"/>
    <w:next w:val="Normln"/>
    <w:link w:val="Nadpis5Char"/>
    <w:uiPriority w:val="9"/>
    <w:qFormat/>
    <w:rsid w:val="00C401A4"/>
    <w:pPr>
      <w:keepNext/>
      <w:keepLines/>
      <w:spacing w:before="200"/>
      <w:outlineLvl w:val="4"/>
    </w:pPr>
    <w:rPr>
      <w:rFonts w:ascii="Cambria" w:eastAsia="Times New Roman"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86906"/>
    <w:rPr>
      <w:rFonts w:ascii="Arial" w:hAnsi="Arial" w:cs="Arial"/>
      <w:b/>
      <w:bCs/>
      <w:color w:val="002060"/>
      <w:sz w:val="36"/>
      <w:szCs w:val="32"/>
      <w:u w:color="000000"/>
      <w:lang w:eastAsia="en-US"/>
    </w:rPr>
  </w:style>
  <w:style w:type="character" w:customStyle="1" w:styleId="Nadpis2Char">
    <w:name w:val="Nadpis 2 Char"/>
    <w:basedOn w:val="Standardnpsmoodstavce"/>
    <w:link w:val="Nadpis2"/>
    <w:uiPriority w:val="9"/>
    <w:locked/>
    <w:rsid w:val="00992BB6"/>
    <w:rPr>
      <w:rFonts w:ascii="Arial" w:hAnsi="Arial" w:cs="Arial"/>
      <w:b/>
      <w:bCs/>
      <w:color w:val="002060"/>
      <w:sz w:val="28"/>
      <w:szCs w:val="28"/>
      <w:u w:color="000000"/>
      <w:lang w:eastAsia="en-US"/>
    </w:rPr>
  </w:style>
  <w:style w:type="character" w:customStyle="1" w:styleId="Nadpis3Char">
    <w:name w:val="Nadpis 3 Char"/>
    <w:basedOn w:val="Standardnpsmoodstavce"/>
    <w:link w:val="Nadpis3"/>
    <w:uiPriority w:val="9"/>
    <w:locked/>
    <w:rsid w:val="00B8497D"/>
    <w:rPr>
      <w:rFonts w:ascii="Arial" w:eastAsia="Calibri" w:hAnsi="Arial" w:cs="Arial"/>
      <w:b/>
      <w:color w:val="002060"/>
      <w:sz w:val="20"/>
      <w:szCs w:val="20"/>
      <w:u w:color="000000"/>
      <w:lang w:eastAsia="en-US"/>
    </w:rPr>
  </w:style>
  <w:style w:type="character" w:customStyle="1" w:styleId="Nadpis4Char">
    <w:name w:val="Nadpis 4 Char"/>
    <w:basedOn w:val="Standardnpsmoodstavce"/>
    <w:link w:val="Nadpis4"/>
    <w:uiPriority w:val="9"/>
    <w:locked/>
    <w:rsid w:val="00306E53"/>
    <w:rPr>
      <w:rFonts w:ascii="Arial" w:eastAsiaTheme="majorEastAsia" w:hAnsi="Arial" w:cs="Arial"/>
      <w:b/>
      <w:bCs/>
      <w:i/>
      <w:iCs/>
      <w:color w:val="17365D" w:themeColor="text2" w:themeShade="BF"/>
      <w:u w:color="000000"/>
      <w:lang w:eastAsia="en-US"/>
    </w:rPr>
  </w:style>
  <w:style w:type="character" w:customStyle="1" w:styleId="Nadpis5Char">
    <w:name w:val="Nadpis 5 Char"/>
    <w:basedOn w:val="Standardnpsmoodstavce"/>
    <w:link w:val="Nadpis5"/>
    <w:uiPriority w:val="9"/>
    <w:locked/>
    <w:rsid w:val="00795903"/>
    <w:rPr>
      <w:rFonts w:ascii="Cambria" w:hAnsi="Cambria"/>
      <w:color w:val="243F60"/>
      <w:sz w:val="20"/>
      <w:szCs w:val="20"/>
      <w:u w:color="000000"/>
    </w:rPr>
  </w:style>
  <w:style w:type="character" w:styleId="Siln">
    <w:name w:val="Strong"/>
    <w:basedOn w:val="Standardnpsmoodstavce"/>
    <w:uiPriority w:val="22"/>
    <w:qFormat/>
    <w:rsid w:val="00754A08"/>
    <w:rPr>
      <w:rFonts w:cs="Times New Roman"/>
      <w:b/>
      <w:bCs/>
      <w:sz w:val="36"/>
      <w:szCs w:val="36"/>
    </w:rPr>
  </w:style>
  <w:style w:type="paragraph" w:styleId="Odstavecseseznamem">
    <w:name w:val="List Paragraph"/>
    <w:aliases w:val="Nad,Odstavec cíl se seznamem,Odstavec se seznamem5,Odstavec_muj,_Odstavec se seznamem,Seznam - odrážky,Conclusion de partie,Fiche List Paragraph,List Paragraph (Czech Tourism),Název grafu,nad 1,Odstavec se seznamem2,List Paragraph"/>
    <w:basedOn w:val="Normln"/>
    <w:link w:val="OdstavecseseznamemChar"/>
    <w:uiPriority w:val="34"/>
    <w:qFormat/>
    <w:rsid w:val="00754A08"/>
    <w:pPr>
      <w:spacing w:after="120"/>
      <w:ind w:left="720" w:hanging="284"/>
      <w:contextualSpacing/>
    </w:pPr>
    <w:rPr>
      <w:rFonts w:ascii="Calibri" w:hAnsi="Calibri"/>
    </w:rPr>
  </w:style>
  <w:style w:type="paragraph" w:styleId="Nzev">
    <w:name w:val="Title"/>
    <w:basedOn w:val="Normln"/>
    <w:next w:val="Normln"/>
    <w:link w:val="NzevChar"/>
    <w:uiPriority w:val="10"/>
    <w:qFormat/>
    <w:rsid w:val="003B47B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locked/>
    <w:rsid w:val="00754A08"/>
    <w:rPr>
      <w:rFonts w:asciiTheme="majorHAnsi" w:eastAsiaTheme="majorEastAsia" w:hAnsiTheme="majorHAnsi" w:cstheme="majorBidi"/>
      <w:color w:val="17365D" w:themeColor="text2" w:themeShade="BF"/>
      <w:spacing w:val="5"/>
      <w:kern w:val="28"/>
      <w:sz w:val="52"/>
      <w:szCs w:val="52"/>
      <w:u w:color="000000"/>
    </w:rPr>
  </w:style>
  <w:style w:type="paragraph" w:styleId="Podtitul">
    <w:name w:val="Subtitle"/>
    <w:basedOn w:val="Normln"/>
    <w:next w:val="Normln"/>
    <w:link w:val="PodtitulChar"/>
    <w:uiPriority w:val="11"/>
    <w:qFormat/>
    <w:rsid w:val="00754A08"/>
    <w:pPr>
      <w:numPr>
        <w:ilvl w:val="1"/>
      </w:numPr>
      <w:spacing w:before="0" w:line="240" w:lineRule="auto"/>
      <w:jc w:val="center"/>
    </w:pPr>
    <w:rPr>
      <w:rFonts w:eastAsia="Times New Roman"/>
      <w:b/>
      <w:iCs/>
      <w:spacing w:val="15"/>
      <w:sz w:val="36"/>
      <w:szCs w:val="36"/>
    </w:rPr>
  </w:style>
  <w:style w:type="character" w:customStyle="1" w:styleId="PodtitulChar">
    <w:name w:val="Podtitul Char"/>
    <w:basedOn w:val="Standardnpsmoodstavce"/>
    <w:link w:val="Podtitul"/>
    <w:uiPriority w:val="11"/>
    <w:locked/>
    <w:rsid w:val="00754A08"/>
    <w:rPr>
      <w:rFonts w:ascii="Arial" w:hAnsi="Arial" w:cs="Arial"/>
      <w:b/>
      <w:iCs/>
      <w:spacing w:val="15"/>
      <w:sz w:val="36"/>
      <w:szCs w:val="36"/>
      <w:u w:color="000000"/>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qFormat/>
    <w:rsid w:val="003B47B3"/>
    <w:pPr>
      <w:spacing w:before="0" w:line="240" w:lineRule="auto"/>
    </w:pPr>
    <w:rPr>
      <w:sz w:val="18"/>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locked/>
    <w:rsid w:val="003759C7"/>
    <w:rPr>
      <w:rFonts w:ascii="Arial" w:eastAsia="Arial Unicode MS" w:hAnsi="Arial"/>
      <w:sz w:val="18"/>
      <w:szCs w:val="20"/>
      <w:u w:color="000000"/>
    </w:rPr>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R,Légende;Char Car Car Car Car"/>
    <w:basedOn w:val="Standardnpsmoodstavce"/>
    <w:link w:val="FootnotesymbolCarZchn"/>
    <w:uiPriority w:val="99"/>
    <w:rsid w:val="00C401A4"/>
    <w:rPr>
      <w:vertAlign w:val="superscript"/>
    </w:rPr>
  </w:style>
  <w:style w:type="paragraph" w:styleId="Nadpisobsahu">
    <w:name w:val="TOC Heading"/>
    <w:basedOn w:val="Nadpis1"/>
    <w:next w:val="Normln"/>
    <w:uiPriority w:val="39"/>
    <w:qFormat/>
    <w:rsid w:val="003B47B3"/>
    <w:pPr>
      <w:numPr>
        <w:numId w:val="0"/>
      </w:numPr>
      <w:jc w:val="left"/>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qFormat/>
    <w:rsid w:val="00785D3D"/>
    <w:pPr>
      <w:tabs>
        <w:tab w:val="left" w:pos="284"/>
        <w:tab w:val="right" w:leader="dot" w:pos="9060"/>
      </w:tabs>
      <w:spacing w:after="100"/>
    </w:pPr>
  </w:style>
  <w:style w:type="character" w:styleId="Hypertextovodkaz">
    <w:name w:val="Hyperlink"/>
    <w:basedOn w:val="Standardnpsmoodstavce"/>
    <w:uiPriority w:val="99"/>
    <w:rsid w:val="003B47B3"/>
    <w:rPr>
      <w:color w:val="0000FF" w:themeColor="hyperlink"/>
      <w:u w:val="single"/>
    </w:rPr>
  </w:style>
  <w:style w:type="paragraph" w:styleId="Textbubliny">
    <w:name w:val="Balloon Text"/>
    <w:basedOn w:val="Normln"/>
    <w:link w:val="TextbublinyChar"/>
    <w:uiPriority w:val="99"/>
    <w:semiHidden/>
    <w:rsid w:val="00C401A4"/>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736CE"/>
    <w:rPr>
      <w:rFonts w:ascii="Tahoma" w:eastAsia="Arial Unicode MS" w:hAnsi="Tahoma" w:cs="Tahoma"/>
      <w:sz w:val="16"/>
      <w:szCs w:val="16"/>
      <w:u w:color="000000"/>
    </w:rPr>
  </w:style>
  <w:style w:type="table" w:styleId="Mkatabulky">
    <w:name w:val="Table Grid"/>
    <w:basedOn w:val="Normlntabulka"/>
    <w:uiPriority w:val="39"/>
    <w:rsid w:val="008563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C401A4"/>
    <w:pPr>
      <w:spacing w:after="40" w:line="240" w:lineRule="auto"/>
      <w:ind w:left="142"/>
    </w:pPr>
    <w:rPr>
      <w:b/>
      <w:bCs/>
    </w:rPr>
  </w:style>
  <w:style w:type="paragraph" w:customStyle="1" w:styleId="Odstavecseseznamem1">
    <w:name w:val="Odstavec se seznamem1"/>
    <w:basedOn w:val="Normln"/>
    <w:link w:val="ListParagraphChar"/>
    <w:uiPriority w:val="34"/>
    <w:qFormat/>
    <w:rsid w:val="003B47B3"/>
    <w:pPr>
      <w:spacing w:before="0" w:after="200"/>
      <w:ind w:left="720"/>
      <w:jc w:val="left"/>
    </w:pPr>
    <w:rPr>
      <w:rFonts w:ascii="Calibri" w:eastAsia="Times New Roman" w:hAnsi="Calibri" w:cs="Calibri"/>
    </w:rPr>
  </w:style>
  <w:style w:type="character" w:customStyle="1" w:styleId="ListParagraphChar">
    <w:name w:val="List Paragraph Char"/>
    <w:basedOn w:val="Standardnpsmoodstavce"/>
    <w:link w:val="Odstavecseseznamem1"/>
    <w:uiPriority w:val="34"/>
    <w:locked/>
    <w:rsid w:val="00923C91"/>
    <w:rPr>
      <w:rFonts w:ascii="Calibri" w:hAnsi="Calibri" w:cs="Calibri"/>
      <w:u w:color="000000"/>
      <w:lang w:eastAsia="en-US"/>
    </w:rPr>
  </w:style>
  <w:style w:type="paragraph" w:styleId="Zhlav">
    <w:name w:val="header"/>
    <w:basedOn w:val="Normln"/>
    <w:link w:val="ZhlavChar"/>
    <w:uiPriority w:val="99"/>
    <w:rsid w:val="00C401A4"/>
    <w:pPr>
      <w:tabs>
        <w:tab w:val="center" w:pos="4536"/>
        <w:tab w:val="right" w:pos="9072"/>
      </w:tabs>
      <w:spacing w:before="0" w:line="240" w:lineRule="auto"/>
    </w:pPr>
  </w:style>
  <w:style w:type="character" w:customStyle="1" w:styleId="ZhlavChar">
    <w:name w:val="Záhlaví Char"/>
    <w:basedOn w:val="Standardnpsmoodstavce"/>
    <w:link w:val="Zhlav"/>
    <w:uiPriority w:val="99"/>
    <w:locked/>
    <w:rsid w:val="00A4479A"/>
    <w:rPr>
      <w:rFonts w:eastAsia="Arial Unicode MS"/>
      <w:u w:color="000000"/>
    </w:rPr>
  </w:style>
  <w:style w:type="paragraph" w:styleId="Zpat">
    <w:name w:val="footer"/>
    <w:basedOn w:val="Normln"/>
    <w:link w:val="ZpatChar"/>
    <w:uiPriority w:val="99"/>
    <w:rsid w:val="00C401A4"/>
    <w:pPr>
      <w:tabs>
        <w:tab w:val="center" w:pos="4536"/>
        <w:tab w:val="right" w:pos="9072"/>
      </w:tabs>
      <w:spacing w:before="0" w:line="240" w:lineRule="auto"/>
    </w:pPr>
  </w:style>
  <w:style w:type="character" w:customStyle="1" w:styleId="ZpatChar">
    <w:name w:val="Zápatí Char"/>
    <w:basedOn w:val="Standardnpsmoodstavce"/>
    <w:link w:val="Zpat"/>
    <w:uiPriority w:val="99"/>
    <w:locked/>
    <w:rsid w:val="00A4479A"/>
    <w:rPr>
      <w:rFonts w:eastAsia="Arial Unicode MS"/>
      <w:u w:color="000000"/>
    </w:rPr>
  </w:style>
  <w:style w:type="paragraph" w:customStyle="1" w:styleId="List0">
    <w:name w:val="List 0"/>
    <w:basedOn w:val="Normln"/>
    <w:semiHidden/>
    <w:rsid w:val="00E06A52"/>
    <w:pPr>
      <w:numPr>
        <w:numId w:val="1"/>
      </w:numPr>
      <w:spacing w:before="0" w:line="240" w:lineRule="auto"/>
      <w:jc w:val="left"/>
    </w:pPr>
    <w:rPr>
      <w:rFonts w:eastAsia="Times New Roman"/>
    </w:rPr>
  </w:style>
  <w:style w:type="character" w:styleId="Odkaznakoment">
    <w:name w:val="annotation reference"/>
    <w:basedOn w:val="Standardnpsmoodstavce"/>
    <w:uiPriority w:val="99"/>
    <w:rsid w:val="001870D9"/>
    <w:rPr>
      <w:rFonts w:cs="Times New Roman"/>
      <w:sz w:val="16"/>
      <w:szCs w:val="16"/>
    </w:rPr>
  </w:style>
  <w:style w:type="character" w:customStyle="1" w:styleId="CommentTextChar">
    <w:name w:val="Comment Text Char"/>
    <w:uiPriority w:val="99"/>
    <w:locked/>
    <w:rsid w:val="001870D9"/>
    <w:rPr>
      <w:rFonts w:ascii="Arial" w:hAnsi="Arial"/>
    </w:rPr>
  </w:style>
  <w:style w:type="paragraph" w:styleId="Textkomente">
    <w:name w:val="annotation text"/>
    <w:basedOn w:val="Normln"/>
    <w:link w:val="TextkomenteChar"/>
    <w:uiPriority w:val="99"/>
    <w:rsid w:val="001870D9"/>
    <w:pPr>
      <w:spacing w:before="0" w:line="240" w:lineRule="auto"/>
      <w:jc w:val="left"/>
    </w:pPr>
    <w:rPr>
      <w:rFonts w:eastAsia="Times New Roman"/>
    </w:rPr>
  </w:style>
  <w:style w:type="character" w:customStyle="1" w:styleId="TextkomenteChar">
    <w:name w:val="Text komentáře Char"/>
    <w:basedOn w:val="Standardnpsmoodstavce"/>
    <w:link w:val="Textkomente"/>
    <w:uiPriority w:val="99"/>
    <w:locked/>
    <w:rsid w:val="00971915"/>
    <w:rPr>
      <w:rFonts w:eastAsia="Arial Unicode MS" w:cs="Times New Roman"/>
      <w:sz w:val="20"/>
      <w:szCs w:val="20"/>
      <w:u w:color="000000"/>
    </w:rPr>
  </w:style>
  <w:style w:type="character" w:customStyle="1" w:styleId="TextkomenteChar1">
    <w:name w:val="Text komentáře Char1"/>
    <w:basedOn w:val="Standardnpsmoodstavce"/>
    <w:uiPriority w:val="99"/>
    <w:semiHidden/>
    <w:rsid w:val="001870D9"/>
    <w:rPr>
      <w:rFonts w:eastAsia="Arial Unicode MS" w:cs="Times New Roman"/>
      <w:u w:color="000000"/>
    </w:rPr>
  </w:style>
  <w:style w:type="paragraph" w:styleId="Bezmezer">
    <w:name w:val="No Spacing"/>
    <w:uiPriority w:val="1"/>
    <w:qFormat/>
    <w:rsid w:val="00CD02F7"/>
    <w:pPr>
      <w:jc w:val="both"/>
    </w:pPr>
    <w:rPr>
      <w:rFonts w:eastAsia="Arial Unicode MS"/>
      <w:u w:color="000000"/>
    </w:rPr>
  </w:style>
  <w:style w:type="paragraph" w:styleId="Prosttext">
    <w:name w:val="Plain Text"/>
    <w:basedOn w:val="Normln"/>
    <w:link w:val="ProsttextChar"/>
    <w:uiPriority w:val="99"/>
    <w:semiHidden/>
    <w:rsid w:val="00C401A4"/>
    <w:pPr>
      <w:spacing w:before="0" w:line="240" w:lineRule="auto"/>
      <w:jc w:val="left"/>
    </w:pPr>
    <w:rPr>
      <w:rFonts w:ascii="Calibri" w:eastAsiaTheme="minorHAnsi" w:hAnsi="Calibri" w:cs="Consolas"/>
      <w:szCs w:val="21"/>
    </w:rPr>
  </w:style>
  <w:style w:type="character" w:customStyle="1" w:styleId="ProsttextChar">
    <w:name w:val="Prostý text Char"/>
    <w:basedOn w:val="Standardnpsmoodstavce"/>
    <w:link w:val="Prosttext"/>
    <w:uiPriority w:val="99"/>
    <w:semiHidden/>
    <w:locked/>
    <w:rsid w:val="008A145C"/>
    <w:rPr>
      <w:rFonts w:ascii="Calibri" w:eastAsiaTheme="minorHAnsi" w:hAnsi="Calibri" w:cs="Consolas"/>
      <w:szCs w:val="21"/>
      <w:u w:color="000000"/>
      <w:lang w:eastAsia="en-US"/>
    </w:rPr>
  </w:style>
  <w:style w:type="character" w:customStyle="1" w:styleId="OdstavecseseznamemChar">
    <w:name w:val="Odstavec se seznamem Char"/>
    <w:aliases w:val="Nad Char,Odstavec cíl se seznamem Char,Odstavec se seznamem5 Char,Odstavec_muj Char,_Odstavec se seznamem Char,Seznam - odrážky Char,Conclusion de partie Char,Fiche List Paragraph Char,List Paragraph (Czech Tourism) Char"/>
    <w:link w:val="Odstavecseseznamem"/>
    <w:uiPriority w:val="34"/>
    <w:qFormat/>
    <w:locked/>
    <w:rsid w:val="003016BD"/>
    <w:rPr>
      <w:rFonts w:ascii="Calibri" w:eastAsia="Arial Unicode MS" w:hAnsi="Calibri"/>
      <w:sz w:val="22"/>
      <w:u w:color="000000"/>
      <w:lang w:eastAsia="en-US"/>
    </w:rPr>
  </w:style>
  <w:style w:type="paragraph" w:customStyle="1" w:styleId="Seznam">
    <w:name w:val="*Seznam"/>
    <w:basedOn w:val="Zkladntext"/>
    <w:rsid w:val="00C401A4"/>
    <w:pPr>
      <w:numPr>
        <w:numId w:val="3"/>
      </w:numPr>
      <w:overflowPunct w:val="0"/>
      <w:autoSpaceDE w:val="0"/>
      <w:autoSpaceDN w:val="0"/>
      <w:adjustRightInd w:val="0"/>
      <w:spacing w:line="240" w:lineRule="auto"/>
      <w:ind w:left="714" w:hanging="357"/>
      <w:contextualSpacing/>
      <w:jc w:val="left"/>
      <w:textAlignment w:val="baseline"/>
    </w:pPr>
    <w:rPr>
      <w:rFonts w:eastAsia="Times New Roman"/>
      <w:sz w:val="24"/>
    </w:rPr>
  </w:style>
  <w:style w:type="paragraph" w:customStyle="1" w:styleId="TextNOK">
    <w:name w:val="Text NOK"/>
    <w:basedOn w:val="Normln"/>
    <w:link w:val="TextNOKChar"/>
    <w:uiPriority w:val="99"/>
    <w:qFormat/>
    <w:rsid w:val="003B47B3"/>
    <w:pPr>
      <w:spacing w:before="60" w:after="60" w:line="312" w:lineRule="auto"/>
    </w:pPr>
    <w:rPr>
      <w:rFonts w:eastAsia="Times New Roman"/>
      <w:szCs w:val="24"/>
    </w:rPr>
  </w:style>
  <w:style w:type="character" w:customStyle="1" w:styleId="TextNOKChar">
    <w:name w:val="Text NOK Char"/>
    <w:basedOn w:val="Standardnpsmoodstavce"/>
    <w:link w:val="TextNOK"/>
    <w:uiPriority w:val="99"/>
    <w:locked/>
    <w:rsid w:val="006D0810"/>
    <w:rPr>
      <w:szCs w:val="24"/>
      <w:u w:color="000000"/>
    </w:rPr>
  </w:style>
  <w:style w:type="paragraph" w:styleId="Zkladntext">
    <w:name w:val="Body Text"/>
    <w:basedOn w:val="Normln"/>
    <w:link w:val="ZkladntextChar"/>
    <w:uiPriority w:val="99"/>
    <w:semiHidden/>
    <w:rsid w:val="00C401A4"/>
    <w:pPr>
      <w:spacing w:after="120"/>
    </w:pPr>
  </w:style>
  <w:style w:type="character" w:customStyle="1" w:styleId="ZkladntextChar">
    <w:name w:val="Základní text Char"/>
    <w:basedOn w:val="Standardnpsmoodstavce"/>
    <w:link w:val="Zkladntext"/>
    <w:uiPriority w:val="99"/>
    <w:semiHidden/>
    <w:locked/>
    <w:rsid w:val="006D0810"/>
    <w:rPr>
      <w:rFonts w:eastAsia="Arial Unicode MS"/>
      <w:u w:color="000000"/>
    </w:rPr>
  </w:style>
  <w:style w:type="paragraph" w:customStyle="1" w:styleId="Styl2">
    <w:name w:val="Styl2"/>
    <w:basedOn w:val="Normln"/>
    <w:qFormat/>
    <w:rsid w:val="003B47B3"/>
    <w:pPr>
      <w:spacing w:before="60" w:after="60" w:line="288" w:lineRule="auto"/>
    </w:pPr>
  </w:style>
  <w:style w:type="paragraph" w:styleId="Revize">
    <w:name w:val="Revision"/>
    <w:hidden/>
    <w:uiPriority w:val="99"/>
    <w:semiHidden/>
    <w:rsid w:val="00623289"/>
    <w:rPr>
      <w:rFonts w:eastAsia="Arial Unicode MS"/>
      <w:u w:color="000000"/>
    </w:rPr>
  </w:style>
  <w:style w:type="paragraph" w:styleId="Normlnweb">
    <w:name w:val="Normal (Web)"/>
    <w:basedOn w:val="Normln"/>
    <w:uiPriority w:val="99"/>
    <w:semiHidden/>
    <w:rsid w:val="00C401A4"/>
    <w:pPr>
      <w:spacing w:before="100" w:beforeAutospacing="1" w:after="100" w:afterAutospacing="1" w:line="240" w:lineRule="auto"/>
      <w:jc w:val="left"/>
    </w:pPr>
    <w:rPr>
      <w:rFonts w:eastAsia="Times New Roman"/>
      <w:sz w:val="24"/>
      <w:szCs w:val="24"/>
    </w:rPr>
  </w:style>
  <w:style w:type="paragraph" w:styleId="Obsah2">
    <w:name w:val="toc 2"/>
    <w:basedOn w:val="Normln"/>
    <w:next w:val="Normln"/>
    <w:autoRedefine/>
    <w:uiPriority w:val="39"/>
    <w:qFormat/>
    <w:rsid w:val="00E326C5"/>
    <w:pPr>
      <w:tabs>
        <w:tab w:val="left" w:pos="851"/>
        <w:tab w:val="right" w:leader="dot" w:pos="9060"/>
      </w:tabs>
      <w:spacing w:after="100"/>
      <w:ind w:left="220"/>
    </w:pPr>
  </w:style>
  <w:style w:type="paragraph" w:customStyle="1" w:styleId="Tabulka">
    <w:name w:val="Tabulka"/>
    <w:basedOn w:val="Titulek"/>
    <w:link w:val="TabulkaChar"/>
    <w:qFormat/>
    <w:rsid w:val="003B47B3"/>
    <w:pPr>
      <w:spacing w:before="0" w:after="200"/>
      <w:ind w:left="0"/>
    </w:pPr>
    <w:rPr>
      <w:rFonts w:eastAsia="Times New Roman"/>
      <w:bCs w:val="0"/>
      <w:color w:val="4F81BD"/>
      <w:sz w:val="24"/>
    </w:rPr>
  </w:style>
  <w:style w:type="character" w:customStyle="1" w:styleId="TabulkaChar">
    <w:name w:val="Tabulka Char"/>
    <w:link w:val="Tabulka"/>
    <w:locked/>
    <w:rsid w:val="00615420"/>
    <w:rPr>
      <w:b/>
      <w:color w:val="4F81BD"/>
      <w:sz w:val="24"/>
      <w:szCs w:val="20"/>
      <w:u w:color="000000"/>
    </w:rPr>
  </w:style>
  <w:style w:type="paragraph" w:customStyle="1" w:styleId="DAVA">
    <w:name w:val="DAVA"/>
    <w:basedOn w:val="Normln"/>
    <w:link w:val="DAVAChar"/>
    <w:qFormat/>
    <w:rsid w:val="003B47B3"/>
    <w:pPr>
      <w:spacing w:line="240" w:lineRule="auto"/>
      <w:jc w:val="left"/>
    </w:pPr>
    <w:rPr>
      <w:rFonts w:eastAsia="Times New Roman"/>
      <w:sz w:val="28"/>
    </w:rPr>
  </w:style>
  <w:style w:type="character" w:customStyle="1" w:styleId="DAVAChar">
    <w:name w:val="DAVA Char"/>
    <w:link w:val="DAVA"/>
    <w:locked/>
    <w:rsid w:val="00615420"/>
    <w:rPr>
      <w:rFonts w:ascii="Arial" w:hAnsi="Arial"/>
      <w:sz w:val="28"/>
      <w:szCs w:val="20"/>
      <w:u w:color="000000"/>
    </w:rPr>
  </w:style>
  <w:style w:type="paragraph" w:styleId="Pedmtkomente">
    <w:name w:val="annotation subject"/>
    <w:basedOn w:val="Textkomente"/>
    <w:next w:val="Textkomente"/>
    <w:link w:val="PedmtkomenteChar"/>
    <w:uiPriority w:val="99"/>
    <w:semiHidden/>
    <w:rsid w:val="00C401A4"/>
    <w:pPr>
      <w:spacing w:before="120"/>
      <w:jc w:val="both"/>
    </w:pPr>
    <w:rPr>
      <w:rFonts w:ascii="Times New Roman" w:eastAsia="Arial Unicode MS" w:hAnsi="Times New Roman"/>
      <w:b/>
      <w:bCs/>
    </w:rPr>
  </w:style>
  <w:style w:type="character" w:customStyle="1" w:styleId="PedmtkomenteChar">
    <w:name w:val="Předmět komentáře Char"/>
    <w:basedOn w:val="CommentTextChar"/>
    <w:link w:val="Pedmtkomente"/>
    <w:uiPriority w:val="99"/>
    <w:semiHidden/>
    <w:locked/>
    <w:rsid w:val="004C2318"/>
    <w:rPr>
      <w:rFonts w:ascii="Arial" w:eastAsia="Arial Unicode MS" w:hAnsi="Arial"/>
      <w:b/>
      <w:bCs/>
      <w:sz w:val="20"/>
      <w:szCs w:val="20"/>
      <w:u w:color="000000"/>
    </w:rPr>
  </w:style>
  <w:style w:type="paragraph" w:customStyle="1" w:styleId="111AAA">
    <w:name w:val="111AAA"/>
    <w:basedOn w:val="Normln"/>
    <w:rsid w:val="001F2910"/>
    <w:pPr>
      <w:spacing w:line="240" w:lineRule="auto"/>
    </w:pPr>
    <w:rPr>
      <w:rFonts w:eastAsia="Times New Roman"/>
      <w:sz w:val="24"/>
    </w:rPr>
  </w:style>
  <w:style w:type="paragraph" w:styleId="Obsah3">
    <w:name w:val="toc 3"/>
    <w:basedOn w:val="Normln"/>
    <w:next w:val="Normln"/>
    <w:autoRedefine/>
    <w:uiPriority w:val="39"/>
    <w:qFormat/>
    <w:rsid w:val="003B47B3"/>
    <w:pPr>
      <w:tabs>
        <w:tab w:val="right" w:leader="dot" w:pos="9060"/>
      </w:tabs>
      <w:spacing w:after="100"/>
      <w:ind w:left="426"/>
    </w:pPr>
  </w:style>
  <w:style w:type="character" w:styleId="Zvraznn">
    <w:name w:val="Emphasis"/>
    <w:basedOn w:val="Standardnpsmoodstavce"/>
    <w:uiPriority w:val="20"/>
    <w:qFormat/>
    <w:rsid w:val="008E75C0"/>
    <w:rPr>
      <w:rFonts w:cs="Times New Roman"/>
      <w:b/>
      <w:bCs/>
    </w:rPr>
  </w:style>
  <w:style w:type="character" w:customStyle="1" w:styleId="st1">
    <w:name w:val="st1"/>
    <w:basedOn w:val="Standardnpsmoodstavce"/>
    <w:rsid w:val="008E75C0"/>
    <w:rPr>
      <w:rFonts w:cs="Times New Roman"/>
    </w:rPr>
  </w:style>
  <w:style w:type="table" w:customStyle="1" w:styleId="Mkatabulky1">
    <w:name w:val="Mřížka tabulky1"/>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
    <w:name w:val="Mřížka tabulky4"/>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znmkapodarou">
    <w:name w:val="Poznámka pod čarou"/>
    <w:basedOn w:val="Normln"/>
    <w:link w:val="PoznmkapodarouChar"/>
    <w:qFormat/>
    <w:rsid w:val="003B47B3"/>
    <w:pPr>
      <w:spacing w:before="0" w:line="240" w:lineRule="auto"/>
    </w:pPr>
    <w:rPr>
      <w:rFonts w:eastAsia="Times New Roman"/>
      <w:i/>
      <w:sz w:val="18"/>
    </w:rPr>
  </w:style>
  <w:style w:type="character" w:customStyle="1" w:styleId="PoznmkapodarouChar">
    <w:name w:val="Poznámka pod čarou Char"/>
    <w:link w:val="Poznmkapodarou"/>
    <w:locked/>
    <w:rsid w:val="00A86E26"/>
    <w:rPr>
      <w:i/>
      <w:sz w:val="18"/>
      <w:szCs w:val="20"/>
      <w:u w:color="000000"/>
    </w:rPr>
  </w:style>
  <w:style w:type="table" w:customStyle="1" w:styleId="Mkatabulky5">
    <w:name w:val="Mřížka tabulky5"/>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
    <w:name w:val="Mřížka tabulky8"/>
    <w:uiPriority w:val="59"/>
    <w:rsid w:val="00941350"/>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0"/>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
    <w:name w:val="Mřížka tabulky15"/>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
    <w:name w:val="Mřížka tabulky16"/>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
    <w:name w:val="Mřížka tabulky18"/>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0"/>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2">
    <w:name w:val="Mřížka tabulky22"/>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3">
    <w:name w:val="Mřížka tabulky23"/>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4">
    <w:name w:val="Mřížka tabulky24"/>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5">
    <w:name w:val="Mřížka tabulky25"/>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6">
    <w:name w:val="Mřížka tabulky26"/>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7">
    <w:name w:val="Mřížka tabulky27"/>
    <w:uiPriority w:val="59"/>
    <w:rsid w:val="00C45868"/>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8">
    <w:name w:val="Mřížka tabulky28"/>
    <w:uiPriority w:val="59"/>
    <w:rsid w:val="005533AB"/>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9">
    <w:name w:val="Mřížka tabulky29"/>
    <w:uiPriority w:val="59"/>
    <w:rsid w:val="00C1643B"/>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4">
    <w:name w:val="toc 4"/>
    <w:basedOn w:val="Normln"/>
    <w:next w:val="Normln"/>
    <w:autoRedefine/>
    <w:uiPriority w:val="39"/>
    <w:rsid w:val="003B47B3"/>
    <w:pPr>
      <w:spacing w:before="0" w:after="100"/>
      <w:ind w:left="660"/>
      <w:jc w:val="left"/>
    </w:pPr>
    <w:rPr>
      <w:rFonts w:asciiTheme="minorHAnsi" w:eastAsiaTheme="minorEastAsia" w:hAnsiTheme="minorHAnsi" w:cstheme="minorBidi"/>
    </w:rPr>
  </w:style>
  <w:style w:type="paragraph" w:styleId="Obsah5">
    <w:name w:val="toc 5"/>
    <w:basedOn w:val="Normln"/>
    <w:next w:val="Normln"/>
    <w:autoRedefine/>
    <w:uiPriority w:val="39"/>
    <w:rsid w:val="003B47B3"/>
    <w:pPr>
      <w:spacing w:before="0" w:after="100"/>
      <w:ind w:left="880"/>
      <w:jc w:val="left"/>
    </w:pPr>
    <w:rPr>
      <w:rFonts w:asciiTheme="minorHAnsi" w:eastAsiaTheme="minorEastAsia" w:hAnsiTheme="minorHAnsi" w:cstheme="minorBidi"/>
    </w:rPr>
  </w:style>
  <w:style w:type="paragraph" w:styleId="Obsah6">
    <w:name w:val="toc 6"/>
    <w:basedOn w:val="Normln"/>
    <w:next w:val="Normln"/>
    <w:autoRedefine/>
    <w:uiPriority w:val="39"/>
    <w:rsid w:val="003B47B3"/>
    <w:pPr>
      <w:spacing w:before="0" w:after="100"/>
      <w:ind w:left="1100"/>
      <w:jc w:val="left"/>
    </w:pPr>
    <w:rPr>
      <w:rFonts w:asciiTheme="minorHAnsi" w:eastAsiaTheme="minorEastAsia" w:hAnsiTheme="minorHAnsi" w:cstheme="minorBidi"/>
    </w:rPr>
  </w:style>
  <w:style w:type="paragraph" w:styleId="Obsah7">
    <w:name w:val="toc 7"/>
    <w:basedOn w:val="Normln"/>
    <w:next w:val="Normln"/>
    <w:autoRedefine/>
    <w:uiPriority w:val="39"/>
    <w:rsid w:val="003B47B3"/>
    <w:pPr>
      <w:spacing w:before="0" w:after="100"/>
      <w:ind w:left="1320"/>
      <w:jc w:val="left"/>
    </w:pPr>
    <w:rPr>
      <w:rFonts w:asciiTheme="minorHAnsi" w:eastAsiaTheme="minorEastAsia" w:hAnsiTheme="minorHAnsi" w:cstheme="minorBidi"/>
    </w:rPr>
  </w:style>
  <w:style w:type="paragraph" w:styleId="Obsah8">
    <w:name w:val="toc 8"/>
    <w:basedOn w:val="Normln"/>
    <w:next w:val="Normln"/>
    <w:autoRedefine/>
    <w:uiPriority w:val="39"/>
    <w:rsid w:val="003B47B3"/>
    <w:pPr>
      <w:spacing w:before="0" w:after="100"/>
      <w:ind w:left="1540"/>
      <w:jc w:val="left"/>
    </w:pPr>
    <w:rPr>
      <w:rFonts w:asciiTheme="minorHAnsi" w:eastAsiaTheme="minorEastAsia" w:hAnsiTheme="minorHAnsi" w:cstheme="minorBidi"/>
    </w:rPr>
  </w:style>
  <w:style w:type="paragraph" w:styleId="Obsah9">
    <w:name w:val="toc 9"/>
    <w:basedOn w:val="Normln"/>
    <w:next w:val="Normln"/>
    <w:autoRedefine/>
    <w:uiPriority w:val="39"/>
    <w:rsid w:val="003B47B3"/>
    <w:pPr>
      <w:spacing w:before="0" w:after="100"/>
      <w:ind w:left="1760"/>
      <w:jc w:val="left"/>
    </w:pPr>
    <w:rPr>
      <w:rFonts w:asciiTheme="minorHAnsi" w:eastAsiaTheme="minorEastAsia" w:hAnsiTheme="minorHAnsi" w:cstheme="minorBidi"/>
    </w:rPr>
  </w:style>
  <w:style w:type="paragraph" w:customStyle="1" w:styleId="NEW">
    <w:name w:val="NEW"/>
    <w:basedOn w:val="Odstavecseseznamem"/>
    <w:link w:val="NEWChar"/>
    <w:qFormat/>
    <w:rsid w:val="003B47B3"/>
    <w:pPr>
      <w:numPr>
        <w:numId w:val="5"/>
      </w:numPr>
      <w:ind w:left="220" w:hanging="220"/>
    </w:pPr>
    <w:rPr>
      <w:rFonts w:ascii="Arial" w:hAnsi="Arial"/>
      <w:b/>
    </w:rPr>
  </w:style>
  <w:style w:type="paragraph" w:customStyle="1" w:styleId="ARIAL11">
    <w:name w:val="ARIAL 11"/>
    <w:basedOn w:val="Normln"/>
    <w:link w:val="ARIAL11Char"/>
    <w:qFormat/>
    <w:rsid w:val="003B47B3"/>
  </w:style>
  <w:style w:type="character" w:customStyle="1" w:styleId="NEWChar">
    <w:name w:val="NEW Char"/>
    <w:basedOn w:val="OdstavecseseznamemChar"/>
    <w:link w:val="NEW"/>
    <w:locked/>
    <w:rsid w:val="00A75B27"/>
    <w:rPr>
      <w:rFonts w:ascii="Arial" w:eastAsia="Arial Unicode MS" w:hAnsi="Arial" w:cs="Arial"/>
      <w:b/>
      <w:sz w:val="20"/>
      <w:szCs w:val="20"/>
      <w:u w:color="000000"/>
      <w:lang w:eastAsia="en-US"/>
    </w:rPr>
  </w:style>
  <w:style w:type="character" w:customStyle="1" w:styleId="ARIAL11Char">
    <w:name w:val="ARIAL 11 Char"/>
    <w:basedOn w:val="Standardnpsmoodstavce"/>
    <w:link w:val="ARIAL11"/>
    <w:locked/>
    <w:rsid w:val="00A75B27"/>
    <w:rPr>
      <w:rFonts w:ascii="Arial" w:eastAsia="Arial Unicode MS" w:hAnsi="Arial" w:cs="Arial"/>
      <w:u w:color="000000"/>
    </w:rPr>
  </w:style>
  <w:style w:type="table" w:customStyle="1" w:styleId="Mkatabulky30">
    <w:name w:val="Mřížka tabulky30"/>
    <w:uiPriority w:val="59"/>
    <w:rsid w:val="0036745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3">
    <w:name w:val="Mřížka tabulky33"/>
    <w:uiPriority w:val="59"/>
    <w:rsid w:val="00F700BB"/>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4">
    <w:name w:val="Mřížka tabulky34"/>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5">
    <w:name w:val="Mřížka tabulky35"/>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6">
    <w:name w:val="Mřížka tabulky36"/>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7">
    <w:name w:val="Mřížka tabulky37"/>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2">
    <w:name w:val="Mřížka tabulky9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8">
    <w:name w:val="Mřížka tabulky38"/>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9">
    <w:name w:val="Mřížka tabulky39"/>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0">
    <w:name w:val="Mřížka tabulky40"/>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3">
    <w:name w:val="Mřížka tabulky43"/>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4">
    <w:name w:val="Mřížka tabulky44"/>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5">
    <w:name w:val="Mřížka tabulky45"/>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6">
    <w:name w:val="Mřížka tabulky46"/>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7">
    <w:name w:val="Mřížka tabulky47"/>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8">
    <w:name w:val="Mřížka tabulky48"/>
    <w:uiPriority w:val="59"/>
    <w:rsid w:val="00047E7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9">
    <w:name w:val="Mřížka tabulky49"/>
    <w:uiPriority w:val="59"/>
    <w:rsid w:val="00E002D7"/>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0">
    <w:name w:val="Mřížka tabulky50"/>
    <w:uiPriority w:val="59"/>
    <w:rsid w:val="00F564F4"/>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59"/>
    <w:rsid w:val="00F564F4"/>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2">
    <w:name w:val="Mřížka tabulky52"/>
    <w:uiPriority w:val="59"/>
    <w:rsid w:val="00A352DA"/>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3">
    <w:name w:val="Mřížka tabulky53"/>
    <w:uiPriority w:val="59"/>
    <w:rsid w:val="00A352DA"/>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4">
    <w:name w:val="Mřížka tabulky54"/>
    <w:uiPriority w:val="59"/>
    <w:rsid w:val="002128E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5">
    <w:name w:val="Mřížka tabulky55"/>
    <w:uiPriority w:val="59"/>
    <w:rsid w:val="009D3540"/>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6">
    <w:name w:val="Mřížka tabulky56"/>
    <w:uiPriority w:val="59"/>
    <w:rsid w:val="00791B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7">
    <w:name w:val="Mřížka tabulky57"/>
    <w:uiPriority w:val="59"/>
    <w:rsid w:val="00791B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3">
    <w:name w:val="Mřížka tabulky93"/>
    <w:uiPriority w:val="59"/>
    <w:rsid w:val="00C27E6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8">
    <w:name w:val="Mřížka tabulky58"/>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4">
    <w:name w:val="Mřížka tabulky94"/>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9">
    <w:name w:val="Mřížka tabulky59"/>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0">
    <w:name w:val="Mřížka tabulky60"/>
    <w:uiPriority w:val="59"/>
    <w:rsid w:val="0020258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59"/>
    <w:rsid w:val="0020258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2">
    <w:name w:val="Mřížka tabulky62"/>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3">
    <w:name w:val="Mřížka tabulky63"/>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4">
    <w:name w:val="Mřížka tabulky64"/>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5">
    <w:name w:val="Mřížka tabulky65"/>
    <w:uiPriority w:val="59"/>
    <w:rsid w:val="008B76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rsid w:val="00C401A4"/>
    <w:rPr>
      <w:rFonts w:cs="Times New Roman"/>
      <w:color w:val="800080"/>
      <w:u w:val="single"/>
    </w:rPr>
  </w:style>
  <w:style w:type="table" w:customStyle="1" w:styleId="Mkatabulky66">
    <w:name w:val="Mřížka tabulky66"/>
    <w:uiPriority w:val="59"/>
    <w:rsid w:val="004930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7">
    <w:name w:val="Mřížka tabulky67"/>
    <w:uiPriority w:val="59"/>
    <w:rsid w:val="004930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8">
    <w:name w:val="Mřížka tabulky68"/>
    <w:uiPriority w:val="59"/>
    <w:rsid w:val="00D6717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9">
    <w:name w:val="Mřížka tabulky69"/>
    <w:uiPriority w:val="59"/>
    <w:rsid w:val="00B36EB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address">
    <w:name w:val="eaddress"/>
    <w:basedOn w:val="Standardnpsmoodstavce"/>
    <w:rsid w:val="00D41598"/>
    <w:rPr>
      <w:rFonts w:cs="Times New Roman"/>
    </w:rPr>
  </w:style>
  <w:style w:type="paragraph" w:customStyle="1" w:styleId="Default">
    <w:name w:val="Default"/>
    <w:rsid w:val="00407149"/>
    <w:pPr>
      <w:autoSpaceDE w:val="0"/>
      <w:autoSpaceDN w:val="0"/>
      <w:adjustRightInd w:val="0"/>
      <w:spacing w:line="312" w:lineRule="auto"/>
      <w:jc w:val="both"/>
    </w:pPr>
    <w:rPr>
      <w:rFonts w:ascii="Arial" w:hAnsi="Arial" w:cs="Arial"/>
      <w:color w:val="000000"/>
      <w:sz w:val="24"/>
      <w:szCs w:val="24"/>
    </w:rPr>
  </w:style>
  <w:style w:type="table" w:customStyle="1" w:styleId="Mkatabulky331">
    <w:name w:val="Mřížka tabulky331"/>
    <w:uiPriority w:val="59"/>
    <w:rsid w:val="00D52589"/>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263237"/>
  </w:style>
  <w:style w:type="paragraph" w:customStyle="1" w:styleId="Nadpis51">
    <w:name w:val="Nadpis 51"/>
    <w:basedOn w:val="Normln"/>
    <w:next w:val="Normln"/>
    <w:uiPriority w:val="9"/>
    <w:qFormat/>
    <w:rsid w:val="003B47B3"/>
    <w:pPr>
      <w:keepNext/>
      <w:keepLines/>
      <w:spacing w:before="200"/>
      <w:jc w:val="left"/>
      <w:outlineLvl w:val="4"/>
    </w:pPr>
    <w:rPr>
      <w:rFonts w:ascii="Cambria" w:eastAsia="Times New Roman" w:hAnsi="Cambria"/>
      <w:color w:val="243F60"/>
    </w:rPr>
  </w:style>
  <w:style w:type="table" w:customStyle="1" w:styleId="Mkatabulky70">
    <w:name w:val="Mřížka tabulky70"/>
    <w:uiPriority w:val="59"/>
    <w:rsid w:val="0079590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0">
    <w:name w:val="Mřížka tabulky110"/>
    <w:uiPriority w:val="59"/>
    <w:rsid w:val="0079590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1">
    <w:name w:val="Nadpis 5 Char1"/>
    <w:basedOn w:val="Standardnpsmoodstavce"/>
    <w:uiPriority w:val="9"/>
    <w:semiHidden/>
    <w:rsid w:val="00C401A4"/>
    <w:rPr>
      <w:rFonts w:ascii="Cambria" w:hAnsi="Cambria" w:cs="Times New Roman"/>
      <w:color w:val="243F60"/>
      <w:sz w:val="22"/>
      <w:szCs w:val="22"/>
      <w:u w:color="000000"/>
    </w:rPr>
  </w:style>
  <w:style w:type="paragraph" w:customStyle="1" w:styleId="Bodycopy">
    <w:name w:val="Body copy"/>
    <w:basedOn w:val="Normln"/>
    <w:link w:val="BodycopyChar"/>
    <w:qFormat/>
    <w:rsid w:val="003B47B3"/>
    <w:pPr>
      <w:spacing w:before="0" w:after="260" w:line="260" w:lineRule="atLeast"/>
    </w:pPr>
    <w:rPr>
      <w:rFonts w:eastAsia="Times New Roman"/>
      <w:szCs w:val="24"/>
    </w:rPr>
  </w:style>
  <w:style w:type="character" w:customStyle="1" w:styleId="BodycopyChar">
    <w:name w:val="Body copy Char"/>
    <w:basedOn w:val="Standardnpsmoodstavce"/>
    <w:link w:val="Bodycopy"/>
    <w:locked/>
    <w:rsid w:val="00A4482F"/>
    <w:rPr>
      <w:rFonts w:ascii="Arial" w:hAnsi="Arial"/>
      <w:sz w:val="20"/>
      <w:szCs w:val="24"/>
      <w:u w:color="000000"/>
      <w:lang w:eastAsia="en-US"/>
    </w:rPr>
  </w:style>
  <w:style w:type="paragraph" w:customStyle="1" w:styleId="E-Zdroj">
    <w:name w:val="E-Zdroj"/>
    <w:basedOn w:val="Normln"/>
    <w:next w:val="Normln"/>
    <w:qFormat/>
    <w:rsid w:val="003B47B3"/>
    <w:pPr>
      <w:tabs>
        <w:tab w:val="left" w:pos="567"/>
      </w:tabs>
      <w:spacing w:before="60" w:after="200"/>
    </w:pPr>
    <w:rPr>
      <w:rFonts w:ascii="Calibri" w:eastAsia="Times New Roman" w:hAnsi="Calibri" w:cs="Calibri"/>
      <w:b/>
      <w:color w:val="000000"/>
      <w:szCs w:val="24"/>
    </w:rPr>
  </w:style>
  <w:style w:type="paragraph" w:customStyle="1" w:styleId="CM1">
    <w:name w:val="CM1"/>
    <w:basedOn w:val="Default"/>
    <w:next w:val="Default"/>
    <w:uiPriority w:val="99"/>
    <w:rsid w:val="00D87315"/>
    <w:pPr>
      <w:spacing w:line="240" w:lineRule="auto"/>
      <w:jc w:val="left"/>
    </w:pPr>
    <w:rPr>
      <w:rFonts w:ascii="EUAlbertina" w:hAnsi="EUAlbertina" w:cs="Times New Roman"/>
      <w:color w:val="auto"/>
    </w:rPr>
  </w:style>
  <w:style w:type="paragraph" w:customStyle="1" w:styleId="CM3">
    <w:name w:val="CM3"/>
    <w:basedOn w:val="Default"/>
    <w:next w:val="Default"/>
    <w:uiPriority w:val="99"/>
    <w:rsid w:val="00D87315"/>
    <w:pPr>
      <w:spacing w:line="240" w:lineRule="auto"/>
      <w:jc w:val="left"/>
    </w:pPr>
    <w:rPr>
      <w:rFonts w:ascii="EUAlbertina" w:hAnsi="EUAlbertina" w:cs="Times New Roman"/>
      <w:color w:val="auto"/>
    </w:rPr>
  </w:style>
  <w:style w:type="paragraph" w:customStyle="1" w:styleId="Pa1">
    <w:name w:val="Pa1"/>
    <w:basedOn w:val="Default"/>
    <w:next w:val="Default"/>
    <w:uiPriority w:val="99"/>
    <w:rsid w:val="00D87315"/>
    <w:pPr>
      <w:spacing w:line="241" w:lineRule="atLeast"/>
      <w:jc w:val="left"/>
    </w:pPr>
    <w:rPr>
      <w:rFonts w:ascii="EC Square Sans Pro" w:hAnsi="EC Square Sans Pro" w:cs="Times New Roman"/>
      <w:color w:val="auto"/>
    </w:rPr>
  </w:style>
  <w:style w:type="character" w:customStyle="1" w:styleId="A1">
    <w:name w:val="A1"/>
    <w:uiPriority w:val="99"/>
    <w:rsid w:val="00D87315"/>
    <w:rPr>
      <w:color w:val="000000"/>
      <w:sz w:val="48"/>
    </w:rPr>
  </w:style>
  <w:style w:type="numbering" w:customStyle="1" w:styleId="List1">
    <w:name w:val="List 1"/>
    <w:rsid w:val="00600F2A"/>
    <w:pPr>
      <w:numPr>
        <w:numId w:val="4"/>
      </w:numPr>
    </w:pPr>
  </w:style>
  <w:style w:type="numbering" w:customStyle="1" w:styleId="Bezseznamu1">
    <w:name w:val="Bez seznamu1"/>
    <w:next w:val="Bezseznamu"/>
    <w:uiPriority w:val="99"/>
    <w:semiHidden/>
    <w:unhideWhenUsed/>
    <w:rsid w:val="00C8628B"/>
  </w:style>
  <w:style w:type="character" w:customStyle="1" w:styleId="tgc">
    <w:name w:val="_tgc"/>
    <w:basedOn w:val="Standardnpsmoodstavce"/>
    <w:rsid w:val="00AF43D3"/>
  </w:style>
  <w:style w:type="paragraph" w:customStyle="1" w:styleId="Pa20">
    <w:name w:val="Pa20"/>
    <w:basedOn w:val="Normln"/>
    <w:next w:val="Normln"/>
    <w:uiPriority w:val="99"/>
    <w:rsid w:val="004A301B"/>
    <w:pPr>
      <w:autoSpaceDE w:val="0"/>
      <w:autoSpaceDN w:val="0"/>
      <w:adjustRightInd w:val="0"/>
      <w:spacing w:before="0" w:line="181" w:lineRule="atLeast"/>
      <w:jc w:val="left"/>
    </w:pPr>
    <w:rPr>
      <w:rFonts w:ascii="EC Square Sans Pro Light" w:eastAsiaTheme="minorHAnsi" w:hAnsi="EC Square Sans Pro Light" w:cstheme="minorBidi"/>
      <w:sz w:val="24"/>
      <w:szCs w:val="24"/>
    </w:rPr>
  </w:style>
  <w:style w:type="paragraph" w:customStyle="1" w:styleId="Pa19">
    <w:name w:val="Pa19"/>
    <w:basedOn w:val="Default"/>
    <w:next w:val="Default"/>
    <w:uiPriority w:val="99"/>
    <w:rsid w:val="003B47B3"/>
    <w:pPr>
      <w:spacing w:line="181" w:lineRule="atLeast"/>
      <w:jc w:val="left"/>
    </w:pPr>
    <w:rPr>
      <w:rFonts w:ascii="EC Square Sans Pro Light" w:hAnsi="EC Square Sans Pro Light" w:cs="Times New Roman"/>
      <w:color w:val="auto"/>
    </w:rPr>
  </w:style>
  <w:style w:type="paragraph" w:customStyle="1" w:styleId="Text">
    <w:name w:val="Text"/>
    <w:basedOn w:val="Normln"/>
    <w:qFormat/>
    <w:rsid w:val="00C72421"/>
    <w:pPr>
      <w:spacing w:before="0" w:after="120"/>
    </w:pPr>
    <w:rPr>
      <w:rFonts w:asciiTheme="minorHAnsi" w:eastAsia="Times New Roman" w:hAnsiTheme="minorHAnsi"/>
      <w:color w:val="000000" w:themeColor="text1"/>
      <w:sz w:val="22"/>
      <w:szCs w:val="22"/>
      <w:lang w:eastAsia="cs-CZ"/>
    </w:rPr>
  </w:style>
  <w:style w:type="paragraph" w:customStyle="1" w:styleId="Akapitzlist">
    <w:name w:val="Akapit z listą"/>
    <w:basedOn w:val="Normln"/>
    <w:uiPriority w:val="34"/>
    <w:qFormat/>
    <w:rsid w:val="001628C1"/>
    <w:pPr>
      <w:spacing w:before="0" w:line="240" w:lineRule="auto"/>
      <w:ind w:left="720"/>
      <w:contextualSpacing/>
      <w:jc w:val="center"/>
    </w:pPr>
    <w:rPr>
      <w:rFonts w:ascii="Calibri" w:eastAsia="Times New Roman" w:hAnsi="Calibri" w:cs="Calibri"/>
      <w:sz w:val="28"/>
      <w:szCs w:val="28"/>
      <w:lang w:val="pl-PL" w:eastAsia="pl-PL"/>
    </w:rPr>
  </w:style>
  <w:style w:type="character" w:customStyle="1" w:styleId="st">
    <w:name w:val="st"/>
    <w:basedOn w:val="Standardnpsmoodstavce"/>
    <w:rsid w:val="00BF0B3D"/>
  </w:style>
  <w:style w:type="paragraph" w:customStyle="1" w:styleId="Styl1-1">
    <w:name w:val="Styl1 - 1."/>
    <w:basedOn w:val="Normln"/>
    <w:link w:val="Styl1-1Char"/>
    <w:qFormat/>
    <w:rsid w:val="00095629"/>
    <w:pPr>
      <w:numPr>
        <w:numId w:val="6"/>
      </w:numPr>
      <w:overflowPunct w:val="0"/>
      <w:autoSpaceDE w:val="0"/>
      <w:autoSpaceDN w:val="0"/>
      <w:adjustRightInd w:val="0"/>
      <w:spacing w:after="240" w:line="240" w:lineRule="auto"/>
      <w:ind w:left="357" w:hanging="357"/>
      <w:textAlignment w:val="baseline"/>
    </w:pPr>
    <w:rPr>
      <w:rFonts w:eastAsia="Times New Roman"/>
      <w:sz w:val="22"/>
      <w:szCs w:val="22"/>
      <w:lang w:eastAsia="cs-CZ"/>
    </w:rPr>
  </w:style>
  <w:style w:type="character" w:customStyle="1" w:styleId="Styl1-1Char">
    <w:name w:val="Styl1 - 1. Char"/>
    <w:link w:val="Styl1-1"/>
    <w:rsid w:val="00095629"/>
    <w:rPr>
      <w:rFonts w:ascii="Arial" w:hAnsi="Arial" w:cs="Arial"/>
      <w:u w:color="00000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A6417D"/>
    <w:pPr>
      <w:spacing w:before="0" w:after="160" w:line="240" w:lineRule="exact"/>
    </w:pPr>
    <w:rPr>
      <w:rFonts w:ascii="Times New Roman" w:eastAsia="Times New Roman" w:hAnsi="Times New Roman" w:cs="Times New Roman"/>
      <w:sz w:val="22"/>
      <w:szCs w:val="22"/>
      <w:vertAlign w:val="superscript"/>
      <w:lang w:eastAsia="cs-CZ"/>
    </w:rPr>
  </w:style>
  <w:style w:type="paragraph" w:customStyle="1" w:styleId="slovanodstavec">
    <w:name w:val="Číslovaný odstavec"/>
    <w:basedOn w:val="Normln"/>
    <w:link w:val="slovanodstavecChar"/>
    <w:qFormat/>
    <w:rsid w:val="00A6417D"/>
    <w:pPr>
      <w:tabs>
        <w:tab w:val="left" w:pos="567"/>
      </w:tabs>
      <w:spacing w:before="0" w:after="200"/>
    </w:pPr>
    <w:rPr>
      <w:rFonts w:eastAsia="Calibri" w:cs="Times New Roman"/>
      <w:sz w:val="22"/>
      <w:szCs w:val="22"/>
    </w:rPr>
  </w:style>
  <w:style w:type="character" w:customStyle="1" w:styleId="slovanodstavecChar">
    <w:name w:val="Číslovaný odstavec Char"/>
    <w:link w:val="slovanodstavec"/>
    <w:rsid w:val="00A6417D"/>
    <w:rPr>
      <w:rFonts w:ascii="Arial" w:eastAsia="Calibri" w:hAnsi="Arial"/>
      <w:lang w:eastAsia="en-US"/>
    </w:rPr>
  </w:style>
  <w:style w:type="paragraph" w:customStyle="1" w:styleId="Text-podoblasti">
    <w:name w:val="Text - podoblasti"/>
    <w:basedOn w:val="Normln"/>
    <w:qFormat/>
    <w:rsid w:val="00D60AD1"/>
    <w:pPr>
      <w:numPr>
        <w:numId w:val="7"/>
      </w:numPr>
      <w:spacing w:before="0" w:after="60" w:line="240" w:lineRule="auto"/>
    </w:pPr>
    <w:rPr>
      <w:rFonts w:asciiTheme="minorHAnsi" w:eastAsiaTheme="minorHAnsi" w:hAnsiTheme="minorHAnsi" w:cstheme="minorBidi"/>
      <w:bCs/>
      <w:noProof/>
      <w:color w:val="76923C" w:themeColor="accent3" w:themeShade="BF"/>
    </w:rPr>
  </w:style>
  <w:style w:type="paragraph" w:customStyle="1" w:styleId="P4bodytext">
    <w:name w:val="P4 body text"/>
    <w:basedOn w:val="Normln"/>
    <w:uiPriority w:val="99"/>
    <w:rsid w:val="003B1622"/>
    <w:pPr>
      <w:pBdr>
        <w:top w:val="none" w:sz="96" w:space="31" w:color="FFFFFF" w:frame="1"/>
        <w:left w:val="none" w:sz="96" w:space="31" w:color="FFFFFF" w:frame="1"/>
        <w:bottom w:val="none" w:sz="96" w:space="31" w:color="FFFFFF" w:frame="1"/>
        <w:right w:val="none" w:sz="96" w:space="31" w:color="FFFFFF" w:frame="1"/>
        <w:bar w:val="none" w:sz="0" w:color="000000"/>
      </w:pBdr>
      <w:spacing w:line="264" w:lineRule="auto"/>
    </w:pPr>
    <w:rPr>
      <w:rFonts w:ascii="Times New Roman" w:eastAsia="Calibri" w:hAnsi="Times New Roman" w:cs="Calibri"/>
      <w:color w:val="000000"/>
      <w:sz w:val="22"/>
      <w:szCs w:val="22"/>
      <w:lang w:eastAsia="en-GB"/>
    </w:rPr>
  </w:style>
  <w:style w:type="paragraph" w:customStyle="1" w:styleId="P4odrkapuntk">
    <w:name w:val="P4 odrážka puntík"/>
    <w:basedOn w:val="Normln"/>
    <w:uiPriority w:val="99"/>
    <w:rsid w:val="00053B1D"/>
    <w:pPr>
      <w:pBdr>
        <w:top w:val="none" w:sz="96" w:space="31" w:color="FFFFFF" w:frame="1"/>
        <w:left w:val="none" w:sz="96" w:space="31" w:color="FFFFFF" w:frame="1"/>
        <w:bottom w:val="none" w:sz="96" w:space="31" w:color="FFFFFF" w:frame="1"/>
        <w:right w:val="none" w:sz="96" w:space="31" w:color="FFFFFF" w:frame="1"/>
        <w:bar w:val="none" w:sz="0" w:color="000000"/>
      </w:pBdr>
      <w:spacing w:line="264" w:lineRule="auto"/>
      <w:ind w:left="360" w:hanging="360"/>
    </w:pPr>
    <w:rPr>
      <w:rFonts w:ascii="Times New Roman" w:eastAsia="Calibri" w:hAnsi="Times New Roman" w:cs="Calibri"/>
      <w:color w:val="000000"/>
      <w:sz w:val="22"/>
      <w:szCs w:val="22"/>
      <w:lang w:eastAsia="en-GB"/>
    </w:rPr>
  </w:style>
  <w:style w:type="table" w:customStyle="1" w:styleId="Svtltabulkasmkou11">
    <w:name w:val="Světlá tabulka s mřížkou 11"/>
    <w:basedOn w:val="Normlntabulka"/>
    <w:uiPriority w:val="46"/>
    <w:rsid w:val="00FE5E1E"/>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int0number">
    <w:name w:val="Point 0 (number)"/>
    <w:basedOn w:val="Normln"/>
    <w:rsid w:val="008D7A67"/>
    <w:pPr>
      <w:numPr>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1number">
    <w:name w:val="Point 1 (number)"/>
    <w:basedOn w:val="Normln"/>
    <w:rsid w:val="008D7A67"/>
    <w:pPr>
      <w:numPr>
        <w:ilvl w:val="2"/>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2number">
    <w:name w:val="Point 2 (number)"/>
    <w:basedOn w:val="Normln"/>
    <w:rsid w:val="008D7A67"/>
    <w:pPr>
      <w:numPr>
        <w:ilvl w:val="4"/>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3number">
    <w:name w:val="Point 3 (number)"/>
    <w:basedOn w:val="Normln"/>
    <w:rsid w:val="008D7A67"/>
    <w:pPr>
      <w:numPr>
        <w:ilvl w:val="6"/>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0letter">
    <w:name w:val="Point 0 (letter)"/>
    <w:basedOn w:val="Normln"/>
    <w:rsid w:val="008D7A67"/>
    <w:pPr>
      <w:numPr>
        <w:ilvl w:val="1"/>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1letter">
    <w:name w:val="Point 1 (letter)"/>
    <w:basedOn w:val="Normln"/>
    <w:rsid w:val="008D7A67"/>
    <w:pPr>
      <w:numPr>
        <w:ilvl w:val="3"/>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2letter">
    <w:name w:val="Point 2 (letter)"/>
    <w:basedOn w:val="Normln"/>
    <w:rsid w:val="008D7A67"/>
    <w:pPr>
      <w:numPr>
        <w:ilvl w:val="5"/>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3letter">
    <w:name w:val="Point 3 (letter)"/>
    <w:basedOn w:val="Normln"/>
    <w:rsid w:val="008D7A67"/>
    <w:pPr>
      <w:numPr>
        <w:ilvl w:val="7"/>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4letter">
    <w:name w:val="Point 4 (letter)"/>
    <w:basedOn w:val="Normln"/>
    <w:rsid w:val="008D7A67"/>
    <w:pPr>
      <w:numPr>
        <w:ilvl w:val="8"/>
        <w:numId w:val="23"/>
      </w:numPr>
      <w:spacing w:after="120" w:line="240" w:lineRule="auto"/>
    </w:pPr>
    <w:rPr>
      <w:rFonts w:ascii="Times New Roman" w:eastAsiaTheme="minorHAnsi" w:hAnsi="Times New Roman" w:cs="Times New Roman"/>
      <w:sz w:val="24"/>
      <w:szCs w:val="22"/>
      <w:lang w:eastAsia="cs-CZ" w:bidi="cs-CZ"/>
    </w:rPr>
  </w:style>
  <w:style w:type="table" w:customStyle="1" w:styleId="Tabulkasmkou3zvraznn51">
    <w:name w:val="Tabulka s mřížkou 3 – zvýraznění 51"/>
    <w:basedOn w:val="Normlntabulka"/>
    <w:uiPriority w:val="48"/>
    <w:rsid w:val="00744CFD"/>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ulkasmkou3zvraznn11">
    <w:name w:val="Tabulka s mřížkou 3 – zvýraznění 11"/>
    <w:basedOn w:val="Normlntabulka"/>
    <w:uiPriority w:val="48"/>
    <w:rsid w:val="008640BE"/>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2zvraznn51">
    <w:name w:val="Tabulka s mřížkou 2 – zvýraznění 51"/>
    <w:basedOn w:val="Normlntabulka"/>
    <w:uiPriority w:val="47"/>
    <w:rsid w:val="00CF14C9"/>
    <w:rPr>
      <w:rFonts w:asciiTheme="minorHAnsi" w:eastAsiaTheme="minorHAnsi" w:hAnsi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old">
    <w:name w:val="bold"/>
    <w:basedOn w:val="Standardnpsmoodstavce"/>
    <w:rsid w:val="00BD6041"/>
  </w:style>
  <w:style w:type="paragraph" w:customStyle="1" w:styleId="paragraph">
    <w:name w:val="paragraph"/>
    <w:basedOn w:val="Normln"/>
    <w:rsid w:val="0084778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847786"/>
  </w:style>
  <w:style w:type="character" w:customStyle="1" w:styleId="eop">
    <w:name w:val="eop"/>
    <w:basedOn w:val="Standardnpsmoodstavce"/>
    <w:rsid w:val="00847786"/>
  </w:style>
  <w:style w:type="character" w:customStyle="1" w:styleId="spellingerror">
    <w:name w:val="spellingerror"/>
    <w:basedOn w:val="Standardnpsmoodstavce"/>
    <w:rsid w:val="00847786"/>
  </w:style>
  <w:style w:type="character" w:customStyle="1" w:styleId="normaltextrun1">
    <w:name w:val="normaltextrun1"/>
    <w:basedOn w:val="Standardnpsmoodstavce"/>
    <w:rsid w:val="00A56297"/>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D72DA5"/>
    <w:pPr>
      <w:spacing w:before="0" w:after="160" w:line="240" w:lineRule="exact"/>
      <w:jc w:val="left"/>
    </w:pPr>
    <w:rPr>
      <w:rFonts w:ascii="Times New Roman Bold" w:eastAsia="Times New Roman" w:hAnsi="Times New Roman Bold" w:cs="Times New Roman"/>
      <w:sz w:val="22"/>
      <w:szCs w:val="2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0E6EE7"/>
    <w:pPr>
      <w:spacing w:before="120" w:line="276" w:lineRule="auto"/>
      <w:jc w:val="both"/>
    </w:pPr>
    <w:rPr>
      <w:rFonts w:ascii="Arial" w:eastAsia="Arial Unicode MS" w:hAnsi="Arial" w:cs="Arial"/>
      <w:sz w:val="20"/>
      <w:szCs w:val="20"/>
      <w:u w:color="000000"/>
      <w:lang w:eastAsia="en-US"/>
    </w:rPr>
  </w:style>
  <w:style w:type="paragraph" w:styleId="Nadpis1">
    <w:name w:val="heading 1"/>
    <w:basedOn w:val="Normln"/>
    <w:next w:val="Normln"/>
    <w:link w:val="Nadpis1Char"/>
    <w:uiPriority w:val="9"/>
    <w:qFormat/>
    <w:rsid w:val="00186906"/>
    <w:pPr>
      <w:keepNext/>
      <w:keepLines/>
      <w:numPr>
        <w:numId w:val="2"/>
      </w:numPr>
      <w:spacing w:before="480" w:after="240"/>
      <w:outlineLvl w:val="0"/>
    </w:pPr>
    <w:rPr>
      <w:rFonts w:eastAsia="Times New Roman"/>
      <w:b/>
      <w:bCs/>
      <w:color w:val="002060"/>
      <w:sz w:val="36"/>
      <w:szCs w:val="32"/>
    </w:rPr>
  </w:style>
  <w:style w:type="paragraph" w:styleId="Nadpis2">
    <w:name w:val="heading 2"/>
    <w:basedOn w:val="Nadpis1"/>
    <w:next w:val="Normln"/>
    <w:link w:val="Nadpis2Char"/>
    <w:uiPriority w:val="9"/>
    <w:qFormat/>
    <w:rsid w:val="00C401A4"/>
    <w:pPr>
      <w:numPr>
        <w:ilvl w:val="1"/>
      </w:numPr>
      <w:spacing w:before="240" w:after="120"/>
      <w:outlineLvl w:val="1"/>
    </w:pPr>
    <w:rPr>
      <w:sz w:val="28"/>
      <w:szCs w:val="28"/>
    </w:rPr>
  </w:style>
  <w:style w:type="paragraph" w:styleId="Nadpis3">
    <w:name w:val="heading 3"/>
    <w:basedOn w:val="Normln"/>
    <w:next w:val="Normln"/>
    <w:link w:val="Nadpis3Char"/>
    <w:uiPriority w:val="9"/>
    <w:qFormat/>
    <w:rsid w:val="00B8497D"/>
    <w:pPr>
      <w:keepNext/>
      <w:numPr>
        <w:ilvl w:val="2"/>
        <w:numId w:val="2"/>
      </w:numPr>
      <w:tabs>
        <w:tab w:val="left" w:pos="1985"/>
      </w:tabs>
      <w:spacing w:before="0" w:after="240"/>
      <w:outlineLvl w:val="2"/>
    </w:pPr>
    <w:rPr>
      <w:rFonts w:eastAsia="Calibri"/>
      <w:b/>
      <w:color w:val="002060"/>
    </w:rPr>
  </w:style>
  <w:style w:type="paragraph" w:styleId="Nadpis4">
    <w:name w:val="heading 4"/>
    <w:basedOn w:val="Normln"/>
    <w:next w:val="Normln"/>
    <w:link w:val="Nadpis4Char"/>
    <w:autoRedefine/>
    <w:uiPriority w:val="9"/>
    <w:qFormat/>
    <w:rsid w:val="00306E53"/>
    <w:pPr>
      <w:keepNext/>
      <w:keepLines/>
      <w:numPr>
        <w:ilvl w:val="3"/>
        <w:numId w:val="2"/>
      </w:numPr>
      <w:spacing w:before="200"/>
      <w:outlineLvl w:val="3"/>
    </w:pPr>
    <w:rPr>
      <w:rFonts w:eastAsiaTheme="majorEastAsia"/>
      <w:b/>
      <w:bCs/>
      <w:i/>
      <w:iCs/>
      <w:color w:val="17365D" w:themeColor="text2" w:themeShade="BF"/>
      <w:sz w:val="22"/>
      <w:szCs w:val="22"/>
    </w:rPr>
  </w:style>
  <w:style w:type="paragraph" w:styleId="Nadpis5">
    <w:name w:val="heading 5"/>
    <w:basedOn w:val="Normln"/>
    <w:next w:val="Normln"/>
    <w:link w:val="Nadpis5Char"/>
    <w:uiPriority w:val="9"/>
    <w:qFormat/>
    <w:rsid w:val="00C401A4"/>
    <w:pPr>
      <w:keepNext/>
      <w:keepLines/>
      <w:spacing w:before="200"/>
      <w:outlineLvl w:val="4"/>
    </w:pPr>
    <w:rPr>
      <w:rFonts w:ascii="Cambria" w:eastAsia="Times New Roman"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186906"/>
    <w:rPr>
      <w:rFonts w:ascii="Arial" w:hAnsi="Arial" w:cs="Arial"/>
      <w:b/>
      <w:bCs/>
      <w:color w:val="002060"/>
      <w:sz w:val="36"/>
      <w:szCs w:val="32"/>
      <w:u w:color="000000"/>
      <w:lang w:eastAsia="en-US"/>
    </w:rPr>
  </w:style>
  <w:style w:type="character" w:customStyle="1" w:styleId="Nadpis2Char">
    <w:name w:val="Nadpis 2 Char"/>
    <w:basedOn w:val="Standardnpsmoodstavce"/>
    <w:link w:val="Nadpis2"/>
    <w:uiPriority w:val="9"/>
    <w:locked/>
    <w:rsid w:val="00992BB6"/>
    <w:rPr>
      <w:rFonts w:ascii="Arial" w:hAnsi="Arial" w:cs="Arial"/>
      <w:b/>
      <w:bCs/>
      <w:color w:val="002060"/>
      <w:sz w:val="28"/>
      <w:szCs w:val="28"/>
      <w:u w:color="000000"/>
      <w:lang w:eastAsia="en-US"/>
    </w:rPr>
  </w:style>
  <w:style w:type="character" w:customStyle="1" w:styleId="Nadpis3Char">
    <w:name w:val="Nadpis 3 Char"/>
    <w:basedOn w:val="Standardnpsmoodstavce"/>
    <w:link w:val="Nadpis3"/>
    <w:uiPriority w:val="9"/>
    <w:locked/>
    <w:rsid w:val="00B8497D"/>
    <w:rPr>
      <w:rFonts w:ascii="Arial" w:eastAsia="Calibri" w:hAnsi="Arial" w:cs="Arial"/>
      <w:b/>
      <w:color w:val="002060"/>
      <w:sz w:val="20"/>
      <w:szCs w:val="20"/>
      <w:u w:color="000000"/>
      <w:lang w:eastAsia="en-US"/>
    </w:rPr>
  </w:style>
  <w:style w:type="character" w:customStyle="1" w:styleId="Nadpis4Char">
    <w:name w:val="Nadpis 4 Char"/>
    <w:basedOn w:val="Standardnpsmoodstavce"/>
    <w:link w:val="Nadpis4"/>
    <w:uiPriority w:val="9"/>
    <w:locked/>
    <w:rsid w:val="00306E53"/>
    <w:rPr>
      <w:rFonts w:ascii="Arial" w:eastAsiaTheme="majorEastAsia" w:hAnsi="Arial" w:cs="Arial"/>
      <w:b/>
      <w:bCs/>
      <w:i/>
      <w:iCs/>
      <w:color w:val="17365D" w:themeColor="text2" w:themeShade="BF"/>
      <w:u w:color="000000"/>
      <w:lang w:eastAsia="en-US"/>
    </w:rPr>
  </w:style>
  <w:style w:type="character" w:customStyle="1" w:styleId="Nadpis5Char">
    <w:name w:val="Nadpis 5 Char"/>
    <w:basedOn w:val="Standardnpsmoodstavce"/>
    <w:link w:val="Nadpis5"/>
    <w:uiPriority w:val="9"/>
    <w:locked/>
    <w:rsid w:val="00795903"/>
    <w:rPr>
      <w:rFonts w:ascii="Cambria" w:hAnsi="Cambria"/>
      <w:color w:val="243F60"/>
      <w:sz w:val="20"/>
      <w:szCs w:val="20"/>
      <w:u w:color="000000"/>
    </w:rPr>
  </w:style>
  <w:style w:type="character" w:styleId="Siln">
    <w:name w:val="Strong"/>
    <w:basedOn w:val="Standardnpsmoodstavce"/>
    <w:uiPriority w:val="22"/>
    <w:qFormat/>
    <w:rsid w:val="00754A08"/>
    <w:rPr>
      <w:rFonts w:cs="Times New Roman"/>
      <w:b/>
      <w:bCs/>
      <w:sz w:val="36"/>
      <w:szCs w:val="36"/>
    </w:rPr>
  </w:style>
  <w:style w:type="paragraph" w:styleId="Odstavecseseznamem">
    <w:name w:val="List Paragraph"/>
    <w:aliases w:val="Nad,Odstavec cíl se seznamem,Odstavec se seznamem5,Odstavec_muj,_Odstavec se seznamem,Seznam - odrážky,Conclusion de partie,Fiche List Paragraph,List Paragraph (Czech Tourism),Název grafu,nad 1,Odstavec se seznamem2,List Paragraph"/>
    <w:basedOn w:val="Normln"/>
    <w:link w:val="OdstavecseseznamemChar"/>
    <w:uiPriority w:val="34"/>
    <w:qFormat/>
    <w:rsid w:val="00754A08"/>
    <w:pPr>
      <w:spacing w:after="120"/>
      <w:ind w:left="720" w:hanging="284"/>
      <w:contextualSpacing/>
    </w:pPr>
    <w:rPr>
      <w:rFonts w:ascii="Calibri" w:hAnsi="Calibri"/>
    </w:rPr>
  </w:style>
  <w:style w:type="paragraph" w:styleId="Nzev">
    <w:name w:val="Title"/>
    <w:basedOn w:val="Normln"/>
    <w:next w:val="Normln"/>
    <w:link w:val="NzevChar"/>
    <w:uiPriority w:val="10"/>
    <w:qFormat/>
    <w:rsid w:val="003B47B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locked/>
    <w:rsid w:val="00754A08"/>
    <w:rPr>
      <w:rFonts w:asciiTheme="majorHAnsi" w:eastAsiaTheme="majorEastAsia" w:hAnsiTheme="majorHAnsi" w:cstheme="majorBidi"/>
      <w:color w:val="17365D" w:themeColor="text2" w:themeShade="BF"/>
      <w:spacing w:val="5"/>
      <w:kern w:val="28"/>
      <w:sz w:val="52"/>
      <w:szCs w:val="52"/>
      <w:u w:color="000000"/>
    </w:rPr>
  </w:style>
  <w:style w:type="paragraph" w:styleId="Podtitul">
    <w:name w:val="Subtitle"/>
    <w:basedOn w:val="Normln"/>
    <w:next w:val="Normln"/>
    <w:link w:val="PodtitulChar"/>
    <w:uiPriority w:val="11"/>
    <w:qFormat/>
    <w:rsid w:val="00754A08"/>
    <w:pPr>
      <w:numPr>
        <w:ilvl w:val="1"/>
      </w:numPr>
      <w:spacing w:before="0" w:line="240" w:lineRule="auto"/>
      <w:jc w:val="center"/>
    </w:pPr>
    <w:rPr>
      <w:rFonts w:eastAsia="Times New Roman"/>
      <w:b/>
      <w:iCs/>
      <w:spacing w:val="15"/>
      <w:sz w:val="36"/>
      <w:szCs w:val="36"/>
    </w:rPr>
  </w:style>
  <w:style w:type="character" w:customStyle="1" w:styleId="PodtitulChar">
    <w:name w:val="Podtitul Char"/>
    <w:basedOn w:val="Standardnpsmoodstavce"/>
    <w:link w:val="Podtitul"/>
    <w:uiPriority w:val="11"/>
    <w:locked/>
    <w:rsid w:val="00754A08"/>
    <w:rPr>
      <w:rFonts w:ascii="Arial" w:hAnsi="Arial" w:cs="Arial"/>
      <w:b/>
      <w:iCs/>
      <w:spacing w:val="15"/>
      <w:sz w:val="36"/>
      <w:szCs w:val="36"/>
      <w:u w:color="000000"/>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qFormat/>
    <w:rsid w:val="003B47B3"/>
    <w:pPr>
      <w:spacing w:before="0" w:line="240" w:lineRule="auto"/>
    </w:pPr>
    <w:rPr>
      <w:sz w:val="18"/>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locked/>
    <w:rsid w:val="003759C7"/>
    <w:rPr>
      <w:rFonts w:ascii="Arial" w:eastAsia="Arial Unicode MS" w:hAnsi="Arial"/>
      <w:sz w:val="18"/>
      <w:szCs w:val="20"/>
      <w:u w:color="000000"/>
    </w:rPr>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R,Légende;Char Car Car Car Car"/>
    <w:basedOn w:val="Standardnpsmoodstavce"/>
    <w:link w:val="FootnotesymbolCarZchn"/>
    <w:uiPriority w:val="99"/>
    <w:rsid w:val="00C401A4"/>
    <w:rPr>
      <w:vertAlign w:val="superscript"/>
    </w:rPr>
  </w:style>
  <w:style w:type="paragraph" w:styleId="Nadpisobsahu">
    <w:name w:val="TOC Heading"/>
    <w:basedOn w:val="Nadpis1"/>
    <w:next w:val="Normln"/>
    <w:uiPriority w:val="39"/>
    <w:qFormat/>
    <w:rsid w:val="003B47B3"/>
    <w:pPr>
      <w:numPr>
        <w:numId w:val="0"/>
      </w:numPr>
      <w:jc w:val="left"/>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autoRedefine/>
    <w:uiPriority w:val="39"/>
    <w:qFormat/>
    <w:rsid w:val="00785D3D"/>
    <w:pPr>
      <w:tabs>
        <w:tab w:val="left" w:pos="284"/>
        <w:tab w:val="right" w:leader="dot" w:pos="9060"/>
      </w:tabs>
      <w:spacing w:after="100"/>
    </w:pPr>
  </w:style>
  <w:style w:type="character" w:styleId="Hypertextovodkaz">
    <w:name w:val="Hyperlink"/>
    <w:basedOn w:val="Standardnpsmoodstavce"/>
    <w:uiPriority w:val="99"/>
    <w:rsid w:val="003B47B3"/>
    <w:rPr>
      <w:color w:val="0000FF" w:themeColor="hyperlink"/>
      <w:u w:val="single"/>
    </w:rPr>
  </w:style>
  <w:style w:type="paragraph" w:styleId="Textbubliny">
    <w:name w:val="Balloon Text"/>
    <w:basedOn w:val="Normln"/>
    <w:link w:val="TextbublinyChar"/>
    <w:uiPriority w:val="99"/>
    <w:semiHidden/>
    <w:rsid w:val="00C401A4"/>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736CE"/>
    <w:rPr>
      <w:rFonts w:ascii="Tahoma" w:eastAsia="Arial Unicode MS" w:hAnsi="Tahoma" w:cs="Tahoma"/>
      <w:sz w:val="16"/>
      <w:szCs w:val="16"/>
      <w:u w:color="000000"/>
    </w:rPr>
  </w:style>
  <w:style w:type="table" w:styleId="Mkatabulky">
    <w:name w:val="Table Grid"/>
    <w:basedOn w:val="Normlntabulka"/>
    <w:uiPriority w:val="39"/>
    <w:rsid w:val="008563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C401A4"/>
    <w:pPr>
      <w:spacing w:after="40" w:line="240" w:lineRule="auto"/>
      <w:ind w:left="142"/>
    </w:pPr>
    <w:rPr>
      <w:b/>
      <w:bCs/>
    </w:rPr>
  </w:style>
  <w:style w:type="paragraph" w:customStyle="1" w:styleId="Odstavecseseznamem1">
    <w:name w:val="Odstavec se seznamem1"/>
    <w:basedOn w:val="Normln"/>
    <w:link w:val="ListParagraphChar"/>
    <w:uiPriority w:val="34"/>
    <w:qFormat/>
    <w:rsid w:val="003B47B3"/>
    <w:pPr>
      <w:spacing w:before="0" w:after="200"/>
      <w:ind w:left="720"/>
      <w:jc w:val="left"/>
    </w:pPr>
    <w:rPr>
      <w:rFonts w:ascii="Calibri" w:eastAsia="Times New Roman" w:hAnsi="Calibri" w:cs="Calibri"/>
    </w:rPr>
  </w:style>
  <w:style w:type="character" w:customStyle="1" w:styleId="ListParagraphChar">
    <w:name w:val="List Paragraph Char"/>
    <w:basedOn w:val="Standardnpsmoodstavce"/>
    <w:link w:val="Odstavecseseznamem1"/>
    <w:uiPriority w:val="34"/>
    <w:locked/>
    <w:rsid w:val="00923C91"/>
    <w:rPr>
      <w:rFonts w:ascii="Calibri" w:hAnsi="Calibri" w:cs="Calibri"/>
      <w:u w:color="000000"/>
      <w:lang w:eastAsia="en-US"/>
    </w:rPr>
  </w:style>
  <w:style w:type="paragraph" w:styleId="Zhlav">
    <w:name w:val="header"/>
    <w:basedOn w:val="Normln"/>
    <w:link w:val="ZhlavChar"/>
    <w:uiPriority w:val="99"/>
    <w:rsid w:val="00C401A4"/>
    <w:pPr>
      <w:tabs>
        <w:tab w:val="center" w:pos="4536"/>
        <w:tab w:val="right" w:pos="9072"/>
      </w:tabs>
      <w:spacing w:before="0" w:line="240" w:lineRule="auto"/>
    </w:pPr>
  </w:style>
  <w:style w:type="character" w:customStyle="1" w:styleId="ZhlavChar">
    <w:name w:val="Záhlaví Char"/>
    <w:basedOn w:val="Standardnpsmoodstavce"/>
    <w:link w:val="Zhlav"/>
    <w:uiPriority w:val="99"/>
    <w:locked/>
    <w:rsid w:val="00A4479A"/>
    <w:rPr>
      <w:rFonts w:eastAsia="Arial Unicode MS"/>
      <w:u w:color="000000"/>
    </w:rPr>
  </w:style>
  <w:style w:type="paragraph" w:styleId="Zpat">
    <w:name w:val="footer"/>
    <w:basedOn w:val="Normln"/>
    <w:link w:val="ZpatChar"/>
    <w:uiPriority w:val="99"/>
    <w:rsid w:val="00C401A4"/>
    <w:pPr>
      <w:tabs>
        <w:tab w:val="center" w:pos="4536"/>
        <w:tab w:val="right" w:pos="9072"/>
      </w:tabs>
      <w:spacing w:before="0" w:line="240" w:lineRule="auto"/>
    </w:pPr>
  </w:style>
  <w:style w:type="character" w:customStyle="1" w:styleId="ZpatChar">
    <w:name w:val="Zápatí Char"/>
    <w:basedOn w:val="Standardnpsmoodstavce"/>
    <w:link w:val="Zpat"/>
    <w:uiPriority w:val="99"/>
    <w:locked/>
    <w:rsid w:val="00A4479A"/>
    <w:rPr>
      <w:rFonts w:eastAsia="Arial Unicode MS"/>
      <w:u w:color="000000"/>
    </w:rPr>
  </w:style>
  <w:style w:type="paragraph" w:customStyle="1" w:styleId="List0">
    <w:name w:val="List 0"/>
    <w:basedOn w:val="Normln"/>
    <w:semiHidden/>
    <w:rsid w:val="00E06A52"/>
    <w:pPr>
      <w:numPr>
        <w:numId w:val="1"/>
      </w:numPr>
      <w:spacing w:before="0" w:line="240" w:lineRule="auto"/>
      <w:jc w:val="left"/>
    </w:pPr>
    <w:rPr>
      <w:rFonts w:eastAsia="Times New Roman"/>
    </w:rPr>
  </w:style>
  <w:style w:type="character" w:styleId="Odkaznakoment">
    <w:name w:val="annotation reference"/>
    <w:basedOn w:val="Standardnpsmoodstavce"/>
    <w:uiPriority w:val="99"/>
    <w:rsid w:val="001870D9"/>
    <w:rPr>
      <w:rFonts w:cs="Times New Roman"/>
      <w:sz w:val="16"/>
      <w:szCs w:val="16"/>
    </w:rPr>
  </w:style>
  <w:style w:type="character" w:customStyle="1" w:styleId="CommentTextChar">
    <w:name w:val="Comment Text Char"/>
    <w:uiPriority w:val="99"/>
    <w:locked/>
    <w:rsid w:val="001870D9"/>
    <w:rPr>
      <w:rFonts w:ascii="Arial" w:hAnsi="Arial"/>
    </w:rPr>
  </w:style>
  <w:style w:type="paragraph" w:styleId="Textkomente">
    <w:name w:val="annotation text"/>
    <w:basedOn w:val="Normln"/>
    <w:link w:val="TextkomenteChar"/>
    <w:uiPriority w:val="99"/>
    <w:rsid w:val="001870D9"/>
    <w:pPr>
      <w:spacing w:before="0" w:line="240" w:lineRule="auto"/>
      <w:jc w:val="left"/>
    </w:pPr>
    <w:rPr>
      <w:rFonts w:eastAsia="Times New Roman"/>
    </w:rPr>
  </w:style>
  <w:style w:type="character" w:customStyle="1" w:styleId="TextkomenteChar">
    <w:name w:val="Text komentáře Char"/>
    <w:basedOn w:val="Standardnpsmoodstavce"/>
    <w:link w:val="Textkomente"/>
    <w:uiPriority w:val="99"/>
    <w:locked/>
    <w:rsid w:val="00971915"/>
    <w:rPr>
      <w:rFonts w:eastAsia="Arial Unicode MS" w:cs="Times New Roman"/>
      <w:sz w:val="20"/>
      <w:szCs w:val="20"/>
      <w:u w:color="000000"/>
    </w:rPr>
  </w:style>
  <w:style w:type="character" w:customStyle="1" w:styleId="TextkomenteChar1">
    <w:name w:val="Text komentáře Char1"/>
    <w:basedOn w:val="Standardnpsmoodstavce"/>
    <w:uiPriority w:val="99"/>
    <w:semiHidden/>
    <w:rsid w:val="001870D9"/>
    <w:rPr>
      <w:rFonts w:eastAsia="Arial Unicode MS" w:cs="Times New Roman"/>
      <w:u w:color="000000"/>
    </w:rPr>
  </w:style>
  <w:style w:type="paragraph" w:styleId="Bezmezer">
    <w:name w:val="No Spacing"/>
    <w:uiPriority w:val="1"/>
    <w:qFormat/>
    <w:rsid w:val="00CD02F7"/>
    <w:pPr>
      <w:jc w:val="both"/>
    </w:pPr>
    <w:rPr>
      <w:rFonts w:eastAsia="Arial Unicode MS"/>
      <w:u w:color="000000"/>
    </w:rPr>
  </w:style>
  <w:style w:type="paragraph" w:styleId="Prosttext">
    <w:name w:val="Plain Text"/>
    <w:basedOn w:val="Normln"/>
    <w:link w:val="ProsttextChar"/>
    <w:uiPriority w:val="99"/>
    <w:semiHidden/>
    <w:rsid w:val="00C401A4"/>
    <w:pPr>
      <w:spacing w:before="0" w:line="240" w:lineRule="auto"/>
      <w:jc w:val="left"/>
    </w:pPr>
    <w:rPr>
      <w:rFonts w:ascii="Calibri" w:eastAsiaTheme="minorHAnsi" w:hAnsi="Calibri" w:cs="Consolas"/>
      <w:szCs w:val="21"/>
    </w:rPr>
  </w:style>
  <w:style w:type="character" w:customStyle="1" w:styleId="ProsttextChar">
    <w:name w:val="Prostý text Char"/>
    <w:basedOn w:val="Standardnpsmoodstavce"/>
    <w:link w:val="Prosttext"/>
    <w:uiPriority w:val="99"/>
    <w:semiHidden/>
    <w:locked/>
    <w:rsid w:val="008A145C"/>
    <w:rPr>
      <w:rFonts w:ascii="Calibri" w:eastAsiaTheme="minorHAnsi" w:hAnsi="Calibri" w:cs="Consolas"/>
      <w:szCs w:val="21"/>
      <w:u w:color="000000"/>
      <w:lang w:eastAsia="en-US"/>
    </w:rPr>
  </w:style>
  <w:style w:type="character" w:customStyle="1" w:styleId="OdstavecseseznamemChar">
    <w:name w:val="Odstavec se seznamem Char"/>
    <w:aliases w:val="Nad Char,Odstavec cíl se seznamem Char,Odstavec se seznamem5 Char,Odstavec_muj Char,_Odstavec se seznamem Char,Seznam - odrážky Char,Conclusion de partie Char,Fiche List Paragraph Char,List Paragraph (Czech Tourism) Char"/>
    <w:link w:val="Odstavecseseznamem"/>
    <w:uiPriority w:val="34"/>
    <w:qFormat/>
    <w:locked/>
    <w:rsid w:val="003016BD"/>
    <w:rPr>
      <w:rFonts w:ascii="Calibri" w:eastAsia="Arial Unicode MS" w:hAnsi="Calibri"/>
      <w:sz w:val="22"/>
      <w:u w:color="000000"/>
      <w:lang w:eastAsia="en-US"/>
    </w:rPr>
  </w:style>
  <w:style w:type="paragraph" w:customStyle="1" w:styleId="Seznam">
    <w:name w:val="*Seznam"/>
    <w:basedOn w:val="Zkladntext"/>
    <w:rsid w:val="00C401A4"/>
    <w:pPr>
      <w:numPr>
        <w:numId w:val="3"/>
      </w:numPr>
      <w:overflowPunct w:val="0"/>
      <w:autoSpaceDE w:val="0"/>
      <w:autoSpaceDN w:val="0"/>
      <w:adjustRightInd w:val="0"/>
      <w:spacing w:line="240" w:lineRule="auto"/>
      <w:ind w:left="714" w:hanging="357"/>
      <w:contextualSpacing/>
      <w:jc w:val="left"/>
      <w:textAlignment w:val="baseline"/>
    </w:pPr>
    <w:rPr>
      <w:rFonts w:eastAsia="Times New Roman"/>
      <w:sz w:val="24"/>
    </w:rPr>
  </w:style>
  <w:style w:type="paragraph" w:customStyle="1" w:styleId="TextNOK">
    <w:name w:val="Text NOK"/>
    <w:basedOn w:val="Normln"/>
    <w:link w:val="TextNOKChar"/>
    <w:uiPriority w:val="99"/>
    <w:qFormat/>
    <w:rsid w:val="003B47B3"/>
    <w:pPr>
      <w:spacing w:before="60" w:after="60" w:line="312" w:lineRule="auto"/>
    </w:pPr>
    <w:rPr>
      <w:rFonts w:eastAsia="Times New Roman"/>
      <w:szCs w:val="24"/>
    </w:rPr>
  </w:style>
  <w:style w:type="character" w:customStyle="1" w:styleId="TextNOKChar">
    <w:name w:val="Text NOK Char"/>
    <w:basedOn w:val="Standardnpsmoodstavce"/>
    <w:link w:val="TextNOK"/>
    <w:uiPriority w:val="99"/>
    <w:locked/>
    <w:rsid w:val="006D0810"/>
    <w:rPr>
      <w:szCs w:val="24"/>
      <w:u w:color="000000"/>
    </w:rPr>
  </w:style>
  <w:style w:type="paragraph" w:styleId="Zkladntext">
    <w:name w:val="Body Text"/>
    <w:basedOn w:val="Normln"/>
    <w:link w:val="ZkladntextChar"/>
    <w:uiPriority w:val="99"/>
    <w:semiHidden/>
    <w:rsid w:val="00C401A4"/>
    <w:pPr>
      <w:spacing w:after="120"/>
    </w:pPr>
  </w:style>
  <w:style w:type="character" w:customStyle="1" w:styleId="ZkladntextChar">
    <w:name w:val="Základní text Char"/>
    <w:basedOn w:val="Standardnpsmoodstavce"/>
    <w:link w:val="Zkladntext"/>
    <w:uiPriority w:val="99"/>
    <w:semiHidden/>
    <w:locked/>
    <w:rsid w:val="006D0810"/>
    <w:rPr>
      <w:rFonts w:eastAsia="Arial Unicode MS"/>
      <w:u w:color="000000"/>
    </w:rPr>
  </w:style>
  <w:style w:type="paragraph" w:customStyle="1" w:styleId="Styl2">
    <w:name w:val="Styl2"/>
    <w:basedOn w:val="Normln"/>
    <w:qFormat/>
    <w:rsid w:val="003B47B3"/>
    <w:pPr>
      <w:spacing w:before="60" w:after="60" w:line="288" w:lineRule="auto"/>
    </w:pPr>
  </w:style>
  <w:style w:type="paragraph" w:styleId="Revize">
    <w:name w:val="Revision"/>
    <w:hidden/>
    <w:uiPriority w:val="99"/>
    <w:semiHidden/>
    <w:rsid w:val="00623289"/>
    <w:rPr>
      <w:rFonts w:eastAsia="Arial Unicode MS"/>
      <w:u w:color="000000"/>
    </w:rPr>
  </w:style>
  <w:style w:type="paragraph" w:styleId="Normlnweb">
    <w:name w:val="Normal (Web)"/>
    <w:basedOn w:val="Normln"/>
    <w:uiPriority w:val="99"/>
    <w:semiHidden/>
    <w:rsid w:val="00C401A4"/>
    <w:pPr>
      <w:spacing w:before="100" w:beforeAutospacing="1" w:after="100" w:afterAutospacing="1" w:line="240" w:lineRule="auto"/>
      <w:jc w:val="left"/>
    </w:pPr>
    <w:rPr>
      <w:rFonts w:eastAsia="Times New Roman"/>
      <w:sz w:val="24"/>
      <w:szCs w:val="24"/>
    </w:rPr>
  </w:style>
  <w:style w:type="paragraph" w:styleId="Obsah2">
    <w:name w:val="toc 2"/>
    <w:basedOn w:val="Normln"/>
    <w:next w:val="Normln"/>
    <w:autoRedefine/>
    <w:uiPriority w:val="39"/>
    <w:qFormat/>
    <w:rsid w:val="00E326C5"/>
    <w:pPr>
      <w:tabs>
        <w:tab w:val="left" w:pos="851"/>
        <w:tab w:val="right" w:leader="dot" w:pos="9060"/>
      </w:tabs>
      <w:spacing w:after="100"/>
      <w:ind w:left="220"/>
    </w:pPr>
  </w:style>
  <w:style w:type="paragraph" w:customStyle="1" w:styleId="Tabulka">
    <w:name w:val="Tabulka"/>
    <w:basedOn w:val="Titulek"/>
    <w:link w:val="TabulkaChar"/>
    <w:qFormat/>
    <w:rsid w:val="003B47B3"/>
    <w:pPr>
      <w:spacing w:before="0" w:after="200"/>
      <w:ind w:left="0"/>
    </w:pPr>
    <w:rPr>
      <w:rFonts w:eastAsia="Times New Roman"/>
      <w:bCs w:val="0"/>
      <w:color w:val="4F81BD"/>
      <w:sz w:val="24"/>
    </w:rPr>
  </w:style>
  <w:style w:type="character" w:customStyle="1" w:styleId="TabulkaChar">
    <w:name w:val="Tabulka Char"/>
    <w:link w:val="Tabulka"/>
    <w:locked/>
    <w:rsid w:val="00615420"/>
    <w:rPr>
      <w:b/>
      <w:color w:val="4F81BD"/>
      <w:sz w:val="24"/>
      <w:szCs w:val="20"/>
      <w:u w:color="000000"/>
    </w:rPr>
  </w:style>
  <w:style w:type="paragraph" w:customStyle="1" w:styleId="DAVA">
    <w:name w:val="DAVA"/>
    <w:basedOn w:val="Normln"/>
    <w:link w:val="DAVAChar"/>
    <w:qFormat/>
    <w:rsid w:val="003B47B3"/>
    <w:pPr>
      <w:spacing w:line="240" w:lineRule="auto"/>
      <w:jc w:val="left"/>
    </w:pPr>
    <w:rPr>
      <w:rFonts w:eastAsia="Times New Roman"/>
      <w:sz w:val="28"/>
    </w:rPr>
  </w:style>
  <w:style w:type="character" w:customStyle="1" w:styleId="DAVAChar">
    <w:name w:val="DAVA Char"/>
    <w:link w:val="DAVA"/>
    <w:locked/>
    <w:rsid w:val="00615420"/>
    <w:rPr>
      <w:rFonts w:ascii="Arial" w:hAnsi="Arial"/>
      <w:sz w:val="28"/>
      <w:szCs w:val="20"/>
      <w:u w:color="000000"/>
    </w:rPr>
  </w:style>
  <w:style w:type="paragraph" w:styleId="Pedmtkomente">
    <w:name w:val="annotation subject"/>
    <w:basedOn w:val="Textkomente"/>
    <w:next w:val="Textkomente"/>
    <w:link w:val="PedmtkomenteChar"/>
    <w:uiPriority w:val="99"/>
    <w:semiHidden/>
    <w:rsid w:val="00C401A4"/>
    <w:pPr>
      <w:spacing w:before="120"/>
      <w:jc w:val="both"/>
    </w:pPr>
    <w:rPr>
      <w:rFonts w:ascii="Times New Roman" w:eastAsia="Arial Unicode MS" w:hAnsi="Times New Roman"/>
      <w:b/>
      <w:bCs/>
    </w:rPr>
  </w:style>
  <w:style w:type="character" w:customStyle="1" w:styleId="PedmtkomenteChar">
    <w:name w:val="Předmět komentáře Char"/>
    <w:basedOn w:val="CommentTextChar"/>
    <w:link w:val="Pedmtkomente"/>
    <w:uiPriority w:val="99"/>
    <w:semiHidden/>
    <w:locked/>
    <w:rsid w:val="004C2318"/>
    <w:rPr>
      <w:rFonts w:ascii="Arial" w:eastAsia="Arial Unicode MS" w:hAnsi="Arial"/>
      <w:b/>
      <w:bCs/>
      <w:sz w:val="20"/>
      <w:szCs w:val="20"/>
      <w:u w:color="000000"/>
    </w:rPr>
  </w:style>
  <w:style w:type="paragraph" w:customStyle="1" w:styleId="111AAA">
    <w:name w:val="111AAA"/>
    <w:basedOn w:val="Normln"/>
    <w:rsid w:val="001F2910"/>
    <w:pPr>
      <w:spacing w:line="240" w:lineRule="auto"/>
    </w:pPr>
    <w:rPr>
      <w:rFonts w:eastAsia="Times New Roman"/>
      <w:sz w:val="24"/>
    </w:rPr>
  </w:style>
  <w:style w:type="paragraph" w:styleId="Obsah3">
    <w:name w:val="toc 3"/>
    <w:basedOn w:val="Normln"/>
    <w:next w:val="Normln"/>
    <w:autoRedefine/>
    <w:uiPriority w:val="39"/>
    <w:qFormat/>
    <w:rsid w:val="003B47B3"/>
    <w:pPr>
      <w:tabs>
        <w:tab w:val="right" w:leader="dot" w:pos="9060"/>
      </w:tabs>
      <w:spacing w:after="100"/>
      <w:ind w:left="426"/>
    </w:pPr>
  </w:style>
  <w:style w:type="character" w:styleId="Zvraznn">
    <w:name w:val="Emphasis"/>
    <w:basedOn w:val="Standardnpsmoodstavce"/>
    <w:uiPriority w:val="20"/>
    <w:qFormat/>
    <w:rsid w:val="008E75C0"/>
    <w:rPr>
      <w:rFonts w:cs="Times New Roman"/>
      <w:b/>
      <w:bCs/>
    </w:rPr>
  </w:style>
  <w:style w:type="character" w:customStyle="1" w:styleId="st1">
    <w:name w:val="st1"/>
    <w:basedOn w:val="Standardnpsmoodstavce"/>
    <w:rsid w:val="008E75C0"/>
    <w:rPr>
      <w:rFonts w:cs="Times New Roman"/>
    </w:rPr>
  </w:style>
  <w:style w:type="table" w:customStyle="1" w:styleId="Mkatabulky1">
    <w:name w:val="Mřížka tabulky1"/>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
    <w:name w:val="Mřížka tabulky4"/>
    <w:uiPriority w:val="59"/>
    <w:rsid w:val="00A86E2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znmkapodarou">
    <w:name w:val="Poznámka pod čarou"/>
    <w:basedOn w:val="Normln"/>
    <w:link w:val="PoznmkapodarouChar"/>
    <w:qFormat/>
    <w:rsid w:val="003B47B3"/>
    <w:pPr>
      <w:spacing w:before="0" w:line="240" w:lineRule="auto"/>
    </w:pPr>
    <w:rPr>
      <w:rFonts w:eastAsia="Times New Roman"/>
      <w:i/>
      <w:sz w:val="18"/>
    </w:rPr>
  </w:style>
  <w:style w:type="character" w:customStyle="1" w:styleId="PoznmkapodarouChar">
    <w:name w:val="Poznámka pod čarou Char"/>
    <w:link w:val="Poznmkapodarou"/>
    <w:locked/>
    <w:rsid w:val="00A86E26"/>
    <w:rPr>
      <w:i/>
      <w:sz w:val="18"/>
      <w:szCs w:val="20"/>
      <w:u w:color="000000"/>
    </w:rPr>
  </w:style>
  <w:style w:type="table" w:customStyle="1" w:styleId="Mkatabulky5">
    <w:name w:val="Mřížka tabulky5"/>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uiPriority w:val="59"/>
    <w:rsid w:val="00F24A9D"/>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8">
    <w:name w:val="Mřížka tabulky8"/>
    <w:uiPriority w:val="59"/>
    <w:rsid w:val="00941350"/>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
    <w:name w:val="Mřížka tabulky9"/>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
    <w:name w:val="Mřížka tabulky10"/>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2">
    <w:name w:val="Mřížka tabulky12"/>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3">
    <w:name w:val="Mřížka tabulky13"/>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4">
    <w:name w:val="Mřížka tabulky14"/>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5">
    <w:name w:val="Mřížka tabulky15"/>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6">
    <w:name w:val="Mřížka tabulky16"/>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7">
    <w:name w:val="Mřížka tabulky17"/>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8">
    <w:name w:val="Mřížka tabulky18"/>
    <w:uiPriority w:val="59"/>
    <w:rsid w:val="002D1DFF"/>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9">
    <w:name w:val="Mřížka tabulky19"/>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0">
    <w:name w:val="Mřížka tabulky20"/>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
    <w:name w:val="Mřížka tabulky21"/>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2">
    <w:name w:val="Mřížka tabulky22"/>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3">
    <w:name w:val="Mřížka tabulky23"/>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4">
    <w:name w:val="Mřížka tabulky24"/>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5">
    <w:name w:val="Mřížka tabulky25"/>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6">
    <w:name w:val="Mřížka tabulky26"/>
    <w:uiPriority w:val="59"/>
    <w:rsid w:val="007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7">
    <w:name w:val="Mřížka tabulky27"/>
    <w:uiPriority w:val="59"/>
    <w:rsid w:val="00C45868"/>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8">
    <w:name w:val="Mřížka tabulky28"/>
    <w:uiPriority w:val="59"/>
    <w:rsid w:val="005533AB"/>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9">
    <w:name w:val="Mřížka tabulky29"/>
    <w:uiPriority w:val="59"/>
    <w:rsid w:val="00C1643B"/>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4">
    <w:name w:val="toc 4"/>
    <w:basedOn w:val="Normln"/>
    <w:next w:val="Normln"/>
    <w:autoRedefine/>
    <w:uiPriority w:val="39"/>
    <w:rsid w:val="003B47B3"/>
    <w:pPr>
      <w:spacing w:before="0" w:after="100"/>
      <w:ind w:left="660"/>
      <w:jc w:val="left"/>
    </w:pPr>
    <w:rPr>
      <w:rFonts w:asciiTheme="minorHAnsi" w:eastAsiaTheme="minorEastAsia" w:hAnsiTheme="minorHAnsi" w:cstheme="minorBidi"/>
    </w:rPr>
  </w:style>
  <w:style w:type="paragraph" w:styleId="Obsah5">
    <w:name w:val="toc 5"/>
    <w:basedOn w:val="Normln"/>
    <w:next w:val="Normln"/>
    <w:autoRedefine/>
    <w:uiPriority w:val="39"/>
    <w:rsid w:val="003B47B3"/>
    <w:pPr>
      <w:spacing w:before="0" w:after="100"/>
      <w:ind w:left="880"/>
      <w:jc w:val="left"/>
    </w:pPr>
    <w:rPr>
      <w:rFonts w:asciiTheme="minorHAnsi" w:eastAsiaTheme="minorEastAsia" w:hAnsiTheme="minorHAnsi" w:cstheme="minorBidi"/>
    </w:rPr>
  </w:style>
  <w:style w:type="paragraph" w:styleId="Obsah6">
    <w:name w:val="toc 6"/>
    <w:basedOn w:val="Normln"/>
    <w:next w:val="Normln"/>
    <w:autoRedefine/>
    <w:uiPriority w:val="39"/>
    <w:rsid w:val="003B47B3"/>
    <w:pPr>
      <w:spacing w:before="0" w:after="100"/>
      <w:ind w:left="1100"/>
      <w:jc w:val="left"/>
    </w:pPr>
    <w:rPr>
      <w:rFonts w:asciiTheme="minorHAnsi" w:eastAsiaTheme="minorEastAsia" w:hAnsiTheme="minorHAnsi" w:cstheme="minorBidi"/>
    </w:rPr>
  </w:style>
  <w:style w:type="paragraph" w:styleId="Obsah7">
    <w:name w:val="toc 7"/>
    <w:basedOn w:val="Normln"/>
    <w:next w:val="Normln"/>
    <w:autoRedefine/>
    <w:uiPriority w:val="39"/>
    <w:rsid w:val="003B47B3"/>
    <w:pPr>
      <w:spacing w:before="0" w:after="100"/>
      <w:ind w:left="1320"/>
      <w:jc w:val="left"/>
    </w:pPr>
    <w:rPr>
      <w:rFonts w:asciiTheme="minorHAnsi" w:eastAsiaTheme="minorEastAsia" w:hAnsiTheme="minorHAnsi" w:cstheme="minorBidi"/>
    </w:rPr>
  </w:style>
  <w:style w:type="paragraph" w:styleId="Obsah8">
    <w:name w:val="toc 8"/>
    <w:basedOn w:val="Normln"/>
    <w:next w:val="Normln"/>
    <w:autoRedefine/>
    <w:uiPriority w:val="39"/>
    <w:rsid w:val="003B47B3"/>
    <w:pPr>
      <w:spacing w:before="0" w:after="100"/>
      <w:ind w:left="1540"/>
      <w:jc w:val="left"/>
    </w:pPr>
    <w:rPr>
      <w:rFonts w:asciiTheme="minorHAnsi" w:eastAsiaTheme="minorEastAsia" w:hAnsiTheme="minorHAnsi" w:cstheme="minorBidi"/>
    </w:rPr>
  </w:style>
  <w:style w:type="paragraph" w:styleId="Obsah9">
    <w:name w:val="toc 9"/>
    <w:basedOn w:val="Normln"/>
    <w:next w:val="Normln"/>
    <w:autoRedefine/>
    <w:uiPriority w:val="39"/>
    <w:rsid w:val="003B47B3"/>
    <w:pPr>
      <w:spacing w:before="0" w:after="100"/>
      <w:ind w:left="1760"/>
      <w:jc w:val="left"/>
    </w:pPr>
    <w:rPr>
      <w:rFonts w:asciiTheme="minorHAnsi" w:eastAsiaTheme="minorEastAsia" w:hAnsiTheme="minorHAnsi" w:cstheme="minorBidi"/>
    </w:rPr>
  </w:style>
  <w:style w:type="paragraph" w:customStyle="1" w:styleId="NEW">
    <w:name w:val="NEW"/>
    <w:basedOn w:val="Odstavecseseznamem"/>
    <w:link w:val="NEWChar"/>
    <w:qFormat/>
    <w:rsid w:val="003B47B3"/>
    <w:pPr>
      <w:numPr>
        <w:numId w:val="5"/>
      </w:numPr>
      <w:ind w:left="220" w:hanging="220"/>
    </w:pPr>
    <w:rPr>
      <w:rFonts w:ascii="Arial" w:hAnsi="Arial"/>
      <w:b/>
    </w:rPr>
  </w:style>
  <w:style w:type="paragraph" w:customStyle="1" w:styleId="ARIAL11">
    <w:name w:val="ARIAL 11"/>
    <w:basedOn w:val="Normln"/>
    <w:link w:val="ARIAL11Char"/>
    <w:qFormat/>
    <w:rsid w:val="003B47B3"/>
  </w:style>
  <w:style w:type="character" w:customStyle="1" w:styleId="NEWChar">
    <w:name w:val="NEW Char"/>
    <w:basedOn w:val="OdstavecseseznamemChar"/>
    <w:link w:val="NEW"/>
    <w:locked/>
    <w:rsid w:val="00A75B27"/>
    <w:rPr>
      <w:rFonts w:ascii="Arial" w:eastAsia="Arial Unicode MS" w:hAnsi="Arial" w:cs="Arial"/>
      <w:b/>
      <w:sz w:val="20"/>
      <w:szCs w:val="20"/>
      <w:u w:color="000000"/>
      <w:lang w:eastAsia="en-US"/>
    </w:rPr>
  </w:style>
  <w:style w:type="character" w:customStyle="1" w:styleId="ARIAL11Char">
    <w:name w:val="ARIAL 11 Char"/>
    <w:basedOn w:val="Standardnpsmoodstavce"/>
    <w:link w:val="ARIAL11"/>
    <w:locked/>
    <w:rsid w:val="00A75B27"/>
    <w:rPr>
      <w:rFonts w:ascii="Arial" w:eastAsia="Arial Unicode MS" w:hAnsi="Arial" w:cs="Arial"/>
      <w:u w:color="000000"/>
    </w:rPr>
  </w:style>
  <w:style w:type="table" w:customStyle="1" w:styleId="Mkatabulky30">
    <w:name w:val="Mřížka tabulky30"/>
    <w:uiPriority w:val="59"/>
    <w:rsid w:val="0036745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3">
    <w:name w:val="Mřížka tabulky33"/>
    <w:uiPriority w:val="59"/>
    <w:rsid w:val="00F700BB"/>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1">
    <w:name w:val="Mřížka tabulky3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2">
    <w:name w:val="Mřížka tabulky3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4">
    <w:name w:val="Mřížka tabulky34"/>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5">
    <w:name w:val="Mřížka tabulky35"/>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6">
    <w:name w:val="Mřížka tabulky36"/>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7">
    <w:name w:val="Mřížka tabulky37"/>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01">
    <w:name w:val="Mřížka tabulky10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1">
    <w:name w:val="Mřížka tabulky9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2">
    <w:name w:val="Mřížka tabulky9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8">
    <w:name w:val="Mřížka tabulky38"/>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9">
    <w:name w:val="Mřížka tabulky39"/>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0">
    <w:name w:val="Mřížka tabulky40"/>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2">
    <w:name w:val="Mřížka tabulky42"/>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3">
    <w:name w:val="Mřížka tabulky43"/>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4">
    <w:name w:val="Mřížka tabulky44"/>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5">
    <w:name w:val="Mřížka tabulky45"/>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6">
    <w:name w:val="Mřížka tabulky46"/>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7">
    <w:name w:val="Mřížka tabulky47"/>
    <w:uiPriority w:val="59"/>
    <w:rsid w:val="005A0F8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8">
    <w:name w:val="Mřížka tabulky48"/>
    <w:uiPriority w:val="59"/>
    <w:rsid w:val="00047E7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9">
    <w:name w:val="Mřížka tabulky49"/>
    <w:uiPriority w:val="59"/>
    <w:rsid w:val="00E002D7"/>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0">
    <w:name w:val="Mřížka tabulky50"/>
    <w:uiPriority w:val="59"/>
    <w:rsid w:val="00F564F4"/>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1">
    <w:name w:val="Mřížka tabulky51"/>
    <w:uiPriority w:val="59"/>
    <w:rsid w:val="00F564F4"/>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2">
    <w:name w:val="Mřížka tabulky52"/>
    <w:uiPriority w:val="59"/>
    <w:rsid w:val="00A352DA"/>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3">
    <w:name w:val="Mřížka tabulky53"/>
    <w:uiPriority w:val="59"/>
    <w:rsid w:val="00A352DA"/>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4">
    <w:name w:val="Mřížka tabulky54"/>
    <w:uiPriority w:val="59"/>
    <w:rsid w:val="002128E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5">
    <w:name w:val="Mřížka tabulky55"/>
    <w:uiPriority w:val="59"/>
    <w:rsid w:val="009D3540"/>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6">
    <w:name w:val="Mřížka tabulky56"/>
    <w:uiPriority w:val="59"/>
    <w:rsid w:val="00791B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7">
    <w:name w:val="Mřížka tabulky57"/>
    <w:uiPriority w:val="59"/>
    <w:rsid w:val="00791B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3">
    <w:name w:val="Mřížka tabulky93"/>
    <w:uiPriority w:val="59"/>
    <w:rsid w:val="00C27E6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8">
    <w:name w:val="Mřížka tabulky58"/>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94">
    <w:name w:val="Mřížka tabulky94"/>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59">
    <w:name w:val="Mřížka tabulky59"/>
    <w:uiPriority w:val="59"/>
    <w:rsid w:val="00AC0B42"/>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0">
    <w:name w:val="Mřížka tabulky60"/>
    <w:uiPriority w:val="59"/>
    <w:rsid w:val="0020258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1">
    <w:name w:val="Mřížka tabulky61"/>
    <w:uiPriority w:val="59"/>
    <w:rsid w:val="00202583"/>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2">
    <w:name w:val="Mřížka tabulky62"/>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3">
    <w:name w:val="Mřížka tabulky63"/>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4">
    <w:name w:val="Mřížka tabulky64"/>
    <w:uiPriority w:val="59"/>
    <w:rsid w:val="003F21D6"/>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5">
    <w:name w:val="Mřížka tabulky65"/>
    <w:uiPriority w:val="59"/>
    <w:rsid w:val="008B765E"/>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rsid w:val="00C401A4"/>
    <w:rPr>
      <w:rFonts w:cs="Times New Roman"/>
      <w:color w:val="800080"/>
      <w:u w:val="single"/>
    </w:rPr>
  </w:style>
  <w:style w:type="table" w:customStyle="1" w:styleId="Mkatabulky66">
    <w:name w:val="Mřížka tabulky66"/>
    <w:uiPriority w:val="59"/>
    <w:rsid w:val="004930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7">
    <w:name w:val="Mřížka tabulky67"/>
    <w:uiPriority w:val="59"/>
    <w:rsid w:val="004930B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8">
    <w:name w:val="Mřížka tabulky68"/>
    <w:uiPriority w:val="59"/>
    <w:rsid w:val="00D6717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9">
    <w:name w:val="Mřížka tabulky69"/>
    <w:uiPriority w:val="59"/>
    <w:rsid w:val="00B36EB1"/>
    <w:pPr>
      <w:jc w:val="both"/>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address">
    <w:name w:val="eaddress"/>
    <w:basedOn w:val="Standardnpsmoodstavce"/>
    <w:rsid w:val="00D41598"/>
    <w:rPr>
      <w:rFonts w:cs="Times New Roman"/>
    </w:rPr>
  </w:style>
  <w:style w:type="paragraph" w:customStyle="1" w:styleId="Default">
    <w:name w:val="Default"/>
    <w:rsid w:val="00407149"/>
    <w:pPr>
      <w:autoSpaceDE w:val="0"/>
      <w:autoSpaceDN w:val="0"/>
      <w:adjustRightInd w:val="0"/>
      <w:spacing w:line="312" w:lineRule="auto"/>
      <w:jc w:val="both"/>
    </w:pPr>
    <w:rPr>
      <w:rFonts w:ascii="Arial" w:hAnsi="Arial" w:cs="Arial"/>
      <w:color w:val="000000"/>
      <w:sz w:val="24"/>
      <w:szCs w:val="24"/>
    </w:rPr>
  </w:style>
  <w:style w:type="table" w:customStyle="1" w:styleId="Mkatabulky331">
    <w:name w:val="Mřížka tabulky331"/>
    <w:uiPriority w:val="59"/>
    <w:rsid w:val="00D52589"/>
    <w:pPr>
      <w:jc w:val="both"/>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263237"/>
  </w:style>
  <w:style w:type="paragraph" w:customStyle="1" w:styleId="Nadpis51">
    <w:name w:val="Nadpis 51"/>
    <w:basedOn w:val="Normln"/>
    <w:next w:val="Normln"/>
    <w:uiPriority w:val="9"/>
    <w:qFormat/>
    <w:rsid w:val="003B47B3"/>
    <w:pPr>
      <w:keepNext/>
      <w:keepLines/>
      <w:spacing w:before="200"/>
      <w:jc w:val="left"/>
      <w:outlineLvl w:val="4"/>
    </w:pPr>
    <w:rPr>
      <w:rFonts w:ascii="Cambria" w:eastAsia="Times New Roman" w:hAnsi="Cambria"/>
      <w:color w:val="243F60"/>
    </w:rPr>
  </w:style>
  <w:style w:type="table" w:customStyle="1" w:styleId="Mkatabulky70">
    <w:name w:val="Mřížka tabulky70"/>
    <w:uiPriority w:val="59"/>
    <w:rsid w:val="0079590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0">
    <w:name w:val="Mřížka tabulky110"/>
    <w:uiPriority w:val="59"/>
    <w:rsid w:val="0079590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1">
    <w:name w:val="Nadpis 5 Char1"/>
    <w:basedOn w:val="Standardnpsmoodstavce"/>
    <w:uiPriority w:val="9"/>
    <w:semiHidden/>
    <w:rsid w:val="00C401A4"/>
    <w:rPr>
      <w:rFonts w:ascii="Cambria" w:hAnsi="Cambria" w:cs="Times New Roman"/>
      <w:color w:val="243F60"/>
      <w:sz w:val="22"/>
      <w:szCs w:val="22"/>
      <w:u w:color="000000"/>
    </w:rPr>
  </w:style>
  <w:style w:type="paragraph" w:customStyle="1" w:styleId="Bodycopy">
    <w:name w:val="Body copy"/>
    <w:basedOn w:val="Normln"/>
    <w:link w:val="BodycopyChar"/>
    <w:qFormat/>
    <w:rsid w:val="003B47B3"/>
    <w:pPr>
      <w:spacing w:before="0" w:after="260" w:line="260" w:lineRule="atLeast"/>
    </w:pPr>
    <w:rPr>
      <w:rFonts w:eastAsia="Times New Roman"/>
      <w:szCs w:val="24"/>
    </w:rPr>
  </w:style>
  <w:style w:type="character" w:customStyle="1" w:styleId="BodycopyChar">
    <w:name w:val="Body copy Char"/>
    <w:basedOn w:val="Standardnpsmoodstavce"/>
    <w:link w:val="Bodycopy"/>
    <w:locked/>
    <w:rsid w:val="00A4482F"/>
    <w:rPr>
      <w:rFonts w:ascii="Arial" w:hAnsi="Arial"/>
      <w:sz w:val="20"/>
      <w:szCs w:val="24"/>
      <w:u w:color="000000"/>
      <w:lang w:eastAsia="en-US"/>
    </w:rPr>
  </w:style>
  <w:style w:type="paragraph" w:customStyle="1" w:styleId="E-Zdroj">
    <w:name w:val="E-Zdroj"/>
    <w:basedOn w:val="Normln"/>
    <w:next w:val="Normln"/>
    <w:qFormat/>
    <w:rsid w:val="003B47B3"/>
    <w:pPr>
      <w:tabs>
        <w:tab w:val="left" w:pos="567"/>
      </w:tabs>
      <w:spacing w:before="60" w:after="200"/>
    </w:pPr>
    <w:rPr>
      <w:rFonts w:ascii="Calibri" w:eastAsia="Times New Roman" w:hAnsi="Calibri" w:cs="Calibri"/>
      <w:b/>
      <w:color w:val="000000"/>
      <w:szCs w:val="24"/>
    </w:rPr>
  </w:style>
  <w:style w:type="paragraph" w:customStyle="1" w:styleId="CM1">
    <w:name w:val="CM1"/>
    <w:basedOn w:val="Default"/>
    <w:next w:val="Default"/>
    <w:uiPriority w:val="99"/>
    <w:rsid w:val="00D87315"/>
    <w:pPr>
      <w:spacing w:line="240" w:lineRule="auto"/>
      <w:jc w:val="left"/>
    </w:pPr>
    <w:rPr>
      <w:rFonts w:ascii="EUAlbertina" w:hAnsi="EUAlbertina" w:cs="Times New Roman"/>
      <w:color w:val="auto"/>
    </w:rPr>
  </w:style>
  <w:style w:type="paragraph" w:customStyle="1" w:styleId="CM3">
    <w:name w:val="CM3"/>
    <w:basedOn w:val="Default"/>
    <w:next w:val="Default"/>
    <w:uiPriority w:val="99"/>
    <w:rsid w:val="00D87315"/>
    <w:pPr>
      <w:spacing w:line="240" w:lineRule="auto"/>
      <w:jc w:val="left"/>
    </w:pPr>
    <w:rPr>
      <w:rFonts w:ascii="EUAlbertina" w:hAnsi="EUAlbertina" w:cs="Times New Roman"/>
      <w:color w:val="auto"/>
    </w:rPr>
  </w:style>
  <w:style w:type="paragraph" w:customStyle="1" w:styleId="Pa1">
    <w:name w:val="Pa1"/>
    <w:basedOn w:val="Default"/>
    <w:next w:val="Default"/>
    <w:uiPriority w:val="99"/>
    <w:rsid w:val="00D87315"/>
    <w:pPr>
      <w:spacing w:line="241" w:lineRule="atLeast"/>
      <w:jc w:val="left"/>
    </w:pPr>
    <w:rPr>
      <w:rFonts w:ascii="EC Square Sans Pro" w:hAnsi="EC Square Sans Pro" w:cs="Times New Roman"/>
      <w:color w:val="auto"/>
    </w:rPr>
  </w:style>
  <w:style w:type="character" w:customStyle="1" w:styleId="A1">
    <w:name w:val="A1"/>
    <w:uiPriority w:val="99"/>
    <w:rsid w:val="00D87315"/>
    <w:rPr>
      <w:color w:val="000000"/>
      <w:sz w:val="48"/>
    </w:rPr>
  </w:style>
  <w:style w:type="numbering" w:customStyle="1" w:styleId="List1">
    <w:name w:val="List 1"/>
    <w:rsid w:val="00600F2A"/>
    <w:pPr>
      <w:numPr>
        <w:numId w:val="4"/>
      </w:numPr>
    </w:pPr>
  </w:style>
  <w:style w:type="numbering" w:customStyle="1" w:styleId="Bezseznamu1">
    <w:name w:val="Bez seznamu1"/>
    <w:next w:val="Bezseznamu"/>
    <w:uiPriority w:val="99"/>
    <w:semiHidden/>
    <w:unhideWhenUsed/>
    <w:rsid w:val="00C8628B"/>
  </w:style>
  <w:style w:type="character" w:customStyle="1" w:styleId="tgc">
    <w:name w:val="_tgc"/>
    <w:basedOn w:val="Standardnpsmoodstavce"/>
    <w:rsid w:val="00AF43D3"/>
  </w:style>
  <w:style w:type="paragraph" w:customStyle="1" w:styleId="Pa20">
    <w:name w:val="Pa20"/>
    <w:basedOn w:val="Normln"/>
    <w:next w:val="Normln"/>
    <w:uiPriority w:val="99"/>
    <w:rsid w:val="004A301B"/>
    <w:pPr>
      <w:autoSpaceDE w:val="0"/>
      <w:autoSpaceDN w:val="0"/>
      <w:adjustRightInd w:val="0"/>
      <w:spacing w:before="0" w:line="181" w:lineRule="atLeast"/>
      <w:jc w:val="left"/>
    </w:pPr>
    <w:rPr>
      <w:rFonts w:ascii="EC Square Sans Pro Light" w:eastAsiaTheme="minorHAnsi" w:hAnsi="EC Square Sans Pro Light" w:cstheme="minorBidi"/>
      <w:sz w:val="24"/>
      <w:szCs w:val="24"/>
    </w:rPr>
  </w:style>
  <w:style w:type="paragraph" w:customStyle="1" w:styleId="Pa19">
    <w:name w:val="Pa19"/>
    <w:basedOn w:val="Default"/>
    <w:next w:val="Default"/>
    <w:uiPriority w:val="99"/>
    <w:rsid w:val="003B47B3"/>
    <w:pPr>
      <w:spacing w:line="181" w:lineRule="atLeast"/>
      <w:jc w:val="left"/>
    </w:pPr>
    <w:rPr>
      <w:rFonts w:ascii="EC Square Sans Pro Light" w:hAnsi="EC Square Sans Pro Light" w:cs="Times New Roman"/>
      <w:color w:val="auto"/>
    </w:rPr>
  </w:style>
  <w:style w:type="paragraph" w:customStyle="1" w:styleId="Text">
    <w:name w:val="Text"/>
    <w:basedOn w:val="Normln"/>
    <w:qFormat/>
    <w:rsid w:val="00C72421"/>
    <w:pPr>
      <w:spacing w:before="0" w:after="120"/>
    </w:pPr>
    <w:rPr>
      <w:rFonts w:asciiTheme="minorHAnsi" w:eastAsia="Times New Roman" w:hAnsiTheme="minorHAnsi"/>
      <w:color w:val="000000" w:themeColor="text1"/>
      <w:sz w:val="22"/>
      <w:szCs w:val="22"/>
      <w:lang w:eastAsia="cs-CZ"/>
    </w:rPr>
  </w:style>
  <w:style w:type="paragraph" w:customStyle="1" w:styleId="Akapitzlist">
    <w:name w:val="Akapit z listą"/>
    <w:basedOn w:val="Normln"/>
    <w:uiPriority w:val="34"/>
    <w:qFormat/>
    <w:rsid w:val="001628C1"/>
    <w:pPr>
      <w:spacing w:before="0" w:line="240" w:lineRule="auto"/>
      <w:ind w:left="720"/>
      <w:contextualSpacing/>
      <w:jc w:val="center"/>
    </w:pPr>
    <w:rPr>
      <w:rFonts w:ascii="Calibri" w:eastAsia="Times New Roman" w:hAnsi="Calibri" w:cs="Calibri"/>
      <w:sz w:val="28"/>
      <w:szCs w:val="28"/>
      <w:lang w:val="pl-PL" w:eastAsia="pl-PL"/>
    </w:rPr>
  </w:style>
  <w:style w:type="character" w:customStyle="1" w:styleId="st">
    <w:name w:val="st"/>
    <w:basedOn w:val="Standardnpsmoodstavce"/>
    <w:rsid w:val="00BF0B3D"/>
  </w:style>
  <w:style w:type="paragraph" w:customStyle="1" w:styleId="Styl1-1">
    <w:name w:val="Styl1 - 1."/>
    <w:basedOn w:val="Normln"/>
    <w:link w:val="Styl1-1Char"/>
    <w:qFormat/>
    <w:rsid w:val="00095629"/>
    <w:pPr>
      <w:numPr>
        <w:numId w:val="6"/>
      </w:numPr>
      <w:overflowPunct w:val="0"/>
      <w:autoSpaceDE w:val="0"/>
      <w:autoSpaceDN w:val="0"/>
      <w:adjustRightInd w:val="0"/>
      <w:spacing w:after="240" w:line="240" w:lineRule="auto"/>
      <w:ind w:left="357" w:hanging="357"/>
      <w:textAlignment w:val="baseline"/>
    </w:pPr>
    <w:rPr>
      <w:rFonts w:eastAsia="Times New Roman"/>
      <w:sz w:val="22"/>
      <w:szCs w:val="22"/>
      <w:lang w:eastAsia="cs-CZ"/>
    </w:rPr>
  </w:style>
  <w:style w:type="character" w:customStyle="1" w:styleId="Styl1-1Char">
    <w:name w:val="Styl1 - 1. Char"/>
    <w:link w:val="Styl1-1"/>
    <w:rsid w:val="00095629"/>
    <w:rPr>
      <w:rFonts w:ascii="Arial" w:hAnsi="Arial" w:cs="Arial"/>
      <w:u w:color="00000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A6417D"/>
    <w:pPr>
      <w:spacing w:before="0" w:after="160" w:line="240" w:lineRule="exact"/>
    </w:pPr>
    <w:rPr>
      <w:rFonts w:ascii="Times New Roman" w:eastAsia="Times New Roman" w:hAnsi="Times New Roman" w:cs="Times New Roman"/>
      <w:sz w:val="22"/>
      <w:szCs w:val="22"/>
      <w:vertAlign w:val="superscript"/>
      <w:lang w:eastAsia="cs-CZ"/>
    </w:rPr>
  </w:style>
  <w:style w:type="paragraph" w:customStyle="1" w:styleId="slovanodstavec">
    <w:name w:val="Číslovaný odstavec"/>
    <w:basedOn w:val="Normln"/>
    <w:link w:val="slovanodstavecChar"/>
    <w:qFormat/>
    <w:rsid w:val="00A6417D"/>
    <w:pPr>
      <w:tabs>
        <w:tab w:val="left" w:pos="567"/>
      </w:tabs>
      <w:spacing w:before="0" w:after="200"/>
    </w:pPr>
    <w:rPr>
      <w:rFonts w:eastAsia="Calibri" w:cs="Times New Roman"/>
      <w:sz w:val="22"/>
      <w:szCs w:val="22"/>
    </w:rPr>
  </w:style>
  <w:style w:type="character" w:customStyle="1" w:styleId="slovanodstavecChar">
    <w:name w:val="Číslovaný odstavec Char"/>
    <w:link w:val="slovanodstavec"/>
    <w:rsid w:val="00A6417D"/>
    <w:rPr>
      <w:rFonts w:ascii="Arial" w:eastAsia="Calibri" w:hAnsi="Arial"/>
      <w:lang w:eastAsia="en-US"/>
    </w:rPr>
  </w:style>
  <w:style w:type="paragraph" w:customStyle="1" w:styleId="Text-podoblasti">
    <w:name w:val="Text - podoblasti"/>
    <w:basedOn w:val="Normln"/>
    <w:qFormat/>
    <w:rsid w:val="00D60AD1"/>
    <w:pPr>
      <w:numPr>
        <w:numId w:val="7"/>
      </w:numPr>
      <w:spacing w:before="0" w:after="60" w:line="240" w:lineRule="auto"/>
    </w:pPr>
    <w:rPr>
      <w:rFonts w:asciiTheme="minorHAnsi" w:eastAsiaTheme="minorHAnsi" w:hAnsiTheme="minorHAnsi" w:cstheme="minorBidi"/>
      <w:bCs/>
      <w:noProof/>
      <w:color w:val="76923C" w:themeColor="accent3" w:themeShade="BF"/>
    </w:rPr>
  </w:style>
  <w:style w:type="paragraph" w:customStyle="1" w:styleId="P4bodytext">
    <w:name w:val="P4 body text"/>
    <w:basedOn w:val="Normln"/>
    <w:uiPriority w:val="99"/>
    <w:rsid w:val="003B1622"/>
    <w:pPr>
      <w:pBdr>
        <w:top w:val="none" w:sz="96" w:space="31" w:color="FFFFFF" w:frame="1"/>
        <w:left w:val="none" w:sz="96" w:space="31" w:color="FFFFFF" w:frame="1"/>
        <w:bottom w:val="none" w:sz="96" w:space="31" w:color="FFFFFF" w:frame="1"/>
        <w:right w:val="none" w:sz="96" w:space="31" w:color="FFFFFF" w:frame="1"/>
        <w:bar w:val="none" w:sz="0" w:color="000000"/>
      </w:pBdr>
      <w:spacing w:line="264" w:lineRule="auto"/>
    </w:pPr>
    <w:rPr>
      <w:rFonts w:ascii="Times New Roman" w:eastAsia="Calibri" w:hAnsi="Times New Roman" w:cs="Calibri"/>
      <w:color w:val="000000"/>
      <w:sz w:val="22"/>
      <w:szCs w:val="22"/>
      <w:lang w:eastAsia="en-GB"/>
    </w:rPr>
  </w:style>
  <w:style w:type="paragraph" w:customStyle="1" w:styleId="P4odrkapuntk">
    <w:name w:val="P4 odrážka puntík"/>
    <w:basedOn w:val="Normln"/>
    <w:uiPriority w:val="99"/>
    <w:rsid w:val="00053B1D"/>
    <w:pPr>
      <w:pBdr>
        <w:top w:val="none" w:sz="96" w:space="31" w:color="FFFFFF" w:frame="1"/>
        <w:left w:val="none" w:sz="96" w:space="31" w:color="FFFFFF" w:frame="1"/>
        <w:bottom w:val="none" w:sz="96" w:space="31" w:color="FFFFFF" w:frame="1"/>
        <w:right w:val="none" w:sz="96" w:space="31" w:color="FFFFFF" w:frame="1"/>
        <w:bar w:val="none" w:sz="0" w:color="000000"/>
      </w:pBdr>
      <w:spacing w:line="264" w:lineRule="auto"/>
      <w:ind w:left="360" w:hanging="360"/>
    </w:pPr>
    <w:rPr>
      <w:rFonts w:ascii="Times New Roman" w:eastAsia="Calibri" w:hAnsi="Times New Roman" w:cs="Calibri"/>
      <w:color w:val="000000"/>
      <w:sz w:val="22"/>
      <w:szCs w:val="22"/>
      <w:lang w:eastAsia="en-GB"/>
    </w:rPr>
  </w:style>
  <w:style w:type="table" w:customStyle="1" w:styleId="Svtltabulkasmkou11">
    <w:name w:val="Světlá tabulka s mřížkou 11"/>
    <w:basedOn w:val="Normlntabulka"/>
    <w:uiPriority w:val="46"/>
    <w:rsid w:val="00FE5E1E"/>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int0number">
    <w:name w:val="Point 0 (number)"/>
    <w:basedOn w:val="Normln"/>
    <w:rsid w:val="008D7A67"/>
    <w:pPr>
      <w:numPr>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1number">
    <w:name w:val="Point 1 (number)"/>
    <w:basedOn w:val="Normln"/>
    <w:rsid w:val="008D7A67"/>
    <w:pPr>
      <w:numPr>
        <w:ilvl w:val="2"/>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2number">
    <w:name w:val="Point 2 (number)"/>
    <w:basedOn w:val="Normln"/>
    <w:rsid w:val="008D7A67"/>
    <w:pPr>
      <w:numPr>
        <w:ilvl w:val="4"/>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3number">
    <w:name w:val="Point 3 (number)"/>
    <w:basedOn w:val="Normln"/>
    <w:rsid w:val="008D7A67"/>
    <w:pPr>
      <w:numPr>
        <w:ilvl w:val="6"/>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0letter">
    <w:name w:val="Point 0 (letter)"/>
    <w:basedOn w:val="Normln"/>
    <w:rsid w:val="008D7A67"/>
    <w:pPr>
      <w:numPr>
        <w:ilvl w:val="1"/>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1letter">
    <w:name w:val="Point 1 (letter)"/>
    <w:basedOn w:val="Normln"/>
    <w:rsid w:val="008D7A67"/>
    <w:pPr>
      <w:numPr>
        <w:ilvl w:val="3"/>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2letter">
    <w:name w:val="Point 2 (letter)"/>
    <w:basedOn w:val="Normln"/>
    <w:rsid w:val="008D7A67"/>
    <w:pPr>
      <w:numPr>
        <w:ilvl w:val="5"/>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3letter">
    <w:name w:val="Point 3 (letter)"/>
    <w:basedOn w:val="Normln"/>
    <w:rsid w:val="008D7A67"/>
    <w:pPr>
      <w:numPr>
        <w:ilvl w:val="7"/>
        <w:numId w:val="23"/>
      </w:numPr>
      <w:spacing w:after="120" w:line="240" w:lineRule="auto"/>
    </w:pPr>
    <w:rPr>
      <w:rFonts w:ascii="Times New Roman" w:eastAsiaTheme="minorHAnsi" w:hAnsi="Times New Roman" w:cs="Times New Roman"/>
      <w:sz w:val="24"/>
      <w:szCs w:val="22"/>
      <w:lang w:eastAsia="cs-CZ" w:bidi="cs-CZ"/>
    </w:rPr>
  </w:style>
  <w:style w:type="paragraph" w:customStyle="1" w:styleId="Point4letter">
    <w:name w:val="Point 4 (letter)"/>
    <w:basedOn w:val="Normln"/>
    <w:rsid w:val="008D7A67"/>
    <w:pPr>
      <w:numPr>
        <w:ilvl w:val="8"/>
        <w:numId w:val="23"/>
      </w:numPr>
      <w:spacing w:after="120" w:line="240" w:lineRule="auto"/>
    </w:pPr>
    <w:rPr>
      <w:rFonts w:ascii="Times New Roman" w:eastAsiaTheme="minorHAnsi" w:hAnsi="Times New Roman" w:cs="Times New Roman"/>
      <w:sz w:val="24"/>
      <w:szCs w:val="22"/>
      <w:lang w:eastAsia="cs-CZ" w:bidi="cs-CZ"/>
    </w:rPr>
  </w:style>
  <w:style w:type="table" w:customStyle="1" w:styleId="Tabulkasmkou3zvraznn51">
    <w:name w:val="Tabulka s mřížkou 3 – zvýraznění 51"/>
    <w:basedOn w:val="Normlntabulka"/>
    <w:uiPriority w:val="48"/>
    <w:rsid w:val="00744CFD"/>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ulkasmkou3zvraznn11">
    <w:name w:val="Tabulka s mřížkou 3 – zvýraznění 11"/>
    <w:basedOn w:val="Normlntabulka"/>
    <w:uiPriority w:val="48"/>
    <w:rsid w:val="008640BE"/>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2zvraznn51">
    <w:name w:val="Tabulka s mřížkou 2 – zvýraznění 51"/>
    <w:basedOn w:val="Normlntabulka"/>
    <w:uiPriority w:val="47"/>
    <w:rsid w:val="00CF14C9"/>
    <w:rPr>
      <w:rFonts w:asciiTheme="minorHAnsi" w:eastAsiaTheme="minorHAnsi" w:hAnsi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old">
    <w:name w:val="bold"/>
    <w:basedOn w:val="Standardnpsmoodstavce"/>
    <w:rsid w:val="00BD6041"/>
  </w:style>
  <w:style w:type="paragraph" w:customStyle="1" w:styleId="paragraph">
    <w:name w:val="paragraph"/>
    <w:basedOn w:val="Normln"/>
    <w:rsid w:val="00847786"/>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847786"/>
  </w:style>
  <w:style w:type="character" w:customStyle="1" w:styleId="eop">
    <w:name w:val="eop"/>
    <w:basedOn w:val="Standardnpsmoodstavce"/>
    <w:rsid w:val="00847786"/>
  </w:style>
  <w:style w:type="character" w:customStyle="1" w:styleId="spellingerror">
    <w:name w:val="spellingerror"/>
    <w:basedOn w:val="Standardnpsmoodstavce"/>
    <w:rsid w:val="00847786"/>
  </w:style>
  <w:style w:type="character" w:customStyle="1" w:styleId="normaltextrun1">
    <w:name w:val="normaltextrun1"/>
    <w:basedOn w:val="Standardnpsmoodstavce"/>
    <w:rsid w:val="00A56297"/>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D72DA5"/>
    <w:pPr>
      <w:spacing w:before="0" w:after="160" w:line="240" w:lineRule="exact"/>
      <w:jc w:val="left"/>
    </w:pPr>
    <w:rPr>
      <w:rFonts w:ascii="Times New Roman Bold" w:eastAsia="Times New Roman" w:hAnsi="Times New Roman Bold" w:cs="Times New Roman"/>
      <w:sz w:val="22"/>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152">
      <w:bodyDiv w:val="1"/>
      <w:marLeft w:val="0"/>
      <w:marRight w:val="0"/>
      <w:marTop w:val="0"/>
      <w:marBottom w:val="0"/>
      <w:divBdr>
        <w:top w:val="none" w:sz="0" w:space="0" w:color="auto"/>
        <w:left w:val="none" w:sz="0" w:space="0" w:color="auto"/>
        <w:bottom w:val="none" w:sz="0" w:space="0" w:color="auto"/>
        <w:right w:val="none" w:sz="0" w:space="0" w:color="auto"/>
      </w:divBdr>
    </w:div>
    <w:div w:id="51733635">
      <w:bodyDiv w:val="1"/>
      <w:marLeft w:val="0"/>
      <w:marRight w:val="0"/>
      <w:marTop w:val="0"/>
      <w:marBottom w:val="0"/>
      <w:divBdr>
        <w:top w:val="none" w:sz="0" w:space="0" w:color="auto"/>
        <w:left w:val="none" w:sz="0" w:space="0" w:color="auto"/>
        <w:bottom w:val="none" w:sz="0" w:space="0" w:color="auto"/>
        <w:right w:val="none" w:sz="0" w:space="0" w:color="auto"/>
      </w:divBdr>
      <w:divsChild>
        <w:div w:id="284891988">
          <w:marLeft w:val="576"/>
          <w:marRight w:val="0"/>
          <w:marTop w:val="120"/>
          <w:marBottom w:val="60"/>
          <w:divBdr>
            <w:top w:val="none" w:sz="0" w:space="0" w:color="auto"/>
            <w:left w:val="none" w:sz="0" w:space="0" w:color="auto"/>
            <w:bottom w:val="none" w:sz="0" w:space="0" w:color="auto"/>
            <w:right w:val="none" w:sz="0" w:space="0" w:color="auto"/>
          </w:divBdr>
        </w:div>
      </w:divsChild>
    </w:div>
    <w:div w:id="84152776">
      <w:bodyDiv w:val="1"/>
      <w:marLeft w:val="0"/>
      <w:marRight w:val="0"/>
      <w:marTop w:val="0"/>
      <w:marBottom w:val="0"/>
      <w:divBdr>
        <w:top w:val="none" w:sz="0" w:space="0" w:color="auto"/>
        <w:left w:val="none" w:sz="0" w:space="0" w:color="auto"/>
        <w:bottom w:val="none" w:sz="0" w:space="0" w:color="auto"/>
        <w:right w:val="none" w:sz="0" w:space="0" w:color="auto"/>
      </w:divBdr>
    </w:div>
    <w:div w:id="91901371">
      <w:bodyDiv w:val="1"/>
      <w:marLeft w:val="0"/>
      <w:marRight w:val="0"/>
      <w:marTop w:val="0"/>
      <w:marBottom w:val="0"/>
      <w:divBdr>
        <w:top w:val="none" w:sz="0" w:space="0" w:color="auto"/>
        <w:left w:val="none" w:sz="0" w:space="0" w:color="auto"/>
        <w:bottom w:val="none" w:sz="0" w:space="0" w:color="auto"/>
        <w:right w:val="none" w:sz="0" w:space="0" w:color="auto"/>
      </w:divBdr>
      <w:divsChild>
        <w:div w:id="380053994">
          <w:marLeft w:val="1166"/>
          <w:marRight w:val="0"/>
          <w:marTop w:val="77"/>
          <w:marBottom w:val="0"/>
          <w:divBdr>
            <w:top w:val="none" w:sz="0" w:space="0" w:color="auto"/>
            <w:left w:val="none" w:sz="0" w:space="0" w:color="auto"/>
            <w:bottom w:val="none" w:sz="0" w:space="0" w:color="auto"/>
            <w:right w:val="none" w:sz="0" w:space="0" w:color="auto"/>
          </w:divBdr>
        </w:div>
      </w:divsChild>
    </w:div>
    <w:div w:id="122043885">
      <w:bodyDiv w:val="1"/>
      <w:marLeft w:val="0"/>
      <w:marRight w:val="0"/>
      <w:marTop w:val="0"/>
      <w:marBottom w:val="0"/>
      <w:divBdr>
        <w:top w:val="none" w:sz="0" w:space="0" w:color="auto"/>
        <w:left w:val="none" w:sz="0" w:space="0" w:color="auto"/>
        <w:bottom w:val="none" w:sz="0" w:space="0" w:color="auto"/>
        <w:right w:val="none" w:sz="0" w:space="0" w:color="auto"/>
      </w:divBdr>
    </w:div>
    <w:div w:id="137066461">
      <w:bodyDiv w:val="1"/>
      <w:marLeft w:val="0"/>
      <w:marRight w:val="0"/>
      <w:marTop w:val="0"/>
      <w:marBottom w:val="0"/>
      <w:divBdr>
        <w:top w:val="none" w:sz="0" w:space="0" w:color="auto"/>
        <w:left w:val="none" w:sz="0" w:space="0" w:color="auto"/>
        <w:bottom w:val="none" w:sz="0" w:space="0" w:color="auto"/>
        <w:right w:val="none" w:sz="0" w:space="0" w:color="auto"/>
      </w:divBdr>
    </w:div>
    <w:div w:id="157960749">
      <w:bodyDiv w:val="1"/>
      <w:marLeft w:val="0"/>
      <w:marRight w:val="0"/>
      <w:marTop w:val="0"/>
      <w:marBottom w:val="0"/>
      <w:divBdr>
        <w:top w:val="none" w:sz="0" w:space="0" w:color="auto"/>
        <w:left w:val="none" w:sz="0" w:space="0" w:color="auto"/>
        <w:bottom w:val="none" w:sz="0" w:space="0" w:color="auto"/>
        <w:right w:val="none" w:sz="0" w:space="0" w:color="auto"/>
      </w:divBdr>
    </w:div>
    <w:div w:id="161506008">
      <w:bodyDiv w:val="1"/>
      <w:marLeft w:val="0"/>
      <w:marRight w:val="0"/>
      <w:marTop w:val="0"/>
      <w:marBottom w:val="0"/>
      <w:divBdr>
        <w:top w:val="none" w:sz="0" w:space="0" w:color="auto"/>
        <w:left w:val="none" w:sz="0" w:space="0" w:color="auto"/>
        <w:bottom w:val="none" w:sz="0" w:space="0" w:color="auto"/>
        <w:right w:val="none" w:sz="0" w:space="0" w:color="auto"/>
      </w:divBdr>
    </w:div>
    <w:div w:id="167793365">
      <w:bodyDiv w:val="1"/>
      <w:marLeft w:val="0"/>
      <w:marRight w:val="0"/>
      <w:marTop w:val="0"/>
      <w:marBottom w:val="0"/>
      <w:divBdr>
        <w:top w:val="none" w:sz="0" w:space="0" w:color="auto"/>
        <w:left w:val="none" w:sz="0" w:space="0" w:color="auto"/>
        <w:bottom w:val="none" w:sz="0" w:space="0" w:color="auto"/>
        <w:right w:val="none" w:sz="0" w:space="0" w:color="auto"/>
      </w:divBdr>
    </w:div>
    <w:div w:id="169179916">
      <w:bodyDiv w:val="1"/>
      <w:marLeft w:val="0"/>
      <w:marRight w:val="0"/>
      <w:marTop w:val="0"/>
      <w:marBottom w:val="0"/>
      <w:divBdr>
        <w:top w:val="none" w:sz="0" w:space="0" w:color="auto"/>
        <w:left w:val="none" w:sz="0" w:space="0" w:color="auto"/>
        <w:bottom w:val="none" w:sz="0" w:space="0" w:color="auto"/>
        <w:right w:val="none" w:sz="0" w:space="0" w:color="auto"/>
      </w:divBdr>
    </w:div>
    <w:div w:id="183981323">
      <w:bodyDiv w:val="1"/>
      <w:marLeft w:val="0"/>
      <w:marRight w:val="0"/>
      <w:marTop w:val="0"/>
      <w:marBottom w:val="0"/>
      <w:divBdr>
        <w:top w:val="none" w:sz="0" w:space="0" w:color="auto"/>
        <w:left w:val="none" w:sz="0" w:space="0" w:color="auto"/>
        <w:bottom w:val="none" w:sz="0" w:space="0" w:color="auto"/>
        <w:right w:val="none" w:sz="0" w:space="0" w:color="auto"/>
      </w:divBdr>
    </w:div>
    <w:div w:id="187110079">
      <w:bodyDiv w:val="1"/>
      <w:marLeft w:val="0"/>
      <w:marRight w:val="0"/>
      <w:marTop w:val="0"/>
      <w:marBottom w:val="0"/>
      <w:divBdr>
        <w:top w:val="none" w:sz="0" w:space="0" w:color="auto"/>
        <w:left w:val="none" w:sz="0" w:space="0" w:color="auto"/>
        <w:bottom w:val="none" w:sz="0" w:space="0" w:color="auto"/>
        <w:right w:val="none" w:sz="0" w:space="0" w:color="auto"/>
      </w:divBdr>
      <w:divsChild>
        <w:div w:id="839085256">
          <w:marLeft w:val="418"/>
          <w:marRight w:val="0"/>
          <w:marTop w:val="0"/>
          <w:marBottom w:val="360"/>
          <w:divBdr>
            <w:top w:val="none" w:sz="0" w:space="0" w:color="auto"/>
            <w:left w:val="none" w:sz="0" w:space="0" w:color="auto"/>
            <w:bottom w:val="none" w:sz="0" w:space="0" w:color="auto"/>
            <w:right w:val="none" w:sz="0" w:space="0" w:color="auto"/>
          </w:divBdr>
        </w:div>
        <w:div w:id="313264456">
          <w:marLeft w:val="418"/>
          <w:marRight w:val="0"/>
          <w:marTop w:val="0"/>
          <w:marBottom w:val="360"/>
          <w:divBdr>
            <w:top w:val="none" w:sz="0" w:space="0" w:color="auto"/>
            <w:left w:val="none" w:sz="0" w:space="0" w:color="auto"/>
            <w:bottom w:val="none" w:sz="0" w:space="0" w:color="auto"/>
            <w:right w:val="none" w:sz="0" w:space="0" w:color="auto"/>
          </w:divBdr>
        </w:div>
        <w:div w:id="1198662235">
          <w:marLeft w:val="418"/>
          <w:marRight w:val="0"/>
          <w:marTop w:val="0"/>
          <w:marBottom w:val="360"/>
          <w:divBdr>
            <w:top w:val="none" w:sz="0" w:space="0" w:color="auto"/>
            <w:left w:val="none" w:sz="0" w:space="0" w:color="auto"/>
            <w:bottom w:val="none" w:sz="0" w:space="0" w:color="auto"/>
            <w:right w:val="none" w:sz="0" w:space="0" w:color="auto"/>
          </w:divBdr>
        </w:div>
        <w:div w:id="1712992747">
          <w:marLeft w:val="418"/>
          <w:marRight w:val="0"/>
          <w:marTop w:val="0"/>
          <w:marBottom w:val="360"/>
          <w:divBdr>
            <w:top w:val="none" w:sz="0" w:space="0" w:color="auto"/>
            <w:left w:val="none" w:sz="0" w:space="0" w:color="auto"/>
            <w:bottom w:val="none" w:sz="0" w:space="0" w:color="auto"/>
            <w:right w:val="none" w:sz="0" w:space="0" w:color="auto"/>
          </w:divBdr>
        </w:div>
        <w:div w:id="1897743681">
          <w:marLeft w:val="418"/>
          <w:marRight w:val="0"/>
          <w:marTop w:val="0"/>
          <w:marBottom w:val="360"/>
          <w:divBdr>
            <w:top w:val="none" w:sz="0" w:space="0" w:color="auto"/>
            <w:left w:val="none" w:sz="0" w:space="0" w:color="auto"/>
            <w:bottom w:val="none" w:sz="0" w:space="0" w:color="auto"/>
            <w:right w:val="none" w:sz="0" w:space="0" w:color="auto"/>
          </w:divBdr>
        </w:div>
        <w:div w:id="1918782843">
          <w:marLeft w:val="418"/>
          <w:marRight w:val="0"/>
          <w:marTop w:val="0"/>
          <w:marBottom w:val="360"/>
          <w:divBdr>
            <w:top w:val="none" w:sz="0" w:space="0" w:color="auto"/>
            <w:left w:val="none" w:sz="0" w:space="0" w:color="auto"/>
            <w:bottom w:val="none" w:sz="0" w:space="0" w:color="auto"/>
            <w:right w:val="none" w:sz="0" w:space="0" w:color="auto"/>
          </w:divBdr>
        </w:div>
      </w:divsChild>
    </w:div>
    <w:div w:id="193663921">
      <w:bodyDiv w:val="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576"/>
          <w:marRight w:val="0"/>
          <w:marTop w:val="120"/>
          <w:marBottom w:val="60"/>
          <w:divBdr>
            <w:top w:val="none" w:sz="0" w:space="0" w:color="auto"/>
            <w:left w:val="none" w:sz="0" w:space="0" w:color="auto"/>
            <w:bottom w:val="none" w:sz="0" w:space="0" w:color="auto"/>
            <w:right w:val="none" w:sz="0" w:space="0" w:color="auto"/>
          </w:divBdr>
        </w:div>
      </w:divsChild>
    </w:div>
    <w:div w:id="198514899">
      <w:bodyDiv w:val="1"/>
      <w:marLeft w:val="0"/>
      <w:marRight w:val="0"/>
      <w:marTop w:val="0"/>
      <w:marBottom w:val="0"/>
      <w:divBdr>
        <w:top w:val="none" w:sz="0" w:space="0" w:color="auto"/>
        <w:left w:val="none" w:sz="0" w:space="0" w:color="auto"/>
        <w:bottom w:val="none" w:sz="0" w:space="0" w:color="auto"/>
        <w:right w:val="none" w:sz="0" w:space="0" w:color="auto"/>
      </w:divBdr>
      <w:divsChild>
        <w:div w:id="418870853">
          <w:marLeft w:val="0"/>
          <w:marRight w:val="0"/>
          <w:marTop w:val="86"/>
          <w:marBottom w:val="0"/>
          <w:divBdr>
            <w:top w:val="none" w:sz="0" w:space="0" w:color="auto"/>
            <w:left w:val="none" w:sz="0" w:space="0" w:color="auto"/>
            <w:bottom w:val="none" w:sz="0" w:space="0" w:color="auto"/>
            <w:right w:val="none" w:sz="0" w:space="0" w:color="auto"/>
          </w:divBdr>
        </w:div>
        <w:div w:id="1747805634">
          <w:marLeft w:val="0"/>
          <w:marRight w:val="0"/>
          <w:marTop w:val="86"/>
          <w:marBottom w:val="0"/>
          <w:divBdr>
            <w:top w:val="none" w:sz="0" w:space="0" w:color="auto"/>
            <w:left w:val="none" w:sz="0" w:space="0" w:color="auto"/>
            <w:bottom w:val="none" w:sz="0" w:space="0" w:color="auto"/>
            <w:right w:val="none" w:sz="0" w:space="0" w:color="auto"/>
          </w:divBdr>
        </w:div>
        <w:div w:id="1751732006">
          <w:marLeft w:val="0"/>
          <w:marRight w:val="0"/>
          <w:marTop w:val="86"/>
          <w:marBottom w:val="0"/>
          <w:divBdr>
            <w:top w:val="none" w:sz="0" w:space="0" w:color="auto"/>
            <w:left w:val="none" w:sz="0" w:space="0" w:color="auto"/>
            <w:bottom w:val="none" w:sz="0" w:space="0" w:color="auto"/>
            <w:right w:val="none" w:sz="0" w:space="0" w:color="auto"/>
          </w:divBdr>
        </w:div>
      </w:divsChild>
    </w:div>
    <w:div w:id="238252989">
      <w:bodyDiv w:val="1"/>
      <w:marLeft w:val="0"/>
      <w:marRight w:val="0"/>
      <w:marTop w:val="0"/>
      <w:marBottom w:val="0"/>
      <w:divBdr>
        <w:top w:val="none" w:sz="0" w:space="0" w:color="auto"/>
        <w:left w:val="none" w:sz="0" w:space="0" w:color="auto"/>
        <w:bottom w:val="none" w:sz="0" w:space="0" w:color="auto"/>
        <w:right w:val="none" w:sz="0" w:space="0" w:color="auto"/>
      </w:divBdr>
    </w:div>
    <w:div w:id="265430136">
      <w:bodyDiv w:val="1"/>
      <w:marLeft w:val="0"/>
      <w:marRight w:val="0"/>
      <w:marTop w:val="0"/>
      <w:marBottom w:val="0"/>
      <w:divBdr>
        <w:top w:val="none" w:sz="0" w:space="0" w:color="auto"/>
        <w:left w:val="none" w:sz="0" w:space="0" w:color="auto"/>
        <w:bottom w:val="none" w:sz="0" w:space="0" w:color="auto"/>
        <w:right w:val="none" w:sz="0" w:space="0" w:color="auto"/>
      </w:divBdr>
    </w:div>
    <w:div w:id="272177539">
      <w:bodyDiv w:val="1"/>
      <w:marLeft w:val="0"/>
      <w:marRight w:val="0"/>
      <w:marTop w:val="0"/>
      <w:marBottom w:val="0"/>
      <w:divBdr>
        <w:top w:val="none" w:sz="0" w:space="0" w:color="auto"/>
        <w:left w:val="none" w:sz="0" w:space="0" w:color="auto"/>
        <w:bottom w:val="none" w:sz="0" w:space="0" w:color="auto"/>
        <w:right w:val="none" w:sz="0" w:space="0" w:color="auto"/>
      </w:divBdr>
    </w:div>
    <w:div w:id="274294348">
      <w:bodyDiv w:val="1"/>
      <w:marLeft w:val="0"/>
      <w:marRight w:val="0"/>
      <w:marTop w:val="0"/>
      <w:marBottom w:val="0"/>
      <w:divBdr>
        <w:top w:val="none" w:sz="0" w:space="0" w:color="auto"/>
        <w:left w:val="none" w:sz="0" w:space="0" w:color="auto"/>
        <w:bottom w:val="none" w:sz="0" w:space="0" w:color="auto"/>
        <w:right w:val="none" w:sz="0" w:space="0" w:color="auto"/>
      </w:divBdr>
    </w:div>
    <w:div w:id="278494162">
      <w:bodyDiv w:val="1"/>
      <w:marLeft w:val="0"/>
      <w:marRight w:val="0"/>
      <w:marTop w:val="0"/>
      <w:marBottom w:val="0"/>
      <w:divBdr>
        <w:top w:val="none" w:sz="0" w:space="0" w:color="auto"/>
        <w:left w:val="none" w:sz="0" w:space="0" w:color="auto"/>
        <w:bottom w:val="none" w:sz="0" w:space="0" w:color="auto"/>
        <w:right w:val="none" w:sz="0" w:space="0" w:color="auto"/>
      </w:divBdr>
    </w:div>
    <w:div w:id="281307883">
      <w:bodyDiv w:val="1"/>
      <w:marLeft w:val="0"/>
      <w:marRight w:val="0"/>
      <w:marTop w:val="0"/>
      <w:marBottom w:val="0"/>
      <w:divBdr>
        <w:top w:val="none" w:sz="0" w:space="0" w:color="auto"/>
        <w:left w:val="none" w:sz="0" w:space="0" w:color="auto"/>
        <w:bottom w:val="none" w:sz="0" w:space="0" w:color="auto"/>
        <w:right w:val="none" w:sz="0" w:space="0" w:color="auto"/>
      </w:divBdr>
    </w:div>
    <w:div w:id="281889102">
      <w:bodyDiv w:val="1"/>
      <w:marLeft w:val="0"/>
      <w:marRight w:val="0"/>
      <w:marTop w:val="0"/>
      <w:marBottom w:val="0"/>
      <w:divBdr>
        <w:top w:val="none" w:sz="0" w:space="0" w:color="auto"/>
        <w:left w:val="none" w:sz="0" w:space="0" w:color="auto"/>
        <w:bottom w:val="none" w:sz="0" w:space="0" w:color="auto"/>
        <w:right w:val="none" w:sz="0" w:space="0" w:color="auto"/>
      </w:divBdr>
      <w:divsChild>
        <w:div w:id="318966840">
          <w:marLeft w:val="835"/>
          <w:marRight w:val="0"/>
          <w:marTop w:val="60"/>
          <w:marBottom w:val="60"/>
          <w:divBdr>
            <w:top w:val="none" w:sz="0" w:space="0" w:color="auto"/>
            <w:left w:val="none" w:sz="0" w:space="0" w:color="auto"/>
            <w:bottom w:val="none" w:sz="0" w:space="0" w:color="auto"/>
            <w:right w:val="none" w:sz="0" w:space="0" w:color="auto"/>
          </w:divBdr>
        </w:div>
        <w:div w:id="1789545271">
          <w:marLeft w:val="835"/>
          <w:marRight w:val="0"/>
          <w:marTop w:val="60"/>
          <w:marBottom w:val="60"/>
          <w:divBdr>
            <w:top w:val="none" w:sz="0" w:space="0" w:color="auto"/>
            <w:left w:val="none" w:sz="0" w:space="0" w:color="auto"/>
            <w:bottom w:val="none" w:sz="0" w:space="0" w:color="auto"/>
            <w:right w:val="none" w:sz="0" w:space="0" w:color="auto"/>
          </w:divBdr>
        </w:div>
        <w:div w:id="2097970661">
          <w:marLeft w:val="835"/>
          <w:marRight w:val="0"/>
          <w:marTop w:val="60"/>
          <w:marBottom w:val="60"/>
          <w:divBdr>
            <w:top w:val="none" w:sz="0" w:space="0" w:color="auto"/>
            <w:left w:val="none" w:sz="0" w:space="0" w:color="auto"/>
            <w:bottom w:val="none" w:sz="0" w:space="0" w:color="auto"/>
            <w:right w:val="none" w:sz="0" w:space="0" w:color="auto"/>
          </w:divBdr>
        </w:div>
      </w:divsChild>
    </w:div>
    <w:div w:id="293754459">
      <w:bodyDiv w:val="1"/>
      <w:marLeft w:val="0"/>
      <w:marRight w:val="0"/>
      <w:marTop w:val="0"/>
      <w:marBottom w:val="0"/>
      <w:divBdr>
        <w:top w:val="none" w:sz="0" w:space="0" w:color="auto"/>
        <w:left w:val="none" w:sz="0" w:space="0" w:color="auto"/>
        <w:bottom w:val="none" w:sz="0" w:space="0" w:color="auto"/>
        <w:right w:val="none" w:sz="0" w:space="0" w:color="auto"/>
      </w:divBdr>
    </w:div>
    <w:div w:id="299001575">
      <w:bodyDiv w:val="1"/>
      <w:marLeft w:val="0"/>
      <w:marRight w:val="0"/>
      <w:marTop w:val="0"/>
      <w:marBottom w:val="0"/>
      <w:divBdr>
        <w:top w:val="none" w:sz="0" w:space="0" w:color="auto"/>
        <w:left w:val="none" w:sz="0" w:space="0" w:color="auto"/>
        <w:bottom w:val="none" w:sz="0" w:space="0" w:color="auto"/>
        <w:right w:val="none" w:sz="0" w:space="0" w:color="auto"/>
      </w:divBdr>
    </w:div>
    <w:div w:id="304699140">
      <w:bodyDiv w:val="1"/>
      <w:marLeft w:val="0"/>
      <w:marRight w:val="0"/>
      <w:marTop w:val="0"/>
      <w:marBottom w:val="0"/>
      <w:divBdr>
        <w:top w:val="none" w:sz="0" w:space="0" w:color="auto"/>
        <w:left w:val="none" w:sz="0" w:space="0" w:color="auto"/>
        <w:bottom w:val="none" w:sz="0" w:space="0" w:color="auto"/>
        <w:right w:val="none" w:sz="0" w:space="0" w:color="auto"/>
      </w:divBdr>
      <w:divsChild>
        <w:div w:id="17390442">
          <w:marLeft w:val="0"/>
          <w:marRight w:val="0"/>
          <w:marTop w:val="86"/>
          <w:marBottom w:val="0"/>
          <w:divBdr>
            <w:top w:val="none" w:sz="0" w:space="0" w:color="auto"/>
            <w:left w:val="none" w:sz="0" w:space="0" w:color="auto"/>
            <w:bottom w:val="none" w:sz="0" w:space="0" w:color="auto"/>
            <w:right w:val="none" w:sz="0" w:space="0" w:color="auto"/>
          </w:divBdr>
        </w:div>
        <w:div w:id="45372868">
          <w:marLeft w:val="562"/>
          <w:marRight w:val="0"/>
          <w:marTop w:val="120"/>
          <w:marBottom w:val="0"/>
          <w:divBdr>
            <w:top w:val="none" w:sz="0" w:space="0" w:color="auto"/>
            <w:left w:val="none" w:sz="0" w:space="0" w:color="auto"/>
            <w:bottom w:val="none" w:sz="0" w:space="0" w:color="auto"/>
            <w:right w:val="none" w:sz="0" w:space="0" w:color="auto"/>
          </w:divBdr>
        </w:div>
        <w:div w:id="418791055">
          <w:marLeft w:val="0"/>
          <w:marRight w:val="0"/>
          <w:marTop w:val="86"/>
          <w:marBottom w:val="0"/>
          <w:divBdr>
            <w:top w:val="none" w:sz="0" w:space="0" w:color="auto"/>
            <w:left w:val="none" w:sz="0" w:space="0" w:color="auto"/>
            <w:bottom w:val="none" w:sz="0" w:space="0" w:color="auto"/>
            <w:right w:val="none" w:sz="0" w:space="0" w:color="auto"/>
          </w:divBdr>
        </w:div>
        <w:div w:id="461926028">
          <w:marLeft w:val="0"/>
          <w:marRight w:val="0"/>
          <w:marTop w:val="86"/>
          <w:marBottom w:val="0"/>
          <w:divBdr>
            <w:top w:val="none" w:sz="0" w:space="0" w:color="auto"/>
            <w:left w:val="none" w:sz="0" w:space="0" w:color="auto"/>
            <w:bottom w:val="none" w:sz="0" w:space="0" w:color="auto"/>
            <w:right w:val="none" w:sz="0" w:space="0" w:color="auto"/>
          </w:divBdr>
        </w:div>
        <w:div w:id="530386027">
          <w:marLeft w:val="562"/>
          <w:marRight w:val="0"/>
          <w:marTop w:val="120"/>
          <w:marBottom w:val="0"/>
          <w:divBdr>
            <w:top w:val="none" w:sz="0" w:space="0" w:color="auto"/>
            <w:left w:val="none" w:sz="0" w:space="0" w:color="auto"/>
            <w:bottom w:val="none" w:sz="0" w:space="0" w:color="auto"/>
            <w:right w:val="none" w:sz="0" w:space="0" w:color="auto"/>
          </w:divBdr>
        </w:div>
        <w:div w:id="546723563">
          <w:marLeft w:val="562"/>
          <w:marRight w:val="0"/>
          <w:marTop w:val="120"/>
          <w:marBottom w:val="0"/>
          <w:divBdr>
            <w:top w:val="none" w:sz="0" w:space="0" w:color="auto"/>
            <w:left w:val="none" w:sz="0" w:space="0" w:color="auto"/>
            <w:bottom w:val="none" w:sz="0" w:space="0" w:color="auto"/>
            <w:right w:val="none" w:sz="0" w:space="0" w:color="auto"/>
          </w:divBdr>
        </w:div>
        <w:div w:id="584338888">
          <w:marLeft w:val="562"/>
          <w:marRight w:val="0"/>
          <w:marTop w:val="0"/>
          <w:marBottom w:val="0"/>
          <w:divBdr>
            <w:top w:val="none" w:sz="0" w:space="0" w:color="auto"/>
            <w:left w:val="none" w:sz="0" w:space="0" w:color="auto"/>
            <w:bottom w:val="none" w:sz="0" w:space="0" w:color="auto"/>
            <w:right w:val="none" w:sz="0" w:space="0" w:color="auto"/>
          </w:divBdr>
        </w:div>
        <w:div w:id="1369840222">
          <w:marLeft w:val="562"/>
          <w:marRight w:val="0"/>
          <w:marTop w:val="120"/>
          <w:marBottom w:val="0"/>
          <w:divBdr>
            <w:top w:val="none" w:sz="0" w:space="0" w:color="auto"/>
            <w:left w:val="none" w:sz="0" w:space="0" w:color="auto"/>
            <w:bottom w:val="none" w:sz="0" w:space="0" w:color="auto"/>
            <w:right w:val="none" w:sz="0" w:space="0" w:color="auto"/>
          </w:divBdr>
        </w:div>
      </w:divsChild>
    </w:div>
    <w:div w:id="325717743">
      <w:bodyDiv w:val="1"/>
      <w:marLeft w:val="0"/>
      <w:marRight w:val="0"/>
      <w:marTop w:val="0"/>
      <w:marBottom w:val="0"/>
      <w:divBdr>
        <w:top w:val="none" w:sz="0" w:space="0" w:color="auto"/>
        <w:left w:val="none" w:sz="0" w:space="0" w:color="auto"/>
        <w:bottom w:val="none" w:sz="0" w:space="0" w:color="auto"/>
        <w:right w:val="none" w:sz="0" w:space="0" w:color="auto"/>
      </w:divBdr>
    </w:div>
    <w:div w:id="377777985">
      <w:bodyDiv w:val="1"/>
      <w:marLeft w:val="0"/>
      <w:marRight w:val="0"/>
      <w:marTop w:val="0"/>
      <w:marBottom w:val="0"/>
      <w:divBdr>
        <w:top w:val="none" w:sz="0" w:space="0" w:color="auto"/>
        <w:left w:val="none" w:sz="0" w:space="0" w:color="auto"/>
        <w:bottom w:val="none" w:sz="0" w:space="0" w:color="auto"/>
        <w:right w:val="none" w:sz="0" w:space="0" w:color="auto"/>
      </w:divBdr>
    </w:div>
    <w:div w:id="410736549">
      <w:bodyDiv w:val="1"/>
      <w:marLeft w:val="0"/>
      <w:marRight w:val="0"/>
      <w:marTop w:val="0"/>
      <w:marBottom w:val="0"/>
      <w:divBdr>
        <w:top w:val="none" w:sz="0" w:space="0" w:color="auto"/>
        <w:left w:val="none" w:sz="0" w:space="0" w:color="auto"/>
        <w:bottom w:val="none" w:sz="0" w:space="0" w:color="auto"/>
        <w:right w:val="none" w:sz="0" w:space="0" w:color="auto"/>
      </w:divBdr>
    </w:div>
    <w:div w:id="426735129">
      <w:bodyDiv w:val="1"/>
      <w:marLeft w:val="0"/>
      <w:marRight w:val="0"/>
      <w:marTop w:val="0"/>
      <w:marBottom w:val="0"/>
      <w:divBdr>
        <w:top w:val="none" w:sz="0" w:space="0" w:color="auto"/>
        <w:left w:val="none" w:sz="0" w:space="0" w:color="auto"/>
        <w:bottom w:val="none" w:sz="0" w:space="0" w:color="auto"/>
        <w:right w:val="none" w:sz="0" w:space="0" w:color="auto"/>
      </w:divBdr>
    </w:div>
    <w:div w:id="455300898">
      <w:bodyDiv w:val="1"/>
      <w:marLeft w:val="0"/>
      <w:marRight w:val="0"/>
      <w:marTop w:val="0"/>
      <w:marBottom w:val="0"/>
      <w:divBdr>
        <w:top w:val="none" w:sz="0" w:space="0" w:color="auto"/>
        <w:left w:val="none" w:sz="0" w:space="0" w:color="auto"/>
        <w:bottom w:val="none" w:sz="0" w:space="0" w:color="auto"/>
        <w:right w:val="none" w:sz="0" w:space="0" w:color="auto"/>
      </w:divBdr>
    </w:div>
    <w:div w:id="461971411">
      <w:bodyDiv w:val="1"/>
      <w:marLeft w:val="0"/>
      <w:marRight w:val="0"/>
      <w:marTop w:val="0"/>
      <w:marBottom w:val="0"/>
      <w:divBdr>
        <w:top w:val="none" w:sz="0" w:space="0" w:color="auto"/>
        <w:left w:val="none" w:sz="0" w:space="0" w:color="auto"/>
        <w:bottom w:val="none" w:sz="0" w:space="0" w:color="auto"/>
        <w:right w:val="none" w:sz="0" w:space="0" w:color="auto"/>
      </w:divBdr>
    </w:div>
    <w:div w:id="474296451">
      <w:bodyDiv w:val="1"/>
      <w:marLeft w:val="0"/>
      <w:marRight w:val="0"/>
      <w:marTop w:val="0"/>
      <w:marBottom w:val="0"/>
      <w:divBdr>
        <w:top w:val="none" w:sz="0" w:space="0" w:color="auto"/>
        <w:left w:val="none" w:sz="0" w:space="0" w:color="auto"/>
        <w:bottom w:val="none" w:sz="0" w:space="0" w:color="auto"/>
        <w:right w:val="none" w:sz="0" w:space="0" w:color="auto"/>
      </w:divBdr>
    </w:div>
    <w:div w:id="495650440">
      <w:bodyDiv w:val="1"/>
      <w:marLeft w:val="0"/>
      <w:marRight w:val="0"/>
      <w:marTop w:val="0"/>
      <w:marBottom w:val="0"/>
      <w:divBdr>
        <w:top w:val="none" w:sz="0" w:space="0" w:color="auto"/>
        <w:left w:val="none" w:sz="0" w:space="0" w:color="auto"/>
        <w:bottom w:val="none" w:sz="0" w:space="0" w:color="auto"/>
        <w:right w:val="none" w:sz="0" w:space="0" w:color="auto"/>
      </w:divBdr>
    </w:div>
    <w:div w:id="544801353">
      <w:bodyDiv w:val="1"/>
      <w:marLeft w:val="0"/>
      <w:marRight w:val="0"/>
      <w:marTop w:val="0"/>
      <w:marBottom w:val="0"/>
      <w:divBdr>
        <w:top w:val="none" w:sz="0" w:space="0" w:color="auto"/>
        <w:left w:val="none" w:sz="0" w:space="0" w:color="auto"/>
        <w:bottom w:val="none" w:sz="0" w:space="0" w:color="auto"/>
        <w:right w:val="none" w:sz="0" w:space="0" w:color="auto"/>
      </w:divBdr>
      <w:divsChild>
        <w:div w:id="551775877">
          <w:marLeft w:val="576"/>
          <w:marRight w:val="0"/>
          <w:marTop w:val="120"/>
          <w:marBottom w:val="60"/>
          <w:divBdr>
            <w:top w:val="none" w:sz="0" w:space="0" w:color="auto"/>
            <w:left w:val="none" w:sz="0" w:space="0" w:color="auto"/>
            <w:bottom w:val="none" w:sz="0" w:space="0" w:color="auto"/>
            <w:right w:val="none" w:sz="0" w:space="0" w:color="auto"/>
          </w:divBdr>
        </w:div>
      </w:divsChild>
    </w:div>
    <w:div w:id="632254730">
      <w:bodyDiv w:val="1"/>
      <w:marLeft w:val="0"/>
      <w:marRight w:val="0"/>
      <w:marTop w:val="0"/>
      <w:marBottom w:val="0"/>
      <w:divBdr>
        <w:top w:val="none" w:sz="0" w:space="0" w:color="auto"/>
        <w:left w:val="none" w:sz="0" w:space="0" w:color="auto"/>
        <w:bottom w:val="none" w:sz="0" w:space="0" w:color="auto"/>
        <w:right w:val="none" w:sz="0" w:space="0" w:color="auto"/>
      </w:divBdr>
    </w:div>
    <w:div w:id="673654634">
      <w:bodyDiv w:val="1"/>
      <w:marLeft w:val="0"/>
      <w:marRight w:val="0"/>
      <w:marTop w:val="0"/>
      <w:marBottom w:val="0"/>
      <w:divBdr>
        <w:top w:val="none" w:sz="0" w:space="0" w:color="auto"/>
        <w:left w:val="none" w:sz="0" w:space="0" w:color="auto"/>
        <w:bottom w:val="none" w:sz="0" w:space="0" w:color="auto"/>
        <w:right w:val="none" w:sz="0" w:space="0" w:color="auto"/>
      </w:divBdr>
    </w:div>
    <w:div w:id="681515438">
      <w:bodyDiv w:val="1"/>
      <w:marLeft w:val="0"/>
      <w:marRight w:val="0"/>
      <w:marTop w:val="0"/>
      <w:marBottom w:val="0"/>
      <w:divBdr>
        <w:top w:val="none" w:sz="0" w:space="0" w:color="auto"/>
        <w:left w:val="none" w:sz="0" w:space="0" w:color="auto"/>
        <w:bottom w:val="none" w:sz="0" w:space="0" w:color="auto"/>
        <w:right w:val="none" w:sz="0" w:space="0" w:color="auto"/>
      </w:divBdr>
    </w:div>
    <w:div w:id="698316951">
      <w:bodyDiv w:val="1"/>
      <w:marLeft w:val="0"/>
      <w:marRight w:val="0"/>
      <w:marTop w:val="0"/>
      <w:marBottom w:val="0"/>
      <w:divBdr>
        <w:top w:val="none" w:sz="0" w:space="0" w:color="auto"/>
        <w:left w:val="none" w:sz="0" w:space="0" w:color="auto"/>
        <w:bottom w:val="none" w:sz="0" w:space="0" w:color="auto"/>
        <w:right w:val="none" w:sz="0" w:space="0" w:color="auto"/>
      </w:divBdr>
      <w:divsChild>
        <w:div w:id="487786644">
          <w:marLeft w:val="979"/>
          <w:marRight w:val="0"/>
          <w:marTop w:val="77"/>
          <w:marBottom w:val="0"/>
          <w:divBdr>
            <w:top w:val="none" w:sz="0" w:space="0" w:color="auto"/>
            <w:left w:val="none" w:sz="0" w:space="0" w:color="auto"/>
            <w:bottom w:val="none" w:sz="0" w:space="0" w:color="auto"/>
            <w:right w:val="none" w:sz="0" w:space="0" w:color="auto"/>
          </w:divBdr>
        </w:div>
        <w:div w:id="583539673">
          <w:marLeft w:val="288"/>
          <w:marRight w:val="0"/>
          <w:marTop w:val="160"/>
          <w:marBottom w:val="0"/>
          <w:divBdr>
            <w:top w:val="none" w:sz="0" w:space="0" w:color="auto"/>
            <w:left w:val="none" w:sz="0" w:space="0" w:color="auto"/>
            <w:bottom w:val="none" w:sz="0" w:space="0" w:color="auto"/>
            <w:right w:val="none" w:sz="0" w:space="0" w:color="auto"/>
          </w:divBdr>
        </w:div>
        <w:div w:id="618343912">
          <w:marLeft w:val="979"/>
          <w:marRight w:val="0"/>
          <w:marTop w:val="77"/>
          <w:marBottom w:val="0"/>
          <w:divBdr>
            <w:top w:val="none" w:sz="0" w:space="0" w:color="auto"/>
            <w:left w:val="none" w:sz="0" w:space="0" w:color="auto"/>
            <w:bottom w:val="none" w:sz="0" w:space="0" w:color="auto"/>
            <w:right w:val="none" w:sz="0" w:space="0" w:color="auto"/>
          </w:divBdr>
        </w:div>
        <w:div w:id="682977940">
          <w:marLeft w:val="288"/>
          <w:marRight w:val="0"/>
          <w:marTop w:val="160"/>
          <w:marBottom w:val="0"/>
          <w:divBdr>
            <w:top w:val="none" w:sz="0" w:space="0" w:color="auto"/>
            <w:left w:val="none" w:sz="0" w:space="0" w:color="auto"/>
            <w:bottom w:val="none" w:sz="0" w:space="0" w:color="auto"/>
            <w:right w:val="none" w:sz="0" w:space="0" w:color="auto"/>
          </w:divBdr>
        </w:div>
        <w:div w:id="835152532">
          <w:marLeft w:val="288"/>
          <w:marRight w:val="0"/>
          <w:marTop w:val="160"/>
          <w:marBottom w:val="0"/>
          <w:divBdr>
            <w:top w:val="none" w:sz="0" w:space="0" w:color="auto"/>
            <w:left w:val="none" w:sz="0" w:space="0" w:color="auto"/>
            <w:bottom w:val="none" w:sz="0" w:space="0" w:color="auto"/>
            <w:right w:val="none" w:sz="0" w:space="0" w:color="auto"/>
          </w:divBdr>
        </w:div>
        <w:div w:id="893471358">
          <w:marLeft w:val="979"/>
          <w:marRight w:val="0"/>
          <w:marTop w:val="77"/>
          <w:marBottom w:val="0"/>
          <w:divBdr>
            <w:top w:val="none" w:sz="0" w:space="0" w:color="auto"/>
            <w:left w:val="none" w:sz="0" w:space="0" w:color="auto"/>
            <w:bottom w:val="none" w:sz="0" w:space="0" w:color="auto"/>
            <w:right w:val="none" w:sz="0" w:space="0" w:color="auto"/>
          </w:divBdr>
        </w:div>
        <w:div w:id="926036439">
          <w:marLeft w:val="288"/>
          <w:marRight w:val="0"/>
          <w:marTop w:val="160"/>
          <w:marBottom w:val="0"/>
          <w:divBdr>
            <w:top w:val="none" w:sz="0" w:space="0" w:color="auto"/>
            <w:left w:val="none" w:sz="0" w:space="0" w:color="auto"/>
            <w:bottom w:val="none" w:sz="0" w:space="0" w:color="auto"/>
            <w:right w:val="none" w:sz="0" w:space="0" w:color="auto"/>
          </w:divBdr>
        </w:div>
        <w:div w:id="965352147">
          <w:marLeft w:val="979"/>
          <w:marRight w:val="0"/>
          <w:marTop w:val="77"/>
          <w:marBottom w:val="0"/>
          <w:divBdr>
            <w:top w:val="none" w:sz="0" w:space="0" w:color="auto"/>
            <w:left w:val="none" w:sz="0" w:space="0" w:color="auto"/>
            <w:bottom w:val="none" w:sz="0" w:space="0" w:color="auto"/>
            <w:right w:val="none" w:sz="0" w:space="0" w:color="auto"/>
          </w:divBdr>
        </w:div>
        <w:div w:id="1381242783">
          <w:marLeft w:val="288"/>
          <w:marRight w:val="0"/>
          <w:marTop w:val="160"/>
          <w:marBottom w:val="0"/>
          <w:divBdr>
            <w:top w:val="none" w:sz="0" w:space="0" w:color="auto"/>
            <w:left w:val="none" w:sz="0" w:space="0" w:color="auto"/>
            <w:bottom w:val="none" w:sz="0" w:space="0" w:color="auto"/>
            <w:right w:val="none" w:sz="0" w:space="0" w:color="auto"/>
          </w:divBdr>
        </w:div>
        <w:div w:id="1439987898">
          <w:marLeft w:val="979"/>
          <w:marRight w:val="0"/>
          <w:marTop w:val="77"/>
          <w:marBottom w:val="0"/>
          <w:divBdr>
            <w:top w:val="none" w:sz="0" w:space="0" w:color="auto"/>
            <w:left w:val="none" w:sz="0" w:space="0" w:color="auto"/>
            <w:bottom w:val="none" w:sz="0" w:space="0" w:color="auto"/>
            <w:right w:val="none" w:sz="0" w:space="0" w:color="auto"/>
          </w:divBdr>
        </w:div>
        <w:div w:id="1445803223">
          <w:marLeft w:val="979"/>
          <w:marRight w:val="0"/>
          <w:marTop w:val="77"/>
          <w:marBottom w:val="0"/>
          <w:divBdr>
            <w:top w:val="none" w:sz="0" w:space="0" w:color="auto"/>
            <w:left w:val="none" w:sz="0" w:space="0" w:color="auto"/>
            <w:bottom w:val="none" w:sz="0" w:space="0" w:color="auto"/>
            <w:right w:val="none" w:sz="0" w:space="0" w:color="auto"/>
          </w:divBdr>
        </w:div>
        <w:div w:id="1508596526">
          <w:marLeft w:val="979"/>
          <w:marRight w:val="0"/>
          <w:marTop w:val="77"/>
          <w:marBottom w:val="0"/>
          <w:divBdr>
            <w:top w:val="none" w:sz="0" w:space="0" w:color="auto"/>
            <w:left w:val="none" w:sz="0" w:space="0" w:color="auto"/>
            <w:bottom w:val="none" w:sz="0" w:space="0" w:color="auto"/>
            <w:right w:val="none" w:sz="0" w:space="0" w:color="auto"/>
          </w:divBdr>
        </w:div>
        <w:div w:id="1720326985">
          <w:marLeft w:val="979"/>
          <w:marRight w:val="0"/>
          <w:marTop w:val="77"/>
          <w:marBottom w:val="0"/>
          <w:divBdr>
            <w:top w:val="none" w:sz="0" w:space="0" w:color="auto"/>
            <w:left w:val="none" w:sz="0" w:space="0" w:color="auto"/>
            <w:bottom w:val="none" w:sz="0" w:space="0" w:color="auto"/>
            <w:right w:val="none" w:sz="0" w:space="0" w:color="auto"/>
          </w:divBdr>
        </w:div>
        <w:div w:id="2010910629">
          <w:marLeft w:val="288"/>
          <w:marRight w:val="0"/>
          <w:marTop w:val="86"/>
          <w:marBottom w:val="0"/>
          <w:divBdr>
            <w:top w:val="none" w:sz="0" w:space="0" w:color="auto"/>
            <w:left w:val="none" w:sz="0" w:space="0" w:color="auto"/>
            <w:bottom w:val="none" w:sz="0" w:space="0" w:color="auto"/>
            <w:right w:val="none" w:sz="0" w:space="0" w:color="auto"/>
          </w:divBdr>
        </w:div>
      </w:divsChild>
    </w:div>
    <w:div w:id="707485338">
      <w:bodyDiv w:val="1"/>
      <w:marLeft w:val="0"/>
      <w:marRight w:val="0"/>
      <w:marTop w:val="0"/>
      <w:marBottom w:val="0"/>
      <w:divBdr>
        <w:top w:val="none" w:sz="0" w:space="0" w:color="auto"/>
        <w:left w:val="none" w:sz="0" w:space="0" w:color="auto"/>
        <w:bottom w:val="none" w:sz="0" w:space="0" w:color="auto"/>
        <w:right w:val="none" w:sz="0" w:space="0" w:color="auto"/>
      </w:divBdr>
    </w:div>
    <w:div w:id="720785557">
      <w:bodyDiv w:val="1"/>
      <w:marLeft w:val="0"/>
      <w:marRight w:val="0"/>
      <w:marTop w:val="0"/>
      <w:marBottom w:val="0"/>
      <w:divBdr>
        <w:top w:val="none" w:sz="0" w:space="0" w:color="auto"/>
        <w:left w:val="none" w:sz="0" w:space="0" w:color="auto"/>
        <w:bottom w:val="none" w:sz="0" w:space="0" w:color="auto"/>
        <w:right w:val="none" w:sz="0" w:space="0" w:color="auto"/>
      </w:divBdr>
    </w:div>
    <w:div w:id="722602523">
      <w:bodyDiv w:val="1"/>
      <w:marLeft w:val="0"/>
      <w:marRight w:val="0"/>
      <w:marTop w:val="0"/>
      <w:marBottom w:val="0"/>
      <w:divBdr>
        <w:top w:val="none" w:sz="0" w:space="0" w:color="auto"/>
        <w:left w:val="none" w:sz="0" w:space="0" w:color="auto"/>
        <w:bottom w:val="none" w:sz="0" w:space="0" w:color="auto"/>
        <w:right w:val="none" w:sz="0" w:space="0" w:color="auto"/>
      </w:divBdr>
    </w:div>
    <w:div w:id="738286193">
      <w:bodyDiv w:val="1"/>
      <w:marLeft w:val="0"/>
      <w:marRight w:val="0"/>
      <w:marTop w:val="0"/>
      <w:marBottom w:val="0"/>
      <w:divBdr>
        <w:top w:val="none" w:sz="0" w:space="0" w:color="auto"/>
        <w:left w:val="none" w:sz="0" w:space="0" w:color="auto"/>
        <w:bottom w:val="none" w:sz="0" w:space="0" w:color="auto"/>
        <w:right w:val="none" w:sz="0" w:space="0" w:color="auto"/>
      </w:divBdr>
    </w:div>
    <w:div w:id="762337977">
      <w:bodyDiv w:val="1"/>
      <w:marLeft w:val="0"/>
      <w:marRight w:val="0"/>
      <w:marTop w:val="0"/>
      <w:marBottom w:val="0"/>
      <w:divBdr>
        <w:top w:val="none" w:sz="0" w:space="0" w:color="auto"/>
        <w:left w:val="none" w:sz="0" w:space="0" w:color="auto"/>
        <w:bottom w:val="none" w:sz="0" w:space="0" w:color="auto"/>
        <w:right w:val="none" w:sz="0" w:space="0" w:color="auto"/>
      </w:divBdr>
    </w:div>
    <w:div w:id="764304119">
      <w:bodyDiv w:val="1"/>
      <w:marLeft w:val="0"/>
      <w:marRight w:val="0"/>
      <w:marTop w:val="0"/>
      <w:marBottom w:val="0"/>
      <w:divBdr>
        <w:top w:val="none" w:sz="0" w:space="0" w:color="auto"/>
        <w:left w:val="none" w:sz="0" w:space="0" w:color="auto"/>
        <w:bottom w:val="none" w:sz="0" w:space="0" w:color="auto"/>
        <w:right w:val="none" w:sz="0" w:space="0" w:color="auto"/>
      </w:divBdr>
    </w:div>
    <w:div w:id="821316452">
      <w:bodyDiv w:val="1"/>
      <w:marLeft w:val="0"/>
      <w:marRight w:val="0"/>
      <w:marTop w:val="0"/>
      <w:marBottom w:val="0"/>
      <w:divBdr>
        <w:top w:val="none" w:sz="0" w:space="0" w:color="auto"/>
        <w:left w:val="none" w:sz="0" w:space="0" w:color="auto"/>
        <w:bottom w:val="none" w:sz="0" w:space="0" w:color="auto"/>
        <w:right w:val="none" w:sz="0" w:space="0" w:color="auto"/>
      </w:divBdr>
      <w:divsChild>
        <w:div w:id="197009813">
          <w:marLeft w:val="547"/>
          <w:marRight w:val="0"/>
          <w:marTop w:val="77"/>
          <w:marBottom w:val="0"/>
          <w:divBdr>
            <w:top w:val="none" w:sz="0" w:space="0" w:color="auto"/>
            <w:left w:val="none" w:sz="0" w:space="0" w:color="auto"/>
            <w:bottom w:val="none" w:sz="0" w:space="0" w:color="auto"/>
            <w:right w:val="none" w:sz="0" w:space="0" w:color="auto"/>
          </w:divBdr>
        </w:div>
        <w:div w:id="721826010">
          <w:marLeft w:val="547"/>
          <w:marRight w:val="0"/>
          <w:marTop w:val="0"/>
          <w:marBottom w:val="40"/>
          <w:divBdr>
            <w:top w:val="none" w:sz="0" w:space="0" w:color="auto"/>
            <w:left w:val="none" w:sz="0" w:space="0" w:color="auto"/>
            <w:bottom w:val="none" w:sz="0" w:space="0" w:color="auto"/>
            <w:right w:val="none" w:sz="0" w:space="0" w:color="auto"/>
          </w:divBdr>
        </w:div>
        <w:div w:id="740443017">
          <w:marLeft w:val="547"/>
          <w:marRight w:val="0"/>
          <w:marTop w:val="0"/>
          <w:marBottom w:val="40"/>
          <w:divBdr>
            <w:top w:val="none" w:sz="0" w:space="0" w:color="auto"/>
            <w:left w:val="none" w:sz="0" w:space="0" w:color="auto"/>
            <w:bottom w:val="none" w:sz="0" w:space="0" w:color="auto"/>
            <w:right w:val="none" w:sz="0" w:space="0" w:color="auto"/>
          </w:divBdr>
        </w:div>
        <w:div w:id="792093163">
          <w:marLeft w:val="547"/>
          <w:marRight w:val="0"/>
          <w:marTop w:val="0"/>
          <w:marBottom w:val="40"/>
          <w:divBdr>
            <w:top w:val="none" w:sz="0" w:space="0" w:color="auto"/>
            <w:left w:val="none" w:sz="0" w:space="0" w:color="auto"/>
            <w:bottom w:val="none" w:sz="0" w:space="0" w:color="auto"/>
            <w:right w:val="none" w:sz="0" w:space="0" w:color="auto"/>
          </w:divBdr>
        </w:div>
        <w:div w:id="844441776">
          <w:marLeft w:val="547"/>
          <w:marRight w:val="0"/>
          <w:marTop w:val="0"/>
          <w:marBottom w:val="40"/>
          <w:divBdr>
            <w:top w:val="none" w:sz="0" w:space="0" w:color="auto"/>
            <w:left w:val="none" w:sz="0" w:space="0" w:color="auto"/>
            <w:bottom w:val="none" w:sz="0" w:space="0" w:color="auto"/>
            <w:right w:val="none" w:sz="0" w:space="0" w:color="auto"/>
          </w:divBdr>
        </w:div>
        <w:div w:id="900752696">
          <w:marLeft w:val="547"/>
          <w:marRight w:val="0"/>
          <w:marTop w:val="0"/>
          <w:marBottom w:val="40"/>
          <w:divBdr>
            <w:top w:val="none" w:sz="0" w:space="0" w:color="auto"/>
            <w:left w:val="none" w:sz="0" w:space="0" w:color="auto"/>
            <w:bottom w:val="none" w:sz="0" w:space="0" w:color="auto"/>
            <w:right w:val="none" w:sz="0" w:space="0" w:color="auto"/>
          </w:divBdr>
        </w:div>
        <w:div w:id="1020739270">
          <w:marLeft w:val="547"/>
          <w:marRight w:val="0"/>
          <w:marTop w:val="77"/>
          <w:marBottom w:val="0"/>
          <w:divBdr>
            <w:top w:val="none" w:sz="0" w:space="0" w:color="auto"/>
            <w:left w:val="none" w:sz="0" w:space="0" w:color="auto"/>
            <w:bottom w:val="none" w:sz="0" w:space="0" w:color="auto"/>
            <w:right w:val="none" w:sz="0" w:space="0" w:color="auto"/>
          </w:divBdr>
        </w:div>
        <w:div w:id="1079594361">
          <w:marLeft w:val="547"/>
          <w:marRight w:val="0"/>
          <w:marTop w:val="0"/>
          <w:marBottom w:val="40"/>
          <w:divBdr>
            <w:top w:val="none" w:sz="0" w:space="0" w:color="auto"/>
            <w:left w:val="none" w:sz="0" w:space="0" w:color="auto"/>
            <w:bottom w:val="none" w:sz="0" w:space="0" w:color="auto"/>
            <w:right w:val="none" w:sz="0" w:space="0" w:color="auto"/>
          </w:divBdr>
        </w:div>
        <w:div w:id="1377967253">
          <w:marLeft w:val="547"/>
          <w:marRight w:val="0"/>
          <w:marTop w:val="0"/>
          <w:marBottom w:val="40"/>
          <w:divBdr>
            <w:top w:val="none" w:sz="0" w:space="0" w:color="auto"/>
            <w:left w:val="none" w:sz="0" w:space="0" w:color="auto"/>
            <w:bottom w:val="none" w:sz="0" w:space="0" w:color="auto"/>
            <w:right w:val="none" w:sz="0" w:space="0" w:color="auto"/>
          </w:divBdr>
        </w:div>
        <w:div w:id="1473134951">
          <w:marLeft w:val="547"/>
          <w:marRight w:val="0"/>
          <w:marTop w:val="0"/>
          <w:marBottom w:val="40"/>
          <w:divBdr>
            <w:top w:val="none" w:sz="0" w:space="0" w:color="auto"/>
            <w:left w:val="none" w:sz="0" w:space="0" w:color="auto"/>
            <w:bottom w:val="none" w:sz="0" w:space="0" w:color="auto"/>
            <w:right w:val="none" w:sz="0" w:space="0" w:color="auto"/>
          </w:divBdr>
        </w:div>
        <w:div w:id="2017801540">
          <w:marLeft w:val="547"/>
          <w:marRight w:val="0"/>
          <w:marTop w:val="0"/>
          <w:marBottom w:val="40"/>
          <w:divBdr>
            <w:top w:val="none" w:sz="0" w:space="0" w:color="auto"/>
            <w:left w:val="none" w:sz="0" w:space="0" w:color="auto"/>
            <w:bottom w:val="none" w:sz="0" w:space="0" w:color="auto"/>
            <w:right w:val="none" w:sz="0" w:space="0" w:color="auto"/>
          </w:divBdr>
        </w:div>
        <w:div w:id="2034577684">
          <w:marLeft w:val="547"/>
          <w:marRight w:val="0"/>
          <w:marTop w:val="77"/>
          <w:marBottom w:val="0"/>
          <w:divBdr>
            <w:top w:val="none" w:sz="0" w:space="0" w:color="auto"/>
            <w:left w:val="none" w:sz="0" w:space="0" w:color="auto"/>
            <w:bottom w:val="none" w:sz="0" w:space="0" w:color="auto"/>
            <w:right w:val="none" w:sz="0" w:space="0" w:color="auto"/>
          </w:divBdr>
        </w:div>
      </w:divsChild>
    </w:div>
    <w:div w:id="831482364">
      <w:bodyDiv w:val="1"/>
      <w:marLeft w:val="0"/>
      <w:marRight w:val="0"/>
      <w:marTop w:val="0"/>
      <w:marBottom w:val="0"/>
      <w:divBdr>
        <w:top w:val="none" w:sz="0" w:space="0" w:color="auto"/>
        <w:left w:val="none" w:sz="0" w:space="0" w:color="auto"/>
        <w:bottom w:val="none" w:sz="0" w:space="0" w:color="auto"/>
        <w:right w:val="none" w:sz="0" w:space="0" w:color="auto"/>
      </w:divBdr>
    </w:div>
    <w:div w:id="848640679">
      <w:bodyDiv w:val="1"/>
      <w:marLeft w:val="0"/>
      <w:marRight w:val="0"/>
      <w:marTop w:val="0"/>
      <w:marBottom w:val="0"/>
      <w:divBdr>
        <w:top w:val="none" w:sz="0" w:space="0" w:color="auto"/>
        <w:left w:val="none" w:sz="0" w:space="0" w:color="auto"/>
        <w:bottom w:val="none" w:sz="0" w:space="0" w:color="auto"/>
        <w:right w:val="none" w:sz="0" w:space="0" w:color="auto"/>
      </w:divBdr>
    </w:div>
    <w:div w:id="872427210">
      <w:bodyDiv w:val="1"/>
      <w:marLeft w:val="0"/>
      <w:marRight w:val="0"/>
      <w:marTop w:val="0"/>
      <w:marBottom w:val="0"/>
      <w:divBdr>
        <w:top w:val="none" w:sz="0" w:space="0" w:color="auto"/>
        <w:left w:val="none" w:sz="0" w:space="0" w:color="auto"/>
        <w:bottom w:val="none" w:sz="0" w:space="0" w:color="auto"/>
        <w:right w:val="none" w:sz="0" w:space="0" w:color="auto"/>
      </w:divBdr>
    </w:div>
    <w:div w:id="881988067">
      <w:bodyDiv w:val="1"/>
      <w:marLeft w:val="0"/>
      <w:marRight w:val="0"/>
      <w:marTop w:val="0"/>
      <w:marBottom w:val="0"/>
      <w:divBdr>
        <w:top w:val="none" w:sz="0" w:space="0" w:color="auto"/>
        <w:left w:val="none" w:sz="0" w:space="0" w:color="auto"/>
        <w:bottom w:val="none" w:sz="0" w:space="0" w:color="auto"/>
        <w:right w:val="none" w:sz="0" w:space="0" w:color="auto"/>
      </w:divBdr>
    </w:div>
    <w:div w:id="887687963">
      <w:bodyDiv w:val="1"/>
      <w:marLeft w:val="0"/>
      <w:marRight w:val="0"/>
      <w:marTop w:val="0"/>
      <w:marBottom w:val="0"/>
      <w:divBdr>
        <w:top w:val="none" w:sz="0" w:space="0" w:color="auto"/>
        <w:left w:val="none" w:sz="0" w:space="0" w:color="auto"/>
        <w:bottom w:val="none" w:sz="0" w:space="0" w:color="auto"/>
        <w:right w:val="none" w:sz="0" w:space="0" w:color="auto"/>
      </w:divBdr>
    </w:div>
    <w:div w:id="894435425">
      <w:bodyDiv w:val="1"/>
      <w:marLeft w:val="0"/>
      <w:marRight w:val="0"/>
      <w:marTop w:val="0"/>
      <w:marBottom w:val="0"/>
      <w:divBdr>
        <w:top w:val="none" w:sz="0" w:space="0" w:color="auto"/>
        <w:left w:val="none" w:sz="0" w:space="0" w:color="auto"/>
        <w:bottom w:val="none" w:sz="0" w:space="0" w:color="auto"/>
        <w:right w:val="none" w:sz="0" w:space="0" w:color="auto"/>
      </w:divBdr>
    </w:div>
    <w:div w:id="915669498">
      <w:bodyDiv w:val="1"/>
      <w:marLeft w:val="0"/>
      <w:marRight w:val="0"/>
      <w:marTop w:val="0"/>
      <w:marBottom w:val="0"/>
      <w:divBdr>
        <w:top w:val="none" w:sz="0" w:space="0" w:color="auto"/>
        <w:left w:val="none" w:sz="0" w:space="0" w:color="auto"/>
        <w:bottom w:val="none" w:sz="0" w:space="0" w:color="auto"/>
        <w:right w:val="none" w:sz="0" w:space="0" w:color="auto"/>
      </w:divBdr>
      <w:divsChild>
        <w:div w:id="195167359">
          <w:marLeft w:val="0"/>
          <w:marRight w:val="0"/>
          <w:marTop w:val="0"/>
          <w:marBottom w:val="0"/>
          <w:divBdr>
            <w:top w:val="none" w:sz="0" w:space="0" w:color="auto"/>
            <w:left w:val="none" w:sz="0" w:space="0" w:color="auto"/>
            <w:bottom w:val="none" w:sz="0" w:space="0" w:color="auto"/>
            <w:right w:val="none" w:sz="0" w:space="0" w:color="auto"/>
          </w:divBdr>
        </w:div>
        <w:div w:id="1967546671">
          <w:marLeft w:val="0"/>
          <w:marRight w:val="0"/>
          <w:marTop w:val="0"/>
          <w:marBottom w:val="0"/>
          <w:divBdr>
            <w:top w:val="none" w:sz="0" w:space="0" w:color="auto"/>
            <w:left w:val="none" w:sz="0" w:space="0" w:color="auto"/>
            <w:bottom w:val="none" w:sz="0" w:space="0" w:color="auto"/>
            <w:right w:val="none" w:sz="0" w:space="0" w:color="auto"/>
          </w:divBdr>
        </w:div>
        <w:div w:id="1729448690">
          <w:marLeft w:val="0"/>
          <w:marRight w:val="0"/>
          <w:marTop w:val="0"/>
          <w:marBottom w:val="0"/>
          <w:divBdr>
            <w:top w:val="none" w:sz="0" w:space="0" w:color="auto"/>
            <w:left w:val="none" w:sz="0" w:space="0" w:color="auto"/>
            <w:bottom w:val="none" w:sz="0" w:space="0" w:color="auto"/>
            <w:right w:val="none" w:sz="0" w:space="0" w:color="auto"/>
          </w:divBdr>
        </w:div>
        <w:div w:id="1104686294">
          <w:marLeft w:val="0"/>
          <w:marRight w:val="0"/>
          <w:marTop w:val="0"/>
          <w:marBottom w:val="0"/>
          <w:divBdr>
            <w:top w:val="none" w:sz="0" w:space="0" w:color="auto"/>
            <w:left w:val="none" w:sz="0" w:space="0" w:color="auto"/>
            <w:bottom w:val="none" w:sz="0" w:space="0" w:color="auto"/>
            <w:right w:val="none" w:sz="0" w:space="0" w:color="auto"/>
          </w:divBdr>
        </w:div>
        <w:div w:id="851575994">
          <w:marLeft w:val="0"/>
          <w:marRight w:val="0"/>
          <w:marTop w:val="0"/>
          <w:marBottom w:val="0"/>
          <w:divBdr>
            <w:top w:val="none" w:sz="0" w:space="0" w:color="auto"/>
            <w:left w:val="none" w:sz="0" w:space="0" w:color="auto"/>
            <w:bottom w:val="none" w:sz="0" w:space="0" w:color="auto"/>
            <w:right w:val="none" w:sz="0" w:space="0" w:color="auto"/>
          </w:divBdr>
        </w:div>
        <w:div w:id="1415273499">
          <w:marLeft w:val="0"/>
          <w:marRight w:val="0"/>
          <w:marTop w:val="0"/>
          <w:marBottom w:val="0"/>
          <w:divBdr>
            <w:top w:val="none" w:sz="0" w:space="0" w:color="auto"/>
            <w:left w:val="none" w:sz="0" w:space="0" w:color="auto"/>
            <w:bottom w:val="none" w:sz="0" w:space="0" w:color="auto"/>
            <w:right w:val="none" w:sz="0" w:space="0" w:color="auto"/>
          </w:divBdr>
        </w:div>
        <w:div w:id="661196354">
          <w:marLeft w:val="0"/>
          <w:marRight w:val="0"/>
          <w:marTop w:val="0"/>
          <w:marBottom w:val="0"/>
          <w:divBdr>
            <w:top w:val="none" w:sz="0" w:space="0" w:color="auto"/>
            <w:left w:val="none" w:sz="0" w:space="0" w:color="auto"/>
            <w:bottom w:val="none" w:sz="0" w:space="0" w:color="auto"/>
            <w:right w:val="none" w:sz="0" w:space="0" w:color="auto"/>
          </w:divBdr>
        </w:div>
        <w:div w:id="261885859">
          <w:marLeft w:val="0"/>
          <w:marRight w:val="0"/>
          <w:marTop w:val="0"/>
          <w:marBottom w:val="0"/>
          <w:divBdr>
            <w:top w:val="none" w:sz="0" w:space="0" w:color="auto"/>
            <w:left w:val="none" w:sz="0" w:space="0" w:color="auto"/>
            <w:bottom w:val="none" w:sz="0" w:space="0" w:color="auto"/>
            <w:right w:val="none" w:sz="0" w:space="0" w:color="auto"/>
          </w:divBdr>
        </w:div>
        <w:div w:id="2124305774">
          <w:marLeft w:val="0"/>
          <w:marRight w:val="0"/>
          <w:marTop w:val="0"/>
          <w:marBottom w:val="0"/>
          <w:divBdr>
            <w:top w:val="none" w:sz="0" w:space="0" w:color="auto"/>
            <w:left w:val="none" w:sz="0" w:space="0" w:color="auto"/>
            <w:bottom w:val="none" w:sz="0" w:space="0" w:color="auto"/>
            <w:right w:val="none" w:sz="0" w:space="0" w:color="auto"/>
          </w:divBdr>
        </w:div>
        <w:div w:id="36781783">
          <w:marLeft w:val="0"/>
          <w:marRight w:val="0"/>
          <w:marTop w:val="0"/>
          <w:marBottom w:val="0"/>
          <w:divBdr>
            <w:top w:val="none" w:sz="0" w:space="0" w:color="auto"/>
            <w:left w:val="none" w:sz="0" w:space="0" w:color="auto"/>
            <w:bottom w:val="none" w:sz="0" w:space="0" w:color="auto"/>
            <w:right w:val="none" w:sz="0" w:space="0" w:color="auto"/>
          </w:divBdr>
        </w:div>
        <w:div w:id="1727290508">
          <w:marLeft w:val="0"/>
          <w:marRight w:val="0"/>
          <w:marTop w:val="0"/>
          <w:marBottom w:val="0"/>
          <w:divBdr>
            <w:top w:val="none" w:sz="0" w:space="0" w:color="auto"/>
            <w:left w:val="none" w:sz="0" w:space="0" w:color="auto"/>
            <w:bottom w:val="none" w:sz="0" w:space="0" w:color="auto"/>
            <w:right w:val="none" w:sz="0" w:space="0" w:color="auto"/>
          </w:divBdr>
        </w:div>
        <w:div w:id="140854037">
          <w:marLeft w:val="0"/>
          <w:marRight w:val="0"/>
          <w:marTop w:val="0"/>
          <w:marBottom w:val="0"/>
          <w:divBdr>
            <w:top w:val="none" w:sz="0" w:space="0" w:color="auto"/>
            <w:left w:val="none" w:sz="0" w:space="0" w:color="auto"/>
            <w:bottom w:val="none" w:sz="0" w:space="0" w:color="auto"/>
            <w:right w:val="none" w:sz="0" w:space="0" w:color="auto"/>
          </w:divBdr>
        </w:div>
        <w:div w:id="568225306">
          <w:marLeft w:val="0"/>
          <w:marRight w:val="0"/>
          <w:marTop w:val="0"/>
          <w:marBottom w:val="0"/>
          <w:divBdr>
            <w:top w:val="none" w:sz="0" w:space="0" w:color="auto"/>
            <w:left w:val="none" w:sz="0" w:space="0" w:color="auto"/>
            <w:bottom w:val="none" w:sz="0" w:space="0" w:color="auto"/>
            <w:right w:val="none" w:sz="0" w:space="0" w:color="auto"/>
          </w:divBdr>
        </w:div>
        <w:div w:id="39481163">
          <w:marLeft w:val="0"/>
          <w:marRight w:val="0"/>
          <w:marTop w:val="0"/>
          <w:marBottom w:val="0"/>
          <w:divBdr>
            <w:top w:val="none" w:sz="0" w:space="0" w:color="auto"/>
            <w:left w:val="none" w:sz="0" w:space="0" w:color="auto"/>
            <w:bottom w:val="none" w:sz="0" w:space="0" w:color="auto"/>
            <w:right w:val="none" w:sz="0" w:space="0" w:color="auto"/>
          </w:divBdr>
        </w:div>
        <w:div w:id="1056703291">
          <w:marLeft w:val="0"/>
          <w:marRight w:val="0"/>
          <w:marTop w:val="0"/>
          <w:marBottom w:val="0"/>
          <w:divBdr>
            <w:top w:val="none" w:sz="0" w:space="0" w:color="auto"/>
            <w:left w:val="none" w:sz="0" w:space="0" w:color="auto"/>
            <w:bottom w:val="none" w:sz="0" w:space="0" w:color="auto"/>
            <w:right w:val="none" w:sz="0" w:space="0" w:color="auto"/>
          </w:divBdr>
        </w:div>
        <w:div w:id="1941983599">
          <w:marLeft w:val="0"/>
          <w:marRight w:val="0"/>
          <w:marTop w:val="0"/>
          <w:marBottom w:val="0"/>
          <w:divBdr>
            <w:top w:val="none" w:sz="0" w:space="0" w:color="auto"/>
            <w:left w:val="none" w:sz="0" w:space="0" w:color="auto"/>
            <w:bottom w:val="none" w:sz="0" w:space="0" w:color="auto"/>
            <w:right w:val="none" w:sz="0" w:space="0" w:color="auto"/>
          </w:divBdr>
        </w:div>
        <w:div w:id="1066605599">
          <w:marLeft w:val="0"/>
          <w:marRight w:val="0"/>
          <w:marTop w:val="0"/>
          <w:marBottom w:val="0"/>
          <w:divBdr>
            <w:top w:val="none" w:sz="0" w:space="0" w:color="auto"/>
            <w:left w:val="none" w:sz="0" w:space="0" w:color="auto"/>
            <w:bottom w:val="none" w:sz="0" w:space="0" w:color="auto"/>
            <w:right w:val="none" w:sz="0" w:space="0" w:color="auto"/>
          </w:divBdr>
        </w:div>
        <w:div w:id="1409423141">
          <w:marLeft w:val="0"/>
          <w:marRight w:val="0"/>
          <w:marTop w:val="0"/>
          <w:marBottom w:val="0"/>
          <w:divBdr>
            <w:top w:val="none" w:sz="0" w:space="0" w:color="auto"/>
            <w:left w:val="none" w:sz="0" w:space="0" w:color="auto"/>
            <w:bottom w:val="none" w:sz="0" w:space="0" w:color="auto"/>
            <w:right w:val="none" w:sz="0" w:space="0" w:color="auto"/>
          </w:divBdr>
        </w:div>
        <w:div w:id="1724980981">
          <w:marLeft w:val="0"/>
          <w:marRight w:val="0"/>
          <w:marTop w:val="0"/>
          <w:marBottom w:val="0"/>
          <w:divBdr>
            <w:top w:val="none" w:sz="0" w:space="0" w:color="auto"/>
            <w:left w:val="none" w:sz="0" w:space="0" w:color="auto"/>
            <w:bottom w:val="none" w:sz="0" w:space="0" w:color="auto"/>
            <w:right w:val="none" w:sz="0" w:space="0" w:color="auto"/>
          </w:divBdr>
        </w:div>
        <w:div w:id="982931140">
          <w:marLeft w:val="0"/>
          <w:marRight w:val="0"/>
          <w:marTop w:val="0"/>
          <w:marBottom w:val="0"/>
          <w:divBdr>
            <w:top w:val="none" w:sz="0" w:space="0" w:color="auto"/>
            <w:left w:val="none" w:sz="0" w:space="0" w:color="auto"/>
            <w:bottom w:val="none" w:sz="0" w:space="0" w:color="auto"/>
            <w:right w:val="none" w:sz="0" w:space="0" w:color="auto"/>
          </w:divBdr>
        </w:div>
        <w:div w:id="971667531">
          <w:marLeft w:val="0"/>
          <w:marRight w:val="0"/>
          <w:marTop w:val="0"/>
          <w:marBottom w:val="0"/>
          <w:divBdr>
            <w:top w:val="none" w:sz="0" w:space="0" w:color="auto"/>
            <w:left w:val="none" w:sz="0" w:space="0" w:color="auto"/>
            <w:bottom w:val="none" w:sz="0" w:space="0" w:color="auto"/>
            <w:right w:val="none" w:sz="0" w:space="0" w:color="auto"/>
          </w:divBdr>
        </w:div>
        <w:div w:id="231739516">
          <w:marLeft w:val="0"/>
          <w:marRight w:val="0"/>
          <w:marTop w:val="0"/>
          <w:marBottom w:val="0"/>
          <w:divBdr>
            <w:top w:val="none" w:sz="0" w:space="0" w:color="auto"/>
            <w:left w:val="none" w:sz="0" w:space="0" w:color="auto"/>
            <w:bottom w:val="none" w:sz="0" w:space="0" w:color="auto"/>
            <w:right w:val="none" w:sz="0" w:space="0" w:color="auto"/>
          </w:divBdr>
        </w:div>
        <w:div w:id="1977565329">
          <w:marLeft w:val="0"/>
          <w:marRight w:val="0"/>
          <w:marTop w:val="0"/>
          <w:marBottom w:val="0"/>
          <w:divBdr>
            <w:top w:val="none" w:sz="0" w:space="0" w:color="auto"/>
            <w:left w:val="none" w:sz="0" w:space="0" w:color="auto"/>
            <w:bottom w:val="none" w:sz="0" w:space="0" w:color="auto"/>
            <w:right w:val="none" w:sz="0" w:space="0" w:color="auto"/>
          </w:divBdr>
        </w:div>
        <w:div w:id="561715271">
          <w:marLeft w:val="0"/>
          <w:marRight w:val="0"/>
          <w:marTop w:val="0"/>
          <w:marBottom w:val="0"/>
          <w:divBdr>
            <w:top w:val="none" w:sz="0" w:space="0" w:color="auto"/>
            <w:left w:val="none" w:sz="0" w:space="0" w:color="auto"/>
            <w:bottom w:val="none" w:sz="0" w:space="0" w:color="auto"/>
            <w:right w:val="none" w:sz="0" w:space="0" w:color="auto"/>
          </w:divBdr>
        </w:div>
        <w:div w:id="1706632307">
          <w:marLeft w:val="0"/>
          <w:marRight w:val="0"/>
          <w:marTop w:val="0"/>
          <w:marBottom w:val="0"/>
          <w:divBdr>
            <w:top w:val="none" w:sz="0" w:space="0" w:color="auto"/>
            <w:left w:val="none" w:sz="0" w:space="0" w:color="auto"/>
            <w:bottom w:val="none" w:sz="0" w:space="0" w:color="auto"/>
            <w:right w:val="none" w:sz="0" w:space="0" w:color="auto"/>
          </w:divBdr>
        </w:div>
        <w:div w:id="1951163743">
          <w:marLeft w:val="0"/>
          <w:marRight w:val="0"/>
          <w:marTop w:val="0"/>
          <w:marBottom w:val="0"/>
          <w:divBdr>
            <w:top w:val="none" w:sz="0" w:space="0" w:color="auto"/>
            <w:left w:val="none" w:sz="0" w:space="0" w:color="auto"/>
            <w:bottom w:val="none" w:sz="0" w:space="0" w:color="auto"/>
            <w:right w:val="none" w:sz="0" w:space="0" w:color="auto"/>
          </w:divBdr>
        </w:div>
        <w:div w:id="496844285">
          <w:marLeft w:val="0"/>
          <w:marRight w:val="0"/>
          <w:marTop w:val="0"/>
          <w:marBottom w:val="0"/>
          <w:divBdr>
            <w:top w:val="none" w:sz="0" w:space="0" w:color="auto"/>
            <w:left w:val="none" w:sz="0" w:space="0" w:color="auto"/>
            <w:bottom w:val="none" w:sz="0" w:space="0" w:color="auto"/>
            <w:right w:val="none" w:sz="0" w:space="0" w:color="auto"/>
          </w:divBdr>
        </w:div>
        <w:div w:id="689797568">
          <w:marLeft w:val="0"/>
          <w:marRight w:val="0"/>
          <w:marTop w:val="0"/>
          <w:marBottom w:val="0"/>
          <w:divBdr>
            <w:top w:val="none" w:sz="0" w:space="0" w:color="auto"/>
            <w:left w:val="none" w:sz="0" w:space="0" w:color="auto"/>
            <w:bottom w:val="none" w:sz="0" w:space="0" w:color="auto"/>
            <w:right w:val="none" w:sz="0" w:space="0" w:color="auto"/>
          </w:divBdr>
        </w:div>
        <w:div w:id="1652442494">
          <w:marLeft w:val="0"/>
          <w:marRight w:val="0"/>
          <w:marTop w:val="0"/>
          <w:marBottom w:val="0"/>
          <w:divBdr>
            <w:top w:val="none" w:sz="0" w:space="0" w:color="auto"/>
            <w:left w:val="none" w:sz="0" w:space="0" w:color="auto"/>
            <w:bottom w:val="none" w:sz="0" w:space="0" w:color="auto"/>
            <w:right w:val="none" w:sz="0" w:space="0" w:color="auto"/>
          </w:divBdr>
        </w:div>
        <w:div w:id="74128028">
          <w:marLeft w:val="0"/>
          <w:marRight w:val="0"/>
          <w:marTop w:val="0"/>
          <w:marBottom w:val="0"/>
          <w:divBdr>
            <w:top w:val="none" w:sz="0" w:space="0" w:color="auto"/>
            <w:left w:val="none" w:sz="0" w:space="0" w:color="auto"/>
            <w:bottom w:val="none" w:sz="0" w:space="0" w:color="auto"/>
            <w:right w:val="none" w:sz="0" w:space="0" w:color="auto"/>
          </w:divBdr>
        </w:div>
        <w:div w:id="1720863563">
          <w:marLeft w:val="0"/>
          <w:marRight w:val="0"/>
          <w:marTop w:val="0"/>
          <w:marBottom w:val="0"/>
          <w:divBdr>
            <w:top w:val="none" w:sz="0" w:space="0" w:color="auto"/>
            <w:left w:val="none" w:sz="0" w:space="0" w:color="auto"/>
            <w:bottom w:val="none" w:sz="0" w:space="0" w:color="auto"/>
            <w:right w:val="none" w:sz="0" w:space="0" w:color="auto"/>
          </w:divBdr>
        </w:div>
        <w:div w:id="295452162">
          <w:marLeft w:val="0"/>
          <w:marRight w:val="0"/>
          <w:marTop w:val="0"/>
          <w:marBottom w:val="0"/>
          <w:divBdr>
            <w:top w:val="none" w:sz="0" w:space="0" w:color="auto"/>
            <w:left w:val="none" w:sz="0" w:space="0" w:color="auto"/>
            <w:bottom w:val="none" w:sz="0" w:space="0" w:color="auto"/>
            <w:right w:val="none" w:sz="0" w:space="0" w:color="auto"/>
          </w:divBdr>
        </w:div>
        <w:div w:id="2053654950">
          <w:marLeft w:val="0"/>
          <w:marRight w:val="0"/>
          <w:marTop w:val="0"/>
          <w:marBottom w:val="0"/>
          <w:divBdr>
            <w:top w:val="none" w:sz="0" w:space="0" w:color="auto"/>
            <w:left w:val="none" w:sz="0" w:space="0" w:color="auto"/>
            <w:bottom w:val="none" w:sz="0" w:space="0" w:color="auto"/>
            <w:right w:val="none" w:sz="0" w:space="0" w:color="auto"/>
          </w:divBdr>
        </w:div>
        <w:div w:id="1933927569">
          <w:marLeft w:val="0"/>
          <w:marRight w:val="0"/>
          <w:marTop w:val="0"/>
          <w:marBottom w:val="0"/>
          <w:divBdr>
            <w:top w:val="none" w:sz="0" w:space="0" w:color="auto"/>
            <w:left w:val="none" w:sz="0" w:space="0" w:color="auto"/>
            <w:bottom w:val="none" w:sz="0" w:space="0" w:color="auto"/>
            <w:right w:val="none" w:sz="0" w:space="0" w:color="auto"/>
          </w:divBdr>
        </w:div>
        <w:div w:id="1177766111">
          <w:marLeft w:val="0"/>
          <w:marRight w:val="0"/>
          <w:marTop w:val="0"/>
          <w:marBottom w:val="0"/>
          <w:divBdr>
            <w:top w:val="none" w:sz="0" w:space="0" w:color="auto"/>
            <w:left w:val="none" w:sz="0" w:space="0" w:color="auto"/>
            <w:bottom w:val="none" w:sz="0" w:space="0" w:color="auto"/>
            <w:right w:val="none" w:sz="0" w:space="0" w:color="auto"/>
          </w:divBdr>
        </w:div>
        <w:div w:id="840392400">
          <w:marLeft w:val="0"/>
          <w:marRight w:val="0"/>
          <w:marTop w:val="0"/>
          <w:marBottom w:val="0"/>
          <w:divBdr>
            <w:top w:val="none" w:sz="0" w:space="0" w:color="auto"/>
            <w:left w:val="none" w:sz="0" w:space="0" w:color="auto"/>
            <w:bottom w:val="none" w:sz="0" w:space="0" w:color="auto"/>
            <w:right w:val="none" w:sz="0" w:space="0" w:color="auto"/>
          </w:divBdr>
        </w:div>
        <w:div w:id="53626988">
          <w:marLeft w:val="0"/>
          <w:marRight w:val="0"/>
          <w:marTop w:val="0"/>
          <w:marBottom w:val="0"/>
          <w:divBdr>
            <w:top w:val="none" w:sz="0" w:space="0" w:color="auto"/>
            <w:left w:val="none" w:sz="0" w:space="0" w:color="auto"/>
            <w:bottom w:val="none" w:sz="0" w:space="0" w:color="auto"/>
            <w:right w:val="none" w:sz="0" w:space="0" w:color="auto"/>
          </w:divBdr>
        </w:div>
        <w:div w:id="120536272">
          <w:marLeft w:val="0"/>
          <w:marRight w:val="0"/>
          <w:marTop w:val="0"/>
          <w:marBottom w:val="0"/>
          <w:divBdr>
            <w:top w:val="none" w:sz="0" w:space="0" w:color="auto"/>
            <w:left w:val="none" w:sz="0" w:space="0" w:color="auto"/>
            <w:bottom w:val="none" w:sz="0" w:space="0" w:color="auto"/>
            <w:right w:val="none" w:sz="0" w:space="0" w:color="auto"/>
          </w:divBdr>
        </w:div>
        <w:div w:id="217014875">
          <w:marLeft w:val="0"/>
          <w:marRight w:val="0"/>
          <w:marTop w:val="0"/>
          <w:marBottom w:val="0"/>
          <w:divBdr>
            <w:top w:val="none" w:sz="0" w:space="0" w:color="auto"/>
            <w:left w:val="none" w:sz="0" w:space="0" w:color="auto"/>
            <w:bottom w:val="none" w:sz="0" w:space="0" w:color="auto"/>
            <w:right w:val="none" w:sz="0" w:space="0" w:color="auto"/>
          </w:divBdr>
        </w:div>
        <w:div w:id="1892383016">
          <w:marLeft w:val="0"/>
          <w:marRight w:val="0"/>
          <w:marTop w:val="0"/>
          <w:marBottom w:val="0"/>
          <w:divBdr>
            <w:top w:val="none" w:sz="0" w:space="0" w:color="auto"/>
            <w:left w:val="none" w:sz="0" w:space="0" w:color="auto"/>
            <w:bottom w:val="none" w:sz="0" w:space="0" w:color="auto"/>
            <w:right w:val="none" w:sz="0" w:space="0" w:color="auto"/>
          </w:divBdr>
        </w:div>
        <w:div w:id="526413057">
          <w:marLeft w:val="0"/>
          <w:marRight w:val="0"/>
          <w:marTop w:val="0"/>
          <w:marBottom w:val="0"/>
          <w:divBdr>
            <w:top w:val="none" w:sz="0" w:space="0" w:color="auto"/>
            <w:left w:val="none" w:sz="0" w:space="0" w:color="auto"/>
            <w:bottom w:val="none" w:sz="0" w:space="0" w:color="auto"/>
            <w:right w:val="none" w:sz="0" w:space="0" w:color="auto"/>
          </w:divBdr>
        </w:div>
        <w:div w:id="1887638149">
          <w:marLeft w:val="0"/>
          <w:marRight w:val="0"/>
          <w:marTop w:val="0"/>
          <w:marBottom w:val="0"/>
          <w:divBdr>
            <w:top w:val="none" w:sz="0" w:space="0" w:color="auto"/>
            <w:left w:val="none" w:sz="0" w:space="0" w:color="auto"/>
            <w:bottom w:val="none" w:sz="0" w:space="0" w:color="auto"/>
            <w:right w:val="none" w:sz="0" w:space="0" w:color="auto"/>
          </w:divBdr>
        </w:div>
        <w:div w:id="375587386">
          <w:marLeft w:val="0"/>
          <w:marRight w:val="0"/>
          <w:marTop w:val="0"/>
          <w:marBottom w:val="0"/>
          <w:divBdr>
            <w:top w:val="none" w:sz="0" w:space="0" w:color="auto"/>
            <w:left w:val="none" w:sz="0" w:space="0" w:color="auto"/>
            <w:bottom w:val="none" w:sz="0" w:space="0" w:color="auto"/>
            <w:right w:val="none" w:sz="0" w:space="0" w:color="auto"/>
          </w:divBdr>
        </w:div>
        <w:div w:id="1641493413">
          <w:marLeft w:val="0"/>
          <w:marRight w:val="0"/>
          <w:marTop w:val="0"/>
          <w:marBottom w:val="0"/>
          <w:divBdr>
            <w:top w:val="none" w:sz="0" w:space="0" w:color="auto"/>
            <w:left w:val="none" w:sz="0" w:space="0" w:color="auto"/>
            <w:bottom w:val="none" w:sz="0" w:space="0" w:color="auto"/>
            <w:right w:val="none" w:sz="0" w:space="0" w:color="auto"/>
          </w:divBdr>
        </w:div>
        <w:div w:id="1743290123">
          <w:marLeft w:val="0"/>
          <w:marRight w:val="0"/>
          <w:marTop w:val="0"/>
          <w:marBottom w:val="0"/>
          <w:divBdr>
            <w:top w:val="none" w:sz="0" w:space="0" w:color="auto"/>
            <w:left w:val="none" w:sz="0" w:space="0" w:color="auto"/>
            <w:bottom w:val="none" w:sz="0" w:space="0" w:color="auto"/>
            <w:right w:val="none" w:sz="0" w:space="0" w:color="auto"/>
          </w:divBdr>
        </w:div>
        <w:div w:id="2052075111">
          <w:marLeft w:val="0"/>
          <w:marRight w:val="0"/>
          <w:marTop w:val="0"/>
          <w:marBottom w:val="0"/>
          <w:divBdr>
            <w:top w:val="none" w:sz="0" w:space="0" w:color="auto"/>
            <w:left w:val="none" w:sz="0" w:space="0" w:color="auto"/>
            <w:bottom w:val="none" w:sz="0" w:space="0" w:color="auto"/>
            <w:right w:val="none" w:sz="0" w:space="0" w:color="auto"/>
          </w:divBdr>
        </w:div>
      </w:divsChild>
    </w:div>
    <w:div w:id="915742741">
      <w:bodyDiv w:val="1"/>
      <w:marLeft w:val="0"/>
      <w:marRight w:val="0"/>
      <w:marTop w:val="0"/>
      <w:marBottom w:val="0"/>
      <w:divBdr>
        <w:top w:val="none" w:sz="0" w:space="0" w:color="auto"/>
        <w:left w:val="none" w:sz="0" w:space="0" w:color="auto"/>
        <w:bottom w:val="none" w:sz="0" w:space="0" w:color="auto"/>
        <w:right w:val="none" w:sz="0" w:space="0" w:color="auto"/>
      </w:divBdr>
    </w:div>
    <w:div w:id="917641464">
      <w:bodyDiv w:val="1"/>
      <w:marLeft w:val="0"/>
      <w:marRight w:val="0"/>
      <w:marTop w:val="0"/>
      <w:marBottom w:val="0"/>
      <w:divBdr>
        <w:top w:val="none" w:sz="0" w:space="0" w:color="auto"/>
        <w:left w:val="none" w:sz="0" w:space="0" w:color="auto"/>
        <w:bottom w:val="none" w:sz="0" w:space="0" w:color="auto"/>
        <w:right w:val="none" w:sz="0" w:space="0" w:color="auto"/>
      </w:divBdr>
    </w:div>
    <w:div w:id="922909920">
      <w:bodyDiv w:val="1"/>
      <w:marLeft w:val="0"/>
      <w:marRight w:val="0"/>
      <w:marTop w:val="0"/>
      <w:marBottom w:val="0"/>
      <w:divBdr>
        <w:top w:val="none" w:sz="0" w:space="0" w:color="auto"/>
        <w:left w:val="none" w:sz="0" w:space="0" w:color="auto"/>
        <w:bottom w:val="none" w:sz="0" w:space="0" w:color="auto"/>
        <w:right w:val="none" w:sz="0" w:space="0" w:color="auto"/>
      </w:divBdr>
    </w:div>
    <w:div w:id="934825678">
      <w:bodyDiv w:val="1"/>
      <w:marLeft w:val="0"/>
      <w:marRight w:val="0"/>
      <w:marTop w:val="0"/>
      <w:marBottom w:val="0"/>
      <w:divBdr>
        <w:top w:val="none" w:sz="0" w:space="0" w:color="auto"/>
        <w:left w:val="none" w:sz="0" w:space="0" w:color="auto"/>
        <w:bottom w:val="none" w:sz="0" w:space="0" w:color="auto"/>
        <w:right w:val="none" w:sz="0" w:space="0" w:color="auto"/>
      </w:divBdr>
      <w:divsChild>
        <w:div w:id="219250075">
          <w:marLeft w:val="547"/>
          <w:marRight w:val="0"/>
          <w:marTop w:val="96"/>
          <w:marBottom w:val="0"/>
          <w:divBdr>
            <w:top w:val="none" w:sz="0" w:space="0" w:color="auto"/>
            <w:left w:val="none" w:sz="0" w:space="0" w:color="auto"/>
            <w:bottom w:val="none" w:sz="0" w:space="0" w:color="auto"/>
            <w:right w:val="none" w:sz="0" w:space="0" w:color="auto"/>
          </w:divBdr>
        </w:div>
        <w:div w:id="915748151">
          <w:marLeft w:val="547"/>
          <w:marRight w:val="0"/>
          <w:marTop w:val="96"/>
          <w:marBottom w:val="0"/>
          <w:divBdr>
            <w:top w:val="none" w:sz="0" w:space="0" w:color="auto"/>
            <w:left w:val="none" w:sz="0" w:space="0" w:color="auto"/>
            <w:bottom w:val="none" w:sz="0" w:space="0" w:color="auto"/>
            <w:right w:val="none" w:sz="0" w:space="0" w:color="auto"/>
          </w:divBdr>
        </w:div>
        <w:div w:id="945769462">
          <w:marLeft w:val="547"/>
          <w:marRight w:val="0"/>
          <w:marTop w:val="96"/>
          <w:marBottom w:val="0"/>
          <w:divBdr>
            <w:top w:val="none" w:sz="0" w:space="0" w:color="auto"/>
            <w:left w:val="none" w:sz="0" w:space="0" w:color="auto"/>
            <w:bottom w:val="none" w:sz="0" w:space="0" w:color="auto"/>
            <w:right w:val="none" w:sz="0" w:space="0" w:color="auto"/>
          </w:divBdr>
        </w:div>
        <w:div w:id="1088117989">
          <w:marLeft w:val="547"/>
          <w:marRight w:val="0"/>
          <w:marTop w:val="96"/>
          <w:marBottom w:val="0"/>
          <w:divBdr>
            <w:top w:val="none" w:sz="0" w:space="0" w:color="auto"/>
            <w:left w:val="none" w:sz="0" w:space="0" w:color="auto"/>
            <w:bottom w:val="none" w:sz="0" w:space="0" w:color="auto"/>
            <w:right w:val="none" w:sz="0" w:space="0" w:color="auto"/>
          </w:divBdr>
        </w:div>
        <w:div w:id="1440179799">
          <w:marLeft w:val="547"/>
          <w:marRight w:val="0"/>
          <w:marTop w:val="96"/>
          <w:marBottom w:val="0"/>
          <w:divBdr>
            <w:top w:val="none" w:sz="0" w:space="0" w:color="auto"/>
            <w:left w:val="none" w:sz="0" w:space="0" w:color="auto"/>
            <w:bottom w:val="none" w:sz="0" w:space="0" w:color="auto"/>
            <w:right w:val="none" w:sz="0" w:space="0" w:color="auto"/>
          </w:divBdr>
        </w:div>
        <w:div w:id="1750301496">
          <w:marLeft w:val="547"/>
          <w:marRight w:val="0"/>
          <w:marTop w:val="96"/>
          <w:marBottom w:val="0"/>
          <w:divBdr>
            <w:top w:val="none" w:sz="0" w:space="0" w:color="auto"/>
            <w:left w:val="none" w:sz="0" w:space="0" w:color="auto"/>
            <w:bottom w:val="none" w:sz="0" w:space="0" w:color="auto"/>
            <w:right w:val="none" w:sz="0" w:space="0" w:color="auto"/>
          </w:divBdr>
        </w:div>
      </w:divsChild>
    </w:div>
    <w:div w:id="969164923">
      <w:bodyDiv w:val="1"/>
      <w:marLeft w:val="0"/>
      <w:marRight w:val="0"/>
      <w:marTop w:val="0"/>
      <w:marBottom w:val="0"/>
      <w:divBdr>
        <w:top w:val="none" w:sz="0" w:space="0" w:color="auto"/>
        <w:left w:val="none" w:sz="0" w:space="0" w:color="auto"/>
        <w:bottom w:val="none" w:sz="0" w:space="0" w:color="auto"/>
        <w:right w:val="none" w:sz="0" w:space="0" w:color="auto"/>
      </w:divBdr>
    </w:div>
    <w:div w:id="984817677">
      <w:bodyDiv w:val="1"/>
      <w:marLeft w:val="0"/>
      <w:marRight w:val="0"/>
      <w:marTop w:val="0"/>
      <w:marBottom w:val="0"/>
      <w:divBdr>
        <w:top w:val="none" w:sz="0" w:space="0" w:color="auto"/>
        <w:left w:val="none" w:sz="0" w:space="0" w:color="auto"/>
        <w:bottom w:val="none" w:sz="0" w:space="0" w:color="auto"/>
        <w:right w:val="none" w:sz="0" w:space="0" w:color="auto"/>
      </w:divBdr>
    </w:div>
    <w:div w:id="990520926">
      <w:bodyDiv w:val="1"/>
      <w:marLeft w:val="0"/>
      <w:marRight w:val="0"/>
      <w:marTop w:val="0"/>
      <w:marBottom w:val="0"/>
      <w:divBdr>
        <w:top w:val="none" w:sz="0" w:space="0" w:color="auto"/>
        <w:left w:val="none" w:sz="0" w:space="0" w:color="auto"/>
        <w:bottom w:val="none" w:sz="0" w:space="0" w:color="auto"/>
        <w:right w:val="none" w:sz="0" w:space="0" w:color="auto"/>
      </w:divBdr>
    </w:div>
    <w:div w:id="1024479130">
      <w:bodyDiv w:val="1"/>
      <w:marLeft w:val="0"/>
      <w:marRight w:val="0"/>
      <w:marTop w:val="0"/>
      <w:marBottom w:val="0"/>
      <w:divBdr>
        <w:top w:val="none" w:sz="0" w:space="0" w:color="auto"/>
        <w:left w:val="none" w:sz="0" w:space="0" w:color="auto"/>
        <w:bottom w:val="none" w:sz="0" w:space="0" w:color="auto"/>
        <w:right w:val="none" w:sz="0" w:space="0" w:color="auto"/>
      </w:divBdr>
    </w:div>
    <w:div w:id="1033655879">
      <w:bodyDiv w:val="1"/>
      <w:marLeft w:val="0"/>
      <w:marRight w:val="0"/>
      <w:marTop w:val="0"/>
      <w:marBottom w:val="0"/>
      <w:divBdr>
        <w:top w:val="none" w:sz="0" w:space="0" w:color="auto"/>
        <w:left w:val="none" w:sz="0" w:space="0" w:color="auto"/>
        <w:bottom w:val="none" w:sz="0" w:space="0" w:color="auto"/>
        <w:right w:val="none" w:sz="0" w:space="0" w:color="auto"/>
      </w:divBdr>
    </w:div>
    <w:div w:id="1043091444">
      <w:bodyDiv w:val="1"/>
      <w:marLeft w:val="0"/>
      <w:marRight w:val="0"/>
      <w:marTop w:val="0"/>
      <w:marBottom w:val="0"/>
      <w:divBdr>
        <w:top w:val="none" w:sz="0" w:space="0" w:color="auto"/>
        <w:left w:val="none" w:sz="0" w:space="0" w:color="auto"/>
        <w:bottom w:val="none" w:sz="0" w:space="0" w:color="auto"/>
        <w:right w:val="none" w:sz="0" w:space="0" w:color="auto"/>
      </w:divBdr>
      <w:divsChild>
        <w:div w:id="1163862093">
          <w:marLeft w:val="1166"/>
          <w:marRight w:val="0"/>
          <w:marTop w:val="77"/>
          <w:marBottom w:val="0"/>
          <w:divBdr>
            <w:top w:val="none" w:sz="0" w:space="0" w:color="auto"/>
            <w:left w:val="none" w:sz="0" w:space="0" w:color="auto"/>
            <w:bottom w:val="none" w:sz="0" w:space="0" w:color="auto"/>
            <w:right w:val="none" w:sz="0" w:space="0" w:color="auto"/>
          </w:divBdr>
        </w:div>
        <w:div w:id="1231422245">
          <w:marLeft w:val="1166"/>
          <w:marRight w:val="0"/>
          <w:marTop w:val="77"/>
          <w:marBottom w:val="0"/>
          <w:divBdr>
            <w:top w:val="none" w:sz="0" w:space="0" w:color="auto"/>
            <w:left w:val="none" w:sz="0" w:space="0" w:color="auto"/>
            <w:bottom w:val="none" w:sz="0" w:space="0" w:color="auto"/>
            <w:right w:val="none" w:sz="0" w:space="0" w:color="auto"/>
          </w:divBdr>
        </w:div>
      </w:divsChild>
    </w:div>
    <w:div w:id="1045643897">
      <w:bodyDiv w:val="1"/>
      <w:marLeft w:val="0"/>
      <w:marRight w:val="0"/>
      <w:marTop w:val="0"/>
      <w:marBottom w:val="0"/>
      <w:divBdr>
        <w:top w:val="none" w:sz="0" w:space="0" w:color="auto"/>
        <w:left w:val="none" w:sz="0" w:space="0" w:color="auto"/>
        <w:bottom w:val="none" w:sz="0" w:space="0" w:color="auto"/>
        <w:right w:val="none" w:sz="0" w:space="0" w:color="auto"/>
      </w:divBdr>
    </w:div>
    <w:div w:id="1045720352">
      <w:bodyDiv w:val="1"/>
      <w:marLeft w:val="0"/>
      <w:marRight w:val="0"/>
      <w:marTop w:val="0"/>
      <w:marBottom w:val="0"/>
      <w:divBdr>
        <w:top w:val="none" w:sz="0" w:space="0" w:color="auto"/>
        <w:left w:val="none" w:sz="0" w:space="0" w:color="auto"/>
        <w:bottom w:val="none" w:sz="0" w:space="0" w:color="auto"/>
        <w:right w:val="none" w:sz="0" w:space="0" w:color="auto"/>
      </w:divBdr>
    </w:div>
    <w:div w:id="1051229676">
      <w:bodyDiv w:val="1"/>
      <w:marLeft w:val="0"/>
      <w:marRight w:val="0"/>
      <w:marTop w:val="0"/>
      <w:marBottom w:val="0"/>
      <w:divBdr>
        <w:top w:val="none" w:sz="0" w:space="0" w:color="auto"/>
        <w:left w:val="none" w:sz="0" w:space="0" w:color="auto"/>
        <w:bottom w:val="none" w:sz="0" w:space="0" w:color="auto"/>
        <w:right w:val="none" w:sz="0" w:space="0" w:color="auto"/>
      </w:divBdr>
    </w:div>
    <w:div w:id="1052968723">
      <w:bodyDiv w:val="1"/>
      <w:marLeft w:val="0"/>
      <w:marRight w:val="0"/>
      <w:marTop w:val="0"/>
      <w:marBottom w:val="0"/>
      <w:divBdr>
        <w:top w:val="none" w:sz="0" w:space="0" w:color="auto"/>
        <w:left w:val="none" w:sz="0" w:space="0" w:color="auto"/>
        <w:bottom w:val="none" w:sz="0" w:space="0" w:color="auto"/>
        <w:right w:val="none" w:sz="0" w:space="0" w:color="auto"/>
      </w:divBdr>
      <w:divsChild>
        <w:div w:id="1147890937">
          <w:marLeft w:val="576"/>
          <w:marRight w:val="0"/>
          <w:marTop w:val="120"/>
          <w:marBottom w:val="60"/>
          <w:divBdr>
            <w:top w:val="none" w:sz="0" w:space="0" w:color="auto"/>
            <w:left w:val="none" w:sz="0" w:space="0" w:color="auto"/>
            <w:bottom w:val="none" w:sz="0" w:space="0" w:color="auto"/>
            <w:right w:val="none" w:sz="0" w:space="0" w:color="auto"/>
          </w:divBdr>
        </w:div>
      </w:divsChild>
    </w:div>
    <w:div w:id="1056734109">
      <w:bodyDiv w:val="1"/>
      <w:marLeft w:val="0"/>
      <w:marRight w:val="0"/>
      <w:marTop w:val="0"/>
      <w:marBottom w:val="0"/>
      <w:divBdr>
        <w:top w:val="none" w:sz="0" w:space="0" w:color="auto"/>
        <w:left w:val="none" w:sz="0" w:space="0" w:color="auto"/>
        <w:bottom w:val="none" w:sz="0" w:space="0" w:color="auto"/>
        <w:right w:val="none" w:sz="0" w:space="0" w:color="auto"/>
      </w:divBdr>
    </w:div>
    <w:div w:id="1066299456">
      <w:bodyDiv w:val="1"/>
      <w:marLeft w:val="0"/>
      <w:marRight w:val="0"/>
      <w:marTop w:val="0"/>
      <w:marBottom w:val="0"/>
      <w:divBdr>
        <w:top w:val="none" w:sz="0" w:space="0" w:color="auto"/>
        <w:left w:val="none" w:sz="0" w:space="0" w:color="auto"/>
        <w:bottom w:val="none" w:sz="0" w:space="0" w:color="auto"/>
        <w:right w:val="none" w:sz="0" w:space="0" w:color="auto"/>
      </w:divBdr>
    </w:div>
    <w:div w:id="1074005984">
      <w:bodyDiv w:val="1"/>
      <w:marLeft w:val="0"/>
      <w:marRight w:val="0"/>
      <w:marTop w:val="0"/>
      <w:marBottom w:val="0"/>
      <w:divBdr>
        <w:top w:val="none" w:sz="0" w:space="0" w:color="auto"/>
        <w:left w:val="none" w:sz="0" w:space="0" w:color="auto"/>
        <w:bottom w:val="none" w:sz="0" w:space="0" w:color="auto"/>
        <w:right w:val="none" w:sz="0" w:space="0" w:color="auto"/>
      </w:divBdr>
    </w:div>
    <w:div w:id="1103262709">
      <w:bodyDiv w:val="1"/>
      <w:marLeft w:val="0"/>
      <w:marRight w:val="0"/>
      <w:marTop w:val="0"/>
      <w:marBottom w:val="0"/>
      <w:divBdr>
        <w:top w:val="none" w:sz="0" w:space="0" w:color="auto"/>
        <w:left w:val="none" w:sz="0" w:space="0" w:color="auto"/>
        <w:bottom w:val="none" w:sz="0" w:space="0" w:color="auto"/>
        <w:right w:val="none" w:sz="0" w:space="0" w:color="auto"/>
      </w:divBdr>
    </w:div>
    <w:div w:id="1104303093">
      <w:bodyDiv w:val="1"/>
      <w:marLeft w:val="0"/>
      <w:marRight w:val="0"/>
      <w:marTop w:val="0"/>
      <w:marBottom w:val="0"/>
      <w:divBdr>
        <w:top w:val="none" w:sz="0" w:space="0" w:color="auto"/>
        <w:left w:val="none" w:sz="0" w:space="0" w:color="auto"/>
        <w:bottom w:val="none" w:sz="0" w:space="0" w:color="auto"/>
        <w:right w:val="none" w:sz="0" w:space="0" w:color="auto"/>
      </w:divBdr>
    </w:div>
    <w:div w:id="1117944664">
      <w:bodyDiv w:val="1"/>
      <w:marLeft w:val="0"/>
      <w:marRight w:val="0"/>
      <w:marTop w:val="0"/>
      <w:marBottom w:val="0"/>
      <w:divBdr>
        <w:top w:val="none" w:sz="0" w:space="0" w:color="auto"/>
        <w:left w:val="none" w:sz="0" w:space="0" w:color="auto"/>
        <w:bottom w:val="none" w:sz="0" w:space="0" w:color="auto"/>
        <w:right w:val="none" w:sz="0" w:space="0" w:color="auto"/>
      </w:divBdr>
    </w:div>
    <w:div w:id="1129860835">
      <w:bodyDiv w:val="1"/>
      <w:marLeft w:val="0"/>
      <w:marRight w:val="0"/>
      <w:marTop w:val="0"/>
      <w:marBottom w:val="0"/>
      <w:divBdr>
        <w:top w:val="none" w:sz="0" w:space="0" w:color="auto"/>
        <w:left w:val="none" w:sz="0" w:space="0" w:color="auto"/>
        <w:bottom w:val="none" w:sz="0" w:space="0" w:color="auto"/>
        <w:right w:val="none" w:sz="0" w:space="0" w:color="auto"/>
      </w:divBdr>
      <w:divsChild>
        <w:div w:id="299267871">
          <w:marLeft w:val="1166"/>
          <w:marRight w:val="0"/>
          <w:marTop w:val="96"/>
          <w:marBottom w:val="0"/>
          <w:divBdr>
            <w:top w:val="none" w:sz="0" w:space="0" w:color="auto"/>
            <w:left w:val="none" w:sz="0" w:space="0" w:color="auto"/>
            <w:bottom w:val="none" w:sz="0" w:space="0" w:color="auto"/>
            <w:right w:val="none" w:sz="0" w:space="0" w:color="auto"/>
          </w:divBdr>
        </w:div>
        <w:div w:id="691804050">
          <w:marLeft w:val="1166"/>
          <w:marRight w:val="0"/>
          <w:marTop w:val="96"/>
          <w:marBottom w:val="0"/>
          <w:divBdr>
            <w:top w:val="none" w:sz="0" w:space="0" w:color="auto"/>
            <w:left w:val="none" w:sz="0" w:space="0" w:color="auto"/>
            <w:bottom w:val="none" w:sz="0" w:space="0" w:color="auto"/>
            <w:right w:val="none" w:sz="0" w:space="0" w:color="auto"/>
          </w:divBdr>
        </w:div>
        <w:div w:id="737940516">
          <w:marLeft w:val="1166"/>
          <w:marRight w:val="0"/>
          <w:marTop w:val="96"/>
          <w:marBottom w:val="0"/>
          <w:divBdr>
            <w:top w:val="none" w:sz="0" w:space="0" w:color="auto"/>
            <w:left w:val="none" w:sz="0" w:space="0" w:color="auto"/>
            <w:bottom w:val="none" w:sz="0" w:space="0" w:color="auto"/>
            <w:right w:val="none" w:sz="0" w:space="0" w:color="auto"/>
          </w:divBdr>
        </w:div>
        <w:div w:id="849374081">
          <w:marLeft w:val="1166"/>
          <w:marRight w:val="0"/>
          <w:marTop w:val="96"/>
          <w:marBottom w:val="0"/>
          <w:divBdr>
            <w:top w:val="none" w:sz="0" w:space="0" w:color="auto"/>
            <w:left w:val="none" w:sz="0" w:space="0" w:color="auto"/>
            <w:bottom w:val="none" w:sz="0" w:space="0" w:color="auto"/>
            <w:right w:val="none" w:sz="0" w:space="0" w:color="auto"/>
          </w:divBdr>
        </w:div>
        <w:div w:id="1581139288">
          <w:marLeft w:val="1166"/>
          <w:marRight w:val="0"/>
          <w:marTop w:val="96"/>
          <w:marBottom w:val="0"/>
          <w:divBdr>
            <w:top w:val="none" w:sz="0" w:space="0" w:color="auto"/>
            <w:left w:val="none" w:sz="0" w:space="0" w:color="auto"/>
            <w:bottom w:val="none" w:sz="0" w:space="0" w:color="auto"/>
            <w:right w:val="none" w:sz="0" w:space="0" w:color="auto"/>
          </w:divBdr>
        </w:div>
      </w:divsChild>
    </w:div>
    <w:div w:id="1149202178">
      <w:bodyDiv w:val="1"/>
      <w:marLeft w:val="0"/>
      <w:marRight w:val="0"/>
      <w:marTop w:val="0"/>
      <w:marBottom w:val="0"/>
      <w:divBdr>
        <w:top w:val="none" w:sz="0" w:space="0" w:color="auto"/>
        <w:left w:val="none" w:sz="0" w:space="0" w:color="auto"/>
        <w:bottom w:val="none" w:sz="0" w:space="0" w:color="auto"/>
        <w:right w:val="none" w:sz="0" w:space="0" w:color="auto"/>
      </w:divBdr>
    </w:div>
    <w:div w:id="1155798395">
      <w:bodyDiv w:val="1"/>
      <w:marLeft w:val="0"/>
      <w:marRight w:val="0"/>
      <w:marTop w:val="0"/>
      <w:marBottom w:val="0"/>
      <w:divBdr>
        <w:top w:val="none" w:sz="0" w:space="0" w:color="auto"/>
        <w:left w:val="none" w:sz="0" w:space="0" w:color="auto"/>
        <w:bottom w:val="none" w:sz="0" w:space="0" w:color="auto"/>
        <w:right w:val="none" w:sz="0" w:space="0" w:color="auto"/>
      </w:divBdr>
    </w:div>
    <w:div w:id="1157572136">
      <w:bodyDiv w:val="1"/>
      <w:marLeft w:val="0"/>
      <w:marRight w:val="0"/>
      <w:marTop w:val="0"/>
      <w:marBottom w:val="0"/>
      <w:divBdr>
        <w:top w:val="none" w:sz="0" w:space="0" w:color="auto"/>
        <w:left w:val="none" w:sz="0" w:space="0" w:color="auto"/>
        <w:bottom w:val="none" w:sz="0" w:space="0" w:color="auto"/>
        <w:right w:val="none" w:sz="0" w:space="0" w:color="auto"/>
      </w:divBdr>
    </w:div>
    <w:div w:id="1169172228">
      <w:bodyDiv w:val="1"/>
      <w:marLeft w:val="0"/>
      <w:marRight w:val="0"/>
      <w:marTop w:val="0"/>
      <w:marBottom w:val="0"/>
      <w:divBdr>
        <w:top w:val="none" w:sz="0" w:space="0" w:color="auto"/>
        <w:left w:val="none" w:sz="0" w:space="0" w:color="auto"/>
        <w:bottom w:val="none" w:sz="0" w:space="0" w:color="auto"/>
        <w:right w:val="none" w:sz="0" w:space="0" w:color="auto"/>
      </w:divBdr>
    </w:div>
    <w:div w:id="1185749509">
      <w:bodyDiv w:val="1"/>
      <w:marLeft w:val="0"/>
      <w:marRight w:val="0"/>
      <w:marTop w:val="0"/>
      <w:marBottom w:val="0"/>
      <w:divBdr>
        <w:top w:val="none" w:sz="0" w:space="0" w:color="auto"/>
        <w:left w:val="none" w:sz="0" w:space="0" w:color="auto"/>
        <w:bottom w:val="none" w:sz="0" w:space="0" w:color="auto"/>
        <w:right w:val="none" w:sz="0" w:space="0" w:color="auto"/>
      </w:divBdr>
      <w:divsChild>
        <w:div w:id="45957769">
          <w:marLeft w:val="547"/>
          <w:marRight w:val="0"/>
          <w:marTop w:val="96"/>
          <w:marBottom w:val="120"/>
          <w:divBdr>
            <w:top w:val="none" w:sz="0" w:space="0" w:color="auto"/>
            <w:left w:val="none" w:sz="0" w:space="0" w:color="auto"/>
            <w:bottom w:val="none" w:sz="0" w:space="0" w:color="auto"/>
            <w:right w:val="none" w:sz="0" w:space="0" w:color="auto"/>
          </w:divBdr>
        </w:div>
        <w:div w:id="310673334">
          <w:marLeft w:val="547"/>
          <w:marRight w:val="0"/>
          <w:marTop w:val="96"/>
          <w:marBottom w:val="120"/>
          <w:divBdr>
            <w:top w:val="none" w:sz="0" w:space="0" w:color="auto"/>
            <w:left w:val="none" w:sz="0" w:space="0" w:color="auto"/>
            <w:bottom w:val="none" w:sz="0" w:space="0" w:color="auto"/>
            <w:right w:val="none" w:sz="0" w:space="0" w:color="auto"/>
          </w:divBdr>
        </w:div>
        <w:div w:id="384374360">
          <w:marLeft w:val="547"/>
          <w:marRight w:val="0"/>
          <w:marTop w:val="96"/>
          <w:marBottom w:val="120"/>
          <w:divBdr>
            <w:top w:val="none" w:sz="0" w:space="0" w:color="auto"/>
            <w:left w:val="none" w:sz="0" w:space="0" w:color="auto"/>
            <w:bottom w:val="none" w:sz="0" w:space="0" w:color="auto"/>
            <w:right w:val="none" w:sz="0" w:space="0" w:color="auto"/>
          </w:divBdr>
        </w:div>
        <w:div w:id="401223415">
          <w:marLeft w:val="547"/>
          <w:marRight w:val="0"/>
          <w:marTop w:val="96"/>
          <w:marBottom w:val="120"/>
          <w:divBdr>
            <w:top w:val="none" w:sz="0" w:space="0" w:color="auto"/>
            <w:left w:val="none" w:sz="0" w:space="0" w:color="auto"/>
            <w:bottom w:val="none" w:sz="0" w:space="0" w:color="auto"/>
            <w:right w:val="none" w:sz="0" w:space="0" w:color="auto"/>
          </w:divBdr>
        </w:div>
        <w:div w:id="525801005">
          <w:marLeft w:val="547"/>
          <w:marRight w:val="0"/>
          <w:marTop w:val="96"/>
          <w:marBottom w:val="120"/>
          <w:divBdr>
            <w:top w:val="none" w:sz="0" w:space="0" w:color="auto"/>
            <w:left w:val="none" w:sz="0" w:space="0" w:color="auto"/>
            <w:bottom w:val="none" w:sz="0" w:space="0" w:color="auto"/>
            <w:right w:val="none" w:sz="0" w:space="0" w:color="auto"/>
          </w:divBdr>
        </w:div>
        <w:div w:id="699472627">
          <w:marLeft w:val="547"/>
          <w:marRight w:val="0"/>
          <w:marTop w:val="96"/>
          <w:marBottom w:val="120"/>
          <w:divBdr>
            <w:top w:val="none" w:sz="0" w:space="0" w:color="auto"/>
            <w:left w:val="none" w:sz="0" w:space="0" w:color="auto"/>
            <w:bottom w:val="none" w:sz="0" w:space="0" w:color="auto"/>
            <w:right w:val="none" w:sz="0" w:space="0" w:color="auto"/>
          </w:divBdr>
        </w:div>
        <w:div w:id="1595941465">
          <w:marLeft w:val="547"/>
          <w:marRight w:val="0"/>
          <w:marTop w:val="96"/>
          <w:marBottom w:val="120"/>
          <w:divBdr>
            <w:top w:val="none" w:sz="0" w:space="0" w:color="auto"/>
            <w:left w:val="none" w:sz="0" w:space="0" w:color="auto"/>
            <w:bottom w:val="none" w:sz="0" w:space="0" w:color="auto"/>
            <w:right w:val="none" w:sz="0" w:space="0" w:color="auto"/>
          </w:divBdr>
        </w:div>
      </w:divsChild>
    </w:div>
    <w:div w:id="1187602937">
      <w:bodyDiv w:val="1"/>
      <w:marLeft w:val="0"/>
      <w:marRight w:val="0"/>
      <w:marTop w:val="0"/>
      <w:marBottom w:val="0"/>
      <w:divBdr>
        <w:top w:val="none" w:sz="0" w:space="0" w:color="auto"/>
        <w:left w:val="none" w:sz="0" w:space="0" w:color="auto"/>
        <w:bottom w:val="none" w:sz="0" w:space="0" w:color="auto"/>
        <w:right w:val="none" w:sz="0" w:space="0" w:color="auto"/>
      </w:divBdr>
    </w:div>
    <w:div w:id="1190606260">
      <w:bodyDiv w:val="1"/>
      <w:marLeft w:val="0"/>
      <w:marRight w:val="0"/>
      <w:marTop w:val="0"/>
      <w:marBottom w:val="0"/>
      <w:divBdr>
        <w:top w:val="none" w:sz="0" w:space="0" w:color="auto"/>
        <w:left w:val="none" w:sz="0" w:space="0" w:color="auto"/>
        <w:bottom w:val="none" w:sz="0" w:space="0" w:color="auto"/>
        <w:right w:val="none" w:sz="0" w:space="0" w:color="auto"/>
      </w:divBdr>
      <w:divsChild>
        <w:div w:id="260113416">
          <w:marLeft w:val="1166"/>
          <w:marRight w:val="0"/>
          <w:marTop w:val="96"/>
          <w:marBottom w:val="0"/>
          <w:divBdr>
            <w:top w:val="none" w:sz="0" w:space="0" w:color="auto"/>
            <w:left w:val="none" w:sz="0" w:space="0" w:color="auto"/>
            <w:bottom w:val="none" w:sz="0" w:space="0" w:color="auto"/>
            <w:right w:val="none" w:sz="0" w:space="0" w:color="auto"/>
          </w:divBdr>
        </w:div>
        <w:div w:id="449932598">
          <w:marLeft w:val="1166"/>
          <w:marRight w:val="0"/>
          <w:marTop w:val="96"/>
          <w:marBottom w:val="0"/>
          <w:divBdr>
            <w:top w:val="none" w:sz="0" w:space="0" w:color="auto"/>
            <w:left w:val="none" w:sz="0" w:space="0" w:color="auto"/>
            <w:bottom w:val="none" w:sz="0" w:space="0" w:color="auto"/>
            <w:right w:val="none" w:sz="0" w:space="0" w:color="auto"/>
          </w:divBdr>
        </w:div>
        <w:div w:id="716244451">
          <w:marLeft w:val="1166"/>
          <w:marRight w:val="0"/>
          <w:marTop w:val="96"/>
          <w:marBottom w:val="0"/>
          <w:divBdr>
            <w:top w:val="none" w:sz="0" w:space="0" w:color="auto"/>
            <w:left w:val="none" w:sz="0" w:space="0" w:color="auto"/>
            <w:bottom w:val="none" w:sz="0" w:space="0" w:color="auto"/>
            <w:right w:val="none" w:sz="0" w:space="0" w:color="auto"/>
          </w:divBdr>
        </w:div>
        <w:div w:id="934902893">
          <w:marLeft w:val="1166"/>
          <w:marRight w:val="0"/>
          <w:marTop w:val="96"/>
          <w:marBottom w:val="0"/>
          <w:divBdr>
            <w:top w:val="none" w:sz="0" w:space="0" w:color="auto"/>
            <w:left w:val="none" w:sz="0" w:space="0" w:color="auto"/>
            <w:bottom w:val="none" w:sz="0" w:space="0" w:color="auto"/>
            <w:right w:val="none" w:sz="0" w:space="0" w:color="auto"/>
          </w:divBdr>
        </w:div>
        <w:div w:id="1532960145">
          <w:marLeft w:val="1166"/>
          <w:marRight w:val="0"/>
          <w:marTop w:val="96"/>
          <w:marBottom w:val="0"/>
          <w:divBdr>
            <w:top w:val="none" w:sz="0" w:space="0" w:color="auto"/>
            <w:left w:val="none" w:sz="0" w:space="0" w:color="auto"/>
            <w:bottom w:val="none" w:sz="0" w:space="0" w:color="auto"/>
            <w:right w:val="none" w:sz="0" w:space="0" w:color="auto"/>
          </w:divBdr>
        </w:div>
      </w:divsChild>
    </w:div>
    <w:div w:id="1239633881">
      <w:bodyDiv w:val="1"/>
      <w:marLeft w:val="0"/>
      <w:marRight w:val="0"/>
      <w:marTop w:val="0"/>
      <w:marBottom w:val="0"/>
      <w:divBdr>
        <w:top w:val="none" w:sz="0" w:space="0" w:color="auto"/>
        <w:left w:val="none" w:sz="0" w:space="0" w:color="auto"/>
        <w:bottom w:val="none" w:sz="0" w:space="0" w:color="auto"/>
        <w:right w:val="none" w:sz="0" w:space="0" w:color="auto"/>
      </w:divBdr>
    </w:div>
    <w:div w:id="1243641413">
      <w:bodyDiv w:val="1"/>
      <w:marLeft w:val="0"/>
      <w:marRight w:val="0"/>
      <w:marTop w:val="0"/>
      <w:marBottom w:val="0"/>
      <w:divBdr>
        <w:top w:val="none" w:sz="0" w:space="0" w:color="auto"/>
        <w:left w:val="none" w:sz="0" w:space="0" w:color="auto"/>
        <w:bottom w:val="none" w:sz="0" w:space="0" w:color="auto"/>
        <w:right w:val="none" w:sz="0" w:space="0" w:color="auto"/>
      </w:divBdr>
    </w:div>
    <w:div w:id="1244219250">
      <w:bodyDiv w:val="1"/>
      <w:marLeft w:val="0"/>
      <w:marRight w:val="0"/>
      <w:marTop w:val="0"/>
      <w:marBottom w:val="0"/>
      <w:divBdr>
        <w:top w:val="none" w:sz="0" w:space="0" w:color="auto"/>
        <w:left w:val="none" w:sz="0" w:space="0" w:color="auto"/>
        <w:bottom w:val="none" w:sz="0" w:space="0" w:color="auto"/>
        <w:right w:val="none" w:sz="0" w:space="0" w:color="auto"/>
      </w:divBdr>
    </w:div>
    <w:div w:id="1246918251">
      <w:bodyDiv w:val="1"/>
      <w:marLeft w:val="0"/>
      <w:marRight w:val="0"/>
      <w:marTop w:val="0"/>
      <w:marBottom w:val="0"/>
      <w:divBdr>
        <w:top w:val="none" w:sz="0" w:space="0" w:color="auto"/>
        <w:left w:val="none" w:sz="0" w:space="0" w:color="auto"/>
        <w:bottom w:val="none" w:sz="0" w:space="0" w:color="auto"/>
        <w:right w:val="none" w:sz="0" w:space="0" w:color="auto"/>
      </w:divBdr>
    </w:div>
    <w:div w:id="1250966333">
      <w:bodyDiv w:val="1"/>
      <w:marLeft w:val="0"/>
      <w:marRight w:val="0"/>
      <w:marTop w:val="0"/>
      <w:marBottom w:val="0"/>
      <w:divBdr>
        <w:top w:val="none" w:sz="0" w:space="0" w:color="auto"/>
        <w:left w:val="none" w:sz="0" w:space="0" w:color="auto"/>
        <w:bottom w:val="none" w:sz="0" w:space="0" w:color="auto"/>
        <w:right w:val="none" w:sz="0" w:space="0" w:color="auto"/>
      </w:divBdr>
    </w:div>
    <w:div w:id="1266159658">
      <w:bodyDiv w:val="1"/>
      <w:marLeft w:val="0"/>
      <w:marRight w:val="0"/>
      <w:marTop w:val="0"/>
      <w:marBottom w:val="0"/>
      <w:divBdr>
        <w:top w:val="none" w:sz="0" w:space="0" w:color="auto"/>
        <w:left w:val="none" w:sz="0" w:space="0" w:color="auto"/>
        <w:bottom w:val="none" w:sz="0" w:space="0" w:color="auto"/>
        <w:right w:val="none" w:sz="0" w:space="0" w:color="auto"/>
      </w:divBdr>
    </w:div>
    <w:div w:id="1292588981">
      <w:bodyDiv w:val="1"/>
      <w:marLeft w:val="0"/>
      <w:marRight w:val="0"/>
      <w:marTop w:val="0"/>
      <w:marBottom w:val="0"/>
      <w:divBdr>
        <w:top w:val="none" w:sz="0" w:space="0" w:color="auto"/>
        <w:left w:val="none" w:sz="0" w:space="0" w:color="auto"/>
        <w:bottom w:val="none" w:sz="0" w:space="0" w:color="auto"/>
        <w:right w:val="none" w:sz="0" w:space="0" w:color="auto"/>
      </w:divBdr>
    </w:div>
    <w:div w:id="1301501375">
      <w:bodyDiv w:val="1"/>
      <w:marLeft w:val="0"/>
      <w:marRight w:val="0"/>
      <w:marTop w:val="0"/>
      <w:marBottom w:val="0"/>
      <w:divBdr>
        <w:top w:val="none" w:sz="0" w:space="0" w:color="auto"/>
        <w:left w:val="none" w:sz="0" w:space="0" w:color="auto"/>
        <w:bottom w:val="none" w:sz="0" w:space="0" w:color="auto"/>
        <w:right w:val="none" w:sz="0" w:space="0" w:color="auto"/>
      </w:divBdr>
    </w:div>
    <w:div w:id="1305742505">
      <w:bodyDiv w:val="1"/>
      <w:marLeft w:val="0"/>
      <w:marRight w:val="0"/>
      <w:marTop w:val="0"/>
      <w:marBottom w:val="0"/>
      <w:divBdr>
        <w:top w:val="none" w:sz="0" w:space="0" w:color="auto"/>
        <w:left w:val="none" w:sz="0" w:space="0" w:color="auto"/>
        <w:bottom w:val="none" w:sz="0" w:space="0" w:color="auto"/>
        <w:right w:val="none" w:sz="0" w:space="0" w:color="auto"/>
      </w:divBdr>
      <w:divsChild>
        <w:div w:id="19283443">
          <w:marLeft w:val="288"/>
          <w:marRight w:val="0"/>
          <w:marTop w:val="160"/>
          <w:marBottom w:val="0"/>
          <w:divBdr>
            <w:top w:val="none" w:sz="0" w:space="0" w:color="auto"/>
            <w:left w:val="none" w:sz="0" w:space="0" w:color="auto"/>
            <w:bottom w:val="none" w:sz="0" w:space="0" w:color="auto"/>
            <w:right w:val="none" w:sz="0" w:space="0" w:color="auto"/>
          </w:divBdr>
        </w:div>
        <w:div w:id="84111590">
          <w:marLeft w:val="288"/>
          <w:marRight w:val="0"/>
          <w:marTop w:val="160"/>
          <w:marBottom w:val="0"/>
          <w:divBdr>
            <w:top w:val="none" w:sz="0" w:space="0" w:color="auto"/>
            <w:left w:val="none" w:sz="0" w:space="0" w:color="auto"/>
            <w:bottom w:val="none" w:sz="0" w:space="0" w:color="auto"/>
            <w:right w:val="none" w:sz="0" w:space="0" w:color="auto"/>
          </w:divBdr>
        </w:div>
        <w:div w:id="92020507">
          <w:marLeft w:val="979"/>
          <w:marRight w:val="0"/>
          <w:marTop w:val="77"/>
          <w:marBottom w:val="0"/>
          <w:divBdr>
            <w:top w:val="none" w:sz="0" w:space="0" w:color="auto"/>
            <w:left w:val="none" w:sz="0" w:space="0" w:color="auto"/>
            <w:bottom w:val="none" w:sz="0" w:space="0" w:color="auto"/>
            <w:right w:val="none" w:sz="0" w:space="0" w:color="auto"/>
          </w:divBdr>
        </w:div>
        <w:div w:id="199897688">
          <w:marLeft w:val="288"/>
          <w:marRight w:val="0"/>
          <w:marTop w:val="86"/>
          <w:marBottom w:val="0"/>
          <w:divBdr>
            <w:top w:val="none" w:sz="0" w:space="0" w:color="auto"/>
            <w:left w:val="none" w:sz="0" w:space="0" w:color="auto"/>
            <w:bottom w:val="none" w:sz="0" w:space="0" w:color="auto"/>
            <w:right w:val="none" w:sz="0" w:space="0" w:color="auto"/>
          </w:divBdr>
        </w:div>
        <w:div w:id="535237539">
          <w:marLeft w:val="979"/>
          <w:marRight w:val="0"/>
          <w:marTop w:val="77"/>
          <w:marBottom w:val="0"/>
          <w:divBdr>
            <w:top w:val="none" w:sz="0" w:space="0" w:color="auto"/>
            <w:left w:val="none" w:sz="0" w:space="0" w:color="auto"/>
            <w:bottom w:val="none" w:sz="0" w:space="0" w:color="auto"/>
            <w:right w:val="none" w:sz="0" w:space="0" w:color="auto"/>
          </w:divBdr>
        </w:div>
        <w:div w:id="573397747">
          <w:marLeft w:val="979"/>
          <w:marRight w:val="0"/>
          <w:marTop w:val="77"/>
          <w:marBottom w:val="0"/>
          <w:divBdr>
            <w:top w:val="none" w:sz="0" w:space="0" w:color="auto"/>
            <w:left w:val="none" w:sz="0" w:space="0" w:color="auto"/>
            <w:bottom w:val="none" w:sz="0" w:space="0" w:color="auto"/>
            <w:right w:val="none" w:sz="0" w:space="0" w:color="auto"/>
          </w:divBdr>
        </w:div>
        <w:div w:id="1041705971">
          <w:marLeft w:val="288"/>
          <w:marRight w:val="0"/>
          <w:marTop w:val="160"/>
          <w:marBottom w:val="0"/>
          <w:divBdr>
            <w:top w:val="none" w:sz="0" w:space="0" w:color="auto"/>
            <w:left w:val="none" w:sz="0" w:space="0" w:color="auto"/>
            <w:bottom w:val="none" w:sz="0" w:space="0" w:color="auto"/>
            <w:right w:val="none" w:sz="0" w:space="0" w:color="auto"/>
          </w:divBdr>
        </w:div>
        <w:div w:id="1077437989">
          <w:marLeft w:val="288"/>
          <w:marRight w:val="0"/>
          <w:marTop w:val="160"/>
          <w:marBottom w:val="0"/>
          <w:divBdr>
            <w:top w:val="none" w:sz="0" w:space="0" w:color="auto"/>
            <w:left w:val="none" w:sz="0" w:space="0" w:color="auto"/>
            <w:bottom w:val="none" w:sz="0" w:space="0" w:color="auto"/>
            <w:right w:val="none" w:sz="0" w:space="0" w:color="auto"/>
          </w:divBdr>
        </w:div>
        <w:div w:id="1157645372">
          <w:marLeft w:val="979"/>
          <w:marRight w:val="0"/>
          <w:marTop w:val="77"/>
          <w:marBottom w:val="0"/>
          <w:divBdr>
            <w:top w:val="none" w:sz="0" w:space="0" w:color="auto"/>
            <w:left w:val="none" w:sz="0" w:space="0" w:color="auto"/>
            <w:bottom w:val="none" w:sz="0" w:space="0" w:color="auto"/>
            <w:right w:val="none" w:sz="0" w:space="0" w:color="auto"/>
          </w:divBdr>
        </w:div>
        <w:div w:id="1285500283">
          <w:marLeft w:val="979"/>
          <w:marRight w:val="0"/>
          <w:marTop w:val="77"/>
          <w:marBottom w:val="0"/>
          <w:divBdr>
            <w:top w:val="none" w:sz="0" w:space="0" w:color="auto"/>
            <w:left w:val="none" w:sz="0" w:space="0" w:color="auto"/>
            <w:bottom w:val="none" w:sz="0" w:space="0" w:color="auto"/>
            <w:right w:val="none" w:sz="0" w:space="0" w:color="auto"/>
          </w:divBdr>
        </w:div>
        <w:div w:id="1660498594">
          <w:marLeft w:val="979"/>
          <w:marRight w:val="0"/>
          <w:marTop w:val="77"/>
          <w:marBottom w:val="0"/>
          <w:divBdr>
            <w:top w:val="none" w:sz="0" w:space="0" w:color="auto"/>
            <w:left w:val="none" w:sz="0" w:space="0" w:color="auto"/>
            <w:bottom w:val="none" w:sz="0" w:space="0" w:color="auto"/>
            <w:right w:val="none" w:sz="0" w:space="0" w:color="auto"/>
          </w:divBdr>
        </w:div>
        <w:div w:id="1665737150">
          <w:marLeft w:val="979"/>
          <w:marRight w:val="0"/>
          <w:marTop w:val="77"/>
          <w:marBottom w:val="0"/>
          <w:divBdr>
            <w:top w:val="none" w:sz="0" w:space="0" w:color="auto"/>
            <w:left w:val="none" w:sz="0" w:space="0" w:color="auto"/>
            <w:bottom w:val="none" w:sz="0" w:space="0" w:color="auto"/>
            <w:right w:val="none" w:sz="0" w:space="0" w:color="auto"/>
          </w:divBdr>
        </w:div>
        <w:div w:id="1669475675">
          <w:marLeft w:val="288"/>
          <w:marRight w:val="0"/>
          <w:marTop w:val="160"/>
          <w:marBottom w:val="0"/>
          <w:divBdr>
            <w:top w:val="none" w:sz="0" w:space="0" w:color="auto"/>
            <w:left w:val="none" w:sz="0" w:space="0" w:color="auto"/>
            <w:bottom w:val="none" w:sz="0" w:space="0" w:color="auto"/>
            <w:right w:val="none" w:sz="0" w:space="0" w:color="auto"/>
          </w:divBdr>
        </w:div>
        <w:div w:id="1827166600">
          <w:marLeft w:val="979"/>
          <w:marRight w:val="0"/>
          <w:marTop w:val="77"/>
          <w:marBottom w:val="0"/>
          <w:divBdr>
            <w:top w:val="none" w:sz="0" w:space="0" w:color="auto"/>
            <w:left w:val="none" w:sz="0" w:space="0" w:color="auto"/>
            <w:bottom w:val="none" w:sz="0" w:space="0" w:color="auto"/>
            <w:right w:val="none" w:sz="0" w:space="0" w:color="auto"/>
          </w:divBdr>
        </w:div>
      </w:divsChild>
    </w:div>
    <w:div w:id="1312976120">
      <w:bodyDiv w:val="1"/>
      <w:marLeft w:val="0"/>
      <w:marRight w:val="0"/>
      <w:marTop w:val="0"/>
      <w:marBottom w:val="0"/>
      <w:divBdr>
        <w:top w:val="none" w:sz="0" w:space="0" w:color="auto"/>
        <w:left w:val="none" w:sz="0" w:space="0" w:color="auto"/>
        <w:bottom w:val="none" w:sz="0" w:space="0" w:color="auto"/>
        <w:right w:val="none" w:sz="0" w:space="0" w:color="auto"/>
      </w:divBdr>
    </w:div>
    <w:div w:id="1327825252">
      <w:bodyDiv w:val="1"/>
      <w:marLeft w:val="0"/>
      <w:marRight w:val="0"/>
      <w:marTop w:val="0"/>
      <w:marBottom w:val="0"/>
      <w:divBdr>
        <w:top w:val="none" w:sz="0" w:space="0" w:color="auto"/>
        <w:left w:val="none" w:sz="0" w:space="0" w:color="auto"/>
        <w:bottom w:val="none" w:sz="0" w:space="0" w:color="auto"/>
        <w:right w:val="none" w:sz="0" w:space="0" w:color="auto"/>
      </w:divBdr>
    </w:div>
    <w:div w:id="1331441652">
      <w:bodyDiv w:val="1"/>
      <w:marLeft w:val="0"/>
      <w:marRight w:val="0"/>
      <w:marTop w:val="0"/>
      <w:marBottom w:val="0"/>
      <w:divBdr>
        <w:top w:val="none" w:sz="0" w:space="0" w:color="auto"/>
        <w:left w:val="none" w:sz="0" w:space="0" w:color="auto"/>
        <w:bottom w:val="none" w:sz="0" w:space="0" w:color="auto"/>
        <w:right w:val="none" w:sz="0" w:space="0" w:color="auto"/>
      </w:divBdr>
    </w:div>
    <w:div w:id="1333952215">
      <w:bodyDiv w:val="1"/>
      <w:marLeft w:val="0"/>
      <w:marRight w:val="0"/>
      <w:marTop w:val="0"/>
      <w:marBottom w:val="0"/>
      <w:divBdr>
        <w:top w:val="none" w:sz="0" w:space="0" w:color="auto"/>
        <w:left w:val="none" w:sz="0" w:space="0" w:color="auto"/>
        <w:bottom w:val="none" w:sz="0" w:space="0" w:color="auto"/>
        <w:right w:val="none" w:sz="0" w:space="0" w:color="auto"/>
      </w:divBdr>
    </w:div>
    <w:div w:id="1341931566">
      <w:bodyDiv w:val="1"/>
      <w:marLeft w:val="0"/>
      <w:marRight w:val="0"/>
      <w:marTop w:val="0"/>
      <w:marBottom w:val="0"/>
      <w:divBdr>
        <w:top w:val="none" w:sz="0" w:space="0" w:color="auto"/>
        <w:left w:val="none" w:sz="0" w:space="0" w:color="auto"/>
        <w:bottom w:val="none" w:sz="0" w:space="0" w:color="auto"/>
        <w:right w:val="none" w:sz="0" w:space="0" w:color="auto"/>
      </w:divBdr>
    </w:div>
    <w:div w:id="1347633745">
      <w:bodyDiv w:val="1"/>
      <w:marLeft w:val="0"/>
      <w:marRight w:val="0"/>
      <w:marTop w:val="0"/>
      <w:marBottom w:val="0"/>
      <w:divBdr>
        <w:top w:val="none" w:sz="0" w:space="0" w:color="auto"/>
        <w:left w:val="none" w:sz="0" w:space="0" w:color="auto"/>
        <w:bottom w:val="none" w:sz="0" w:space="0" w:color="auto"/>
        <w:right w:val="none" w:sz="0" w:space="0" w:color="auto"/>
      </w:divBdr>
    </w:div>
    <w:div w:id="1350640309">
      <w:bodyDiv w:val="1"/>
      <w:marLeft w:val="0"/>
      <w:marRight w:val="0"/>
      <w:marTop w:val="0"/>
      <w:marBottom w:val="0"/>
      <w:divBdr>
        <w:top w:val="none" w:sz="0" w:space="0" w:color="auto"/>
        <w:left w:val="none" w:sz="0" w:space="0" w:color="auto"/>
        <w:bottom w:val="none" w:sz="0" w:space="0" w:color="auto"/>
        <w:right w:val="none" w:sz="0" w:space="0" w:color="auto"/>
      </w:divBdr>
    </w:div>
    <w:div w:id="1372144846">
      <w:bodyDiv w:val="1"/>
      <w:marLeft w:val="0"/>
      <w:marRight w:val="0"/>
      <w:marTop w:val="0"/>
      <w:marBottom w:val="0"/>
      <w:divBdr>
        <w:top w:val="none" w:sz="0" w:space="0" w:color="auto"/>
        <w:left w:val="none" w:sz="0" w:space="0" w:color="auto"/>
        <w:bottom w:val="none" w:sz="0" w:space="0" w:color="auto"/>
        <w:right w:val="none" w:sz="0" w:space="0" w:color="auto"/>
      </w:divBdr>
    </w:div>
    <w:div w:id="1402018639">
      <w:bodyDiv w:val="1"/>
      <w:marLeft w:val="0"/>
      <w:marRight w:val="0"/>
      <w:marTop w:val="0"/>
      <w:marBottom w:val="0"/>
      <w:divBdr>
        <w:top w:val="none" w:sz="0" w:space="0" w:color="auto"/>
        <w:left w:val="none" w:sz="0" w:space="0" w:color="auto"/>
        <w:bottom w:val="none" w:sz="0" w:space="0" w:color="auto"/>
        <w:right w:val="none" w:sz="0" w:space="0" w:color="auto"/>
      </w:divBdr>
      <w:divsChild>
        <w:div w:id="1358771062">
          <w:marLeft w:val="576"/>
          <w:marRight w:val="0"/>
          <w:marTop w:val="120"/>
          <w:marBottom w:val="60"/>
          <w:divBdr>
            <w:top w:val="none" w:sz="0" w:space="0" w:color="auto"/>
            <w:left w:val="none" w:sz="0" w:space="0" w:color="auto"/>
            <w:bottom w:val="none" w:sz="0" w:space="0" w:color="auto"/>
            <w:right w:val="none" w:sz="0" w:space="0" w:color="auto"/>
          </w:divBdr>
        </w:div>
      </w:divsChild>
    </w:div>
    <w:div w:id="1405420162">
      <w:bodyDiv w:val="1"/>
      <w:marLeft w:val="0"/>
      <w:marRight w:val="0"/>
      <w:marTop w:val="0"/>
      <w:marBottom w:val="0"/>
      <w:divBdr>
        <w:top w:val="none" w:sz="0" w:space="0" w:color="auto"/>
        <w:left w:val="none" w:sz="0" w:space="0" w:color="auto"/>
        <w:bottom w:val="none" w:sz="0" w:space="0" w:color="auto"/>
        <w:right w:val="none" w:sz="0" w:space="0" w:color="auto"/>
      </w:divBdr>
    </w:div>
    <w:div w:id="1414861812">
      <w:bodyDiv w:val="1"/>
      <w:marLeft w:val="0"/>
      <w:marRight w:val="0"/>
      <w:marTop w:val="0"/>
      <w:marBottom w:val="0"/>
      <w:divBdr>
        <w:top w:val="none" w:sz="0" w:space="0" w:color="auto"/>
        <w:left w:val="none" w:sz="0" w:space="0" w:color="auto"/>
        <w:bottom w:val="none" w:sz="0" w:space="0" w:color="auto"/>
        <w:right w:val="none" w:sz="0" w:space="0" w:color="auto"/>
      </w:divBdr>
    </w:div>
    <w:div w:id="1416779939">
      <w:bodyDiv w:val="1"/>
      <w:marLeft w:val="0"/>
      <w:marRight w:val="0"/>
      <w:marTop w:val="0"/>
      <w:marBottom w:val="0"/>
      <w:divBdr>
        <w:top w:val="none" w:sz="0" w:space="0" w:color="auto"/>
        <w:left w:val="none" w:sz="0" w:space="0" w:color="auto"/>
        <w:bottom w:val="none" w:sz="0" w:space="0" w:color="auto"/>
        <w:right w:val="none" w:sz="0" w:space="0" w:color="auto"/>
      </w:divBdr>
    </w:div>
    <w:div w:id="1417481398">
      <w:bodyDiv w:val="1"/>
      <w:marLeft w:val="0"/>
      <w:marRight w:val="0"/>
      <w:marTop w:val="0"/>
      <w:marBottom w:val="0"/>
      <w:divBdr>
        <w:top w:val="none" w:sz="0" w:space="0" w:color="auto"/>
        <w:left w:val="none" w:sz="0" w:space="0" w:color="auto"/>
        <w:bottom w:val="none" w:sz="0" w:space="0" w:color="auto"/>
        <w:right w:val="none" w:sz="0" w:space="0" w:color="auto"/>
      </w:divBdr>
    </w:div>
    <w:div w:id="1418289038">
      <w:bodyDiv w:val="1"/>
      <w:marLeft w:val="0"/>
      <w:marRight w:val="0"/>
      <w:marTop w:val="0"/>
      <w:marBottom w:val="0"/>
      <w:divBdr>
        <w:top w:val="none" w:sz="0" w:space="0" w:color="auto"/>
        <w:left w:val="none" w:sz="0" w:space="0" w:color="auto"/>
        <w:bottom w:val="none" w:sz="0" w:space="0" w:color="auto"/>
        <w:right w:val="none" w:sz="0" w:space="0" w:color="auto"/>
      </w:divBdr>
    </w:div>
    <w:div w:id="1424842267">
      <w:bodyDiv w:val="1"/>
      <w:marLeft w:val="0"/>
      <w:marRight w:val="0"/>
      <w:marTop w:val="0"/>
      <w:marBottom w:val="0"/>
      <w:divBdr>
        <w:top w:val="none" w:sz="0" w:space="0" w:color="auto"/>
        <w:left w:val="none" w:sz="0" w:space="0" w:color="auto"/>
        <w:bottom w:val="none" w:sz="0" w:space="0" w:color="auto"/>
        <w:right w:val="none" w:sz="0" w:space="0" w:color="auto"/>
      </w:divBdr>
      <w:divsChild>
        <w:div w:id="85082762">
          <w:marLeft w:val="835"/>
          <w:marRight w:val="0"/>
          <w:marTop w:val="60"/>
          <w:marBottom w:val="60"/>
          <w:divBdr>
            <w:top w:val="none" w:sz="0" w:space="0" w:color="auto"/>
            <w:left w:val="none" w:sz="0" w:space="0" w:color="auto"/>
            <w:bottom w:val="none" w:sz="0" w:space="0" w:color="auto"/>
            <w:right w:val="none" w:sz="0" w:space="0" w:color="auto"/>
          </w:divBdr>
        </w:div>
        <w:div w:id="155347334">
          <w:marLeft w:val="835"/>
          <w:marRight w:val="0"/>
          <w:marTop w:val="60"/>
          <w:marBottom w:val="60"/>
          <w:divBdr>
            <w:top w:val="none" w:sz="0" w:space="0" w:color="auto"/>
            <w:left w:val="none" w:sz="0" w:space="0" w:color="auto"/>
            <w:bottom w:val="none" w:sz="0" w:space="0" w:color="auto"/>
            <w:right w:val="none" w:sz="0" w:space="0" w:color="auto"/>
          </w:divBdr>
        </w:div>
        <w:div w:id="483670625">
          <w:marLeft w:val="835"/>
          <w:marRight w:val="0"/>
          <w:marTop w:val="60"/>
          <w:marBottom w:val="60"/>
          <w:divBdr>
            <w:top w:val="none" w:sz="0" w:space="0" w:color="auto"/>
            <w:left w:val="none" w:sz="0" w:space="0" w:color="auto"/>
            <w:bottom w:val="none" w:sz="0" w:space="0" w:color="auto"/>
            <w:right w:val="none" w:sz="0" w:space="0" w:color="auto"/>
          </w:divBdr>
        </w:div>
        <w:div w:id="1537936255">
          <w:marLeft w:val="835"/>
          <w:marRight w:val="0"/>
          <w:marTop w:val="60"/>
          <w:marBottom w:val="60"/>
          <w:divBdr>
            <w:top w:val="none" w:sz="0" w:space="0" w:color="auto"/>
            <w:left w:val="none" w:sz="0" w:space="0" w:color="auto"/>
            <w:bottom w:val="none" w:sz="0" w:space="0" w:color="auto"/>
            <w:right w:val="none" w:sz="0" w:space="0" w:color="auto"/>
          </w:divBdr>
        </w:div>
        <w:div w:id="1629319101">
          <w:marLeft w:val="835"/>
          <w:marRight w:val="0"/>
          <w:marTop w:val="60"/>
          <w:marBottom w:val="60"/>
          <w:divBdr>
            <w:top w:val="none" w:sz="0" w:space="0" w:color="auto"/>
            <w:left w:val="none" w:sz="0" w:space="0" w:color="auto"/>
            <w:bottom w:val="none" w:sz="0" w:space="0" w:color="auto"/>
            <w:right w:val="none" w:sz="0" w:space="0" w:color="auto"/>
          </w:divBdr>
        </w:div>
        <w:div w:id="1894583482">
          <w:marLeft w:val="835"/>
          <w:marRight w:val="0"/>
          <w:marTop w:val="60"/>
          <w:marBottom w:val="60"/>
          <w:divBdr>
            <w:top w:val="none" w:sz="0" w:space="0" w:color="auto"/>
            <w:left w:val="none" w:sz="0" w:space="0" w:color="auto"/>
            <w:bottom w:val="none" w:sz="0" w:space="0" w:color="auto"/>
            <w:right w:val="none" w:sz="0" w:space="0" w:color="auto"/>
          </w:divBdr>
        </w:div>
        <w:div w:id="2082868771">
          <w:marLeft w:val="835"/>
          <w:marRight w:val="0"/>
          <w:marTop w:val="60"/>
          <w:marBottom w:val="60"/>
          <w:divBdr>
            <w:top w:val="none" w:sz="0" w:space="0" w:color="auto"/>
            <w:left w:val="none" w:sz="0" w:space="0" w:color="auto"/>
            <w:bottom w:val="none" w:sz="0" w:space="0" w:color="auto"/>
            <w:right w:val="none" w:sz="0" w:space="0" w:color="auto"/>
          </w:divBdr>
        </w:div>
      </w:divsChild>
    </w:div>
    <w:div w:id="1430203114">
      <w:bodyDiv w:val="1"/>
      <w:marLeft w:val="0"/>
      <w:marRight w:val="0"/>
      <w:marTop w:val="0"/>
      <w:marBottom w:val="0"/>
      <w:divBdr>
        <w:top w:val="none" w:sz="0" w:space="0" w:color="auto"/>
        <w:left w:val="none" w:sz="0" w:space="0" w:color="auto"/>
        <w:bottom w:val="none" w:sz="0" w:space="0" w:color="auto"/>
        <w:right w:val="none" w:sz="0" w:space="0" w:color="auto"/>
      </w:divBdr>
      <w:divsChild>
        <w:div w:id="318772551">
          <w:marLeft w:val="1800"/>
          <w:marRight w:val="0"/>
          <w:marTop w:val="96"/>
          <w:marBottom w:val="0"/>
          <w:divBdr>
            <w:top w:val="none" w:sz="0" w:space="0" w:color="auto"/>
            <w:left w:val="none" w:sz="0" w:space="0" w:color="auto"/>
            <w:bottom w:val="none" w:sz="0" w:space="0" w:color="auto"/>
            <w:right w:val="none" w:sz="0" w:space="0" w:color="auto"/>
          </w:divBdr>
        </w:div>
        <w:div w:id="537206903">
          <w:marLeft w:val="1800"/>
          <w:marRight w:val="0"/>
          <w:marTop w:val="96"/>
          <w:marBottom w:val="0"/>
          <w:divBdr>
            <w:top w:val="none" w:sz="0" w:space="0" w:color="auto"/>
            <w:left w:val="none" w:sz="0" w:space="0" w:color="auto"/>
            <w:bottom w:val="none" w:sz="0" w:space="0" w:color="auto"/>
            <w:right w:val="none" w:sz="0" w:space="0" w:color="auto"/>
          </w:divBdr>
        </w:div>
        <w:div w:id="570968463">
          <w:marLeft w:val="1800"/>
          <w:marRight w:val="0"/>
          <w:marTop w:val="96"/>
          <w:marBottom w:val="0"/>
          <w:divBdr>
            <w:top w:val="none" w:sz="0" w:space="0" w:color="auto"/>
            <w:left w:val="none" w:sz="0" w:space="0" w:color="auto"/>
            <w:bottom w:val="none" w:sz="0" w:space="0" w:color="auto"/>
            <w:right w:val="none" w:sz="0" w:space="0" w:color="auto"/>
          </w:divBdr>
        </w:div>
        <w:div w:id="1842424602">
          <w:marLeft w:val="1800"/>
          <w:marRight w:val="0"/>
          <w:marTop w:val="96"/>
          <w:marBottom w:val="0"/>
          <w:divBdr>
            <w:top w:val="none" w:sz="0" w:space="0" w:color="auto"/>
            <w:left w:val="none" w:sz="0" w:space="0" w:color="auto"/>
            <w:bottom w:val="none" w:sz="0" w:space="0" w:color="auto"/>
            <w:right w:val="none" w:sz="0" w:space="0" w:color="auto"/>
          </w:divBdr>
        </w:div>
        <w:div w:id="1868450735">
          <w:marLeft w:val="1800"/>
          <w:marRight w:val="0"/>
          <w:marTop w:val="96"/>
          <w:marBottom w:val="0"/>
          <w:divBdr>
            <w:top w:val="none" w:sz="0" w:space="0" w:color="auto"/>
            <w:left w:val="none" w:sz="0" w:space="0" w:color="auto"/>
            <w:bottom w:val="none" w:sz="0" w:space="0" w:color="auto"/>
            <w:right w:val="none" w:sz="0" w:space="0" w:color="auto"/>
          </w:divBdr>
        </w:div>
        <w:div w:id="2026708710">
          <w:marLeft w:val="1800"/>
          <w:marRight w:val="0"/>
          <w:marTop w:val="96"/>
          <w:marBottom w:val="0"/>
          <w:divBdr>
            <w:top w:val="none" w:sz="0" w:space="0" w:color="auto"/>
            <w:left w:val="none" w:sz="0" w:space="0" w:color="auto"/>
            <w:bottom w:val="none" w:sz="0" w:space="0" w:color="auto"/>
            <w:right w:val="none" w:sz="0" w:space="0" w:color="auto"/>
          </w:divBdr>
        </w:div>
      </w:divsChild>
    </w:div>
    <w:div w:id="1480533925">
      <w:bodyDiv w:val="1"/>
      <w:marLeft w:val="0"/>
      <w:marRight w:val="0"/>
      <w:marTop w:val="0"/>
      <w:marBottom w:val="0"/>
      <w:divBdr>
        <w:top w:val="none" w:sz="0" w:space="0" w:color="auto"/>
        <w:left w:val="none" w:sz="0" w:space="0" w:color="auto"/>
        <w:bottom w:val="none" w:sz="0" w:space="0" w:color="auto"/>
        <w:right w:val="none" w:sz="0" w:space="0" w:color="auto"/>
      </w:divBdr>
    </w:div>
    <w:div w:id="1482575871">
      <w:bodyDiv w:val="1"/>
      <w:marLeft w:val="0"/>
      <w:marRight w:val="0"/>
      <w:marTop w:val="0"/>
      <w:marBottom w:val="0"/>
      <w:divBdr>
        <w:top w:val="none" w:sz="0" w:space="0" w:color="auto"/>
        <w:left w:val="none" w:sz="0" w:space="0" w:color="auto"/>
        <w:bottom w:val="none" w:sz="0" w:space="0" w:color="auto"/>
        <w:right w:val="none" w:sz="0" w:space="0" w:color="auto"/>
      </w:divBdr>
    </w:div>
    <w:div w:id="1486971447">
      <w:marLeft w:val="0"/>
      <w:marRight w:val="0"/>
      <w:marTop w:val="0"/>
      <w:marBottom w:val="0"/>
      <w:divBdr>
        <w:top w:val="none" w:sz="0" w:space="0" w:color="auto"/>
        <w:left w:val="none" w:sz="0" w:space="0" w:color="auto"/>
        <w:bottom w:val="none" w:sz="0" w:space="0" w:color="auto"/>
        <w:right w:val="none" w:sz="0" w:space="0" w:color="auto"/>
      </w:divBdr>
    </w:div>
    <w:div w:id="1486971449">
      <w:marLeft w:val="0"/>
      <w:marRight w:val="0"/>
      <w:marTop w:val="0"/>
      <w:marBottom w:val="0"/>
      <w:divBdr>
        <w:top w:val="none" w:sz="0" w:space="0" w:color="auto"/>
        <w:left w:val="none" w:sz="0" w:space="0" w:color="auto"/>
        <w:bottom w:val="none" w:sz="0" w:space="0" w:color="auto"/>
        <w:right w:val="none" w:sz="0" w:space="0" w:color="auto"/>
      </w:divBdr>
      <w:divsChild>
        <w:div w:id="1486971482">
          <w:marLeft w:val="1166"/>
          <w:marRight w:val="0"/>
          <w:marTop w:val="77"/>
          <w:marBottom w:val="0"/>
          <w:divBdr>
            <w:top w:val="none" w:sz="0" w:space="0" w:color="auto"/>
            <w:left w:val="none" w:sz="0" w:space="0" w:color="auto"/>
            <w:bottom w:val="none" w:sz="0" w:space="0" w:color="auto"/>
            <w:right w:val="none" w:sz="0" w:space="0" w:color="auto"/>
          </w:divBdr>
        </w:div>
      </w:divsChild>
    </w:div>
    <w:div w:id="1486971452">
      <w:marLeft w:val="0"/>
      <w:marRight w:val="0"/>
      <w:marTop w:val="0"/>
      <w:marBottom w:val="0"/>
      <w:divBdr>
        <w:top w:val="none" w:sz="0" w:space="0" w:color="auto"/>
        <w:left w:val="none" w:sz="0" w:space="0" w:color="auto"/>
        <w:bottom w:val="none" w:sz="0" w:space="0" w:color="auto"/>
        <w:right w:val="none" w:sz="0" w:space="0" w:color="auto"/>
      </w:divBdr>
    </w:div>
    <w:div w:id="1486971455">
      <w:marLeft w:val="0"/>
      <w:marRight w:val="0"/>
      <w:marTop w:val="0"/>
      <w:marBottom w:val="0"/>
      <w:divBdr>
        <w:top w:val="none" w:sz="0" w:space="0" w:color="auto"/>
        <w:left w:val="none" w:sz="0" w:space="0" w:color="auto"/>
        <w:bottom w:val="none" w:sz="0" w:space="0" w:color="auto"/>
        <w:right w:val="none" w:sz="0" w:space="0" w:color="auto"/>
      </w:divBdr>
    </w:div>
    <w:div w:id="1486971456">
      <w:marLeft w:val="0"/>
      <w:marRight w:val="0"/>
      <w:marTop w:val="0"/>
      <w:marBottom w:val="0"/>
      <w:divBdr>
        <w:top w:val="none" w:sz="0" w:space="0" w:color="auto"/>
        <w:left w:val="none" w:sz="0" w:space="0" w:color="auto"/>
        <w:bottom w:val="none" w:sz="0" w:space="0" w:color="auto"/>
        <w:right w:val="none" w:sz="0" w:space="0" w:color="auto"/>
      </w:divBdr>
    </w:div>
    <w:div w:id="1486971457">
      <w:marLeft w:val="0"/>
      <w:marRight w:val="0"/>
      <w:marTop w:val="0"/>
      <w:marBottom w:val="0"/>
      <w:divBdr>
        <w:top w:val="none" w:sz="0" w:space="0" w:color="auto"/>
        <w:left w:val="none" w:sz="0" w:space="0" w:color="auto"/>
        <w:bottom w:val="none" w:sz="0" w:space="0" w:color="auto"/>
        <w:right w:val="none" w:sz="0" w:space="0" w:color="auto"/>
      </w:divBdr>
    </w:div>
    <w:div w:id="1486971460">
      <w:marLeft w:val="0"/>
      <w:marRight w:val="0"/>
      <w:marTop w:val="0"/>
      <w:marBottom w:val="0"/>
      <w:divBdr>
        <w:top w:val="none" w:sz="0" w:space="0" w:color="auto"/>
        <w:left w:val="none" w:sz="0" w:space="0" w:color="auto"/>
        <w:bottom w:val="none" w:sz="0" w:space="0" w:color="auto"/>
        <w:right w:val="none" w:sz="0" w:space="0" w:color="auto"/>
      </w:divBdr>
      <w:divsChild>
        <w:div w:id="1486971486">
          <w:marLeft w:val="0"/>
          <w:marRight w:val="0"/>
          <w:marTop w:val="86"/>
          <w:marBottom w:val="0"/>
          <w:divBdr>
            <w:top w:val="none" w:sz="0" w:space="0" w:color="auto"/>
            <w:left w:val="none" w:sz="0" w:space="0" w:color="auto"/>
            <w:bottom w:val="none" w:sz="0" w:space="0" w:color="auto"/>
            <w:right w:val="none" w:sz="0" w:space="0" w:color="auto"/>
          </w:divBdr>
        </w:div>
        <w:div w:id="1486971638">
          <w:marLeft w:val="0"/>
          <w:marRight w:val="0"/>
          <w:marTop w:val="86"/>
          <w:marBottom w:val="0"/>
          <w:divBdr>
            <w:top w:val="none" w:sz="0" w:space="0" w:color="auto"/>
            <w:left w:val="none" w:sz="0" w:space="0" w:color="auto"/>
            <w:bottom w:val="none" w:sz="0" w:space="0" w:color="auto"/>
            <w:right w:val="none" w:sz="0" w:space="0" w:color="auto"/>
          </w:divBdr>
        </w:div>
        <w:div w:id="1486971640">
          <w:marLeft w:val="0"/>
          <w:marRight w:val="0"/>
          <w:marTop w:val="86"/>
          <w:marBottom w:val="0"/>
          <w:divBdr>
            <w:top w:val="none" w:sz="0" w:space="0" w:color="auto"/>
            <w:left w:val="none" w:sz="0" w:space="0" w:color="auto"/>
            <w:bottom w:val="none" w:sz="0" w:space="0" w:color="auto"/>
            <w:right w:val="none" w:sz="0" w:space="0" w:color="auto"/>
          </w:divBdr>
        </w:div>
      </w:divsChild>
    </w:div>
    <w:div w:id="1486971464">
      <w:marLeft w:val="0"/>
      <w:marRight w:val="0"/>
      <w:marTop w:val="0"/>
      <w:marBottom w:val="0"/>
      <w:divBdr>
        <w:top w:val="none" w:sz="0" w:space="0" w:color="auto"/>
        <w:left w:val="none" w:sz="0" w:space="0" w:color="auto"/>
        <w:bottom w:val="none" w:sz="0" w:space="0" w:color="auto"/>
        <w:right w:val="none" w:sz="0" w:space="0" w:color="auto"/>
      </w:divBdr>
    </w:div>
    <w:div w:id="1486971468">
      <w:marLeft w:val="0"/>
      <w:marRight w:val="0"/>
      <w:marTop w:val="0"/>
      <w:marBottom w:val="0"/>
      <w:divBdr>
        <w:top w:val="none" w:sz="0" w:space="0" w:color="auto"/>
        <w:left w:val="none" w:sz="0" w:space="0" w:color="auto"/>
        <w:bottom w:val="none" w:sz="0" w:space="0" w:color="auto"/>
        <w:right w:val="none" w:sz="0" w:space="0" w:color="auto"/>
      </w:divBdr>
    </w:div>
    <w:div w:id="1486971470">
      <w:marLeft w:val="0"/>
      <w:marRight w:val="0"/>
      <w:marTop w:val="0"/>
      <w:marBottom w:val="0"/>
      <w:divBdr>
        <w:top w:val="none" w:sz="0" w:space="0" w:color="auto"/>
        <w:left w:val="none" w:sz="0" w:space="0" w:color="auto"/>
        <w:bottom w:val="none" w:sz="0" w:space="0" w:color="auto"/>
        <w:right w:val="none" w:sz="0" w:space="0" w:color="auto"/>
      </w:divBdr>
    </w:div>
    <w:div w:id="1486971471">
      <w:marLeft w:val="0"/>
      <w:marRight w:val="0"/>
      <w:marTop w:val="0"/>
      <w:marBottom w:val="0"/>
      <w:divBdr>
        <w:top w:val="none" w:sz="0" w:space="0" w:color="auto"/>
        <w:left w:val="none" w:sz="0" w:space="0" w:color="auto"/>
        <w:bottom w:val="none" w:sz="0" w:space="0" w:color="auto"/>
        <w:right w:val="none" w:sz="0" w:space="0" w:color="auto"/>
      </w:divBdr>
    </w:div>
    <w:div w:id="1486971472">
      <w:marLeft w:val="0"/>
      <w:marRight w:val="0"/>
      <w:marTop w:val="0"/>
      <w:marBottom w:val="0"/>
      <w:divBdr>
        <w:top w:val="none" w:sz="0" w:space="0" w:color="auto"/>
        <w:left w:val="none" w:sz="0" w:space="0" w:color="auto"/>
        <w:bottom w:val="none" w:sz="0" w:space="0" w:color="auto"/>
        <w:right w:val="none" w:sz="0" w:space="0" w:color="auto"/>
      </w:divBdr>
    </w:div>
    <w:div w:id="1486971473">
      <w:marLeft w:val="0"/>
      <w:marRight w:val="0"/>
      <w:marTop w:val="0"/>
      <w:marBottom w:val="0"/>
      <w:divBdr>
        <w:top w:val="none" w:sz="0" w:space="0" w:color="auto"/>
        <w:left w:val="none" w:sz="0" w:space="0" w:color="auto"/>
        <w:bottom w:val="none" w:sz="0" w:space="0" w:color="auto"/>
        <w:right w:val="none" w:sz="0" w:space="0" w:color="auto"/>
      </w:divBdr>
      <w:divsChild>
        <w:div w:id="1486971479">
          <w:marLeft w:val="835"/>
          <w:marRight w:val="0"/>
          <w:marTop w:val="60"/>
          <w:marBottom w:val="60"/>
          <w:divBdr>
            <w:top w:val="none" w:sz="0" w:space="0" w:color="auto"/>
            <w:left w:val="none" w:sz="0" w:space="0" w:color="auto"/>
            <w:bottom w:val="none" w:sz="0" w:space="0" w:color="auto"/>
            <w:right w:val="none" w:sz="0" w:space="0" w:color="auto"/>
          </w:divBdr>
        </w:div>
        <w:div w:id="1486971642">
          <w:marLeft w:val="835"/>
          <w:marRight w:val="0"/>
          <w:marTop w:val="60"/>
          <w:marBottom w:val="60"/>
          <w:divBdr>
            <w:top w:val="none" w:sz="0" w:space="0" w:color="auto"/>
            <w:left w:val="none" w:sz="0" w:space="0" w:color="auto"/>
            <w:bottom w:val="none" w:sz="0" w:space="0" w:color="auto"/>
            <w:right w:val="none" w:sz="0" w:space="0" w:color="auto"/>
          </w:divBdr>
        </w:div>
        <w:div w:id="1486971914">
          <w:marLeft w:val="835"/>
          <w:marRight w:val="0"/>
          <w:marTop w:val="60"/>
          <w:marBottom w:val="60"/>
          <w:divBdr>
            <w:top w:val="none" w:sz="0" w:space="0" w:color="auto"/>
            <w:left w:val="none" w:sz="0" w:space="0" w:color="auto"/>
            <w:bottom w:val="none" w:sz="0" w:space="0" w:color="auto"/>
            <w:right w:val="none" w:sz="0" w:space="0" w:color="auto"/>
          </w:divBdr>
        </w:div>
      </w:divsChild>
    </w:div>
    <w:div w:id="1486971474">
      <w:marLeft w:val="0"/>
      <w:marRight w:val="0"/>
      <w:marTop w:val="0"/>
      <w:marBottom w:val="0"/>
      <w:divBdr>
        <w:top w:val="none" w:sz="0" w:space="0" w:color="auto"/>
        <w:left w:val="none" w:sz="0" w:space="0" w:color="auto"/>
        <w:bottom w:val="none" w:sz="0" w:space="0" w:color="auto"/>
        <w:right w:val="none" w:sz="0" w:space="0" w:color="auto"/>
      </w:divBdr>
    </w:div>
    <w:div w:id="1486971476">
      <w:marLeft w:val="0"/>
      <w:marRight w:val="0"/>
      <w:marTop w:val="0"/>
      <w:marBottom w:val="0"/>
      <w:divBdr>
        <w:top w:val="none" w:sz="0" w:space="0" w:color="auto"/>
        <w:left w:val="none" w:sz="0" w:space="0" w:color="auto"/>
        <w:bottom w:val="none" w:sz="0" w:space="0" w:color="auto"/>
        <w:right w:val="none" w:sz="0" w:space="0" w:color="auto"/>
      </w:divBdr>
      <w:divsChild>
        <w:div w:id="1486971438">
          <w:marLeft w:val="0"/>
          <w:marRight w:val="0"/>
          <w:marTop w:val="86"/>
          <w:marBottom w:val="0"/>
          <w:divBdr>
            <w:top w:val="none" w:sz="0" w:space="0" w:color="auto"/>
            <w:left w:val="none" w:sz="0" w:space="0" w:color="auto"/>
            <w:bottom w:val="none" w:sz="0" w:space="0" w:color="auto"/>
            <w:right w:val="none" w:sz="0" w:space="0" w:color="auto"/>
          </w:divBdr>
        </w:div>
        <w:div w:id="1486971440">
          <w:marLeft w:val="562"/>
          <w:marRight w:val="0"/>
          <w:marTop w:val="120"/>
          <w:marBottom w:val="0"/>
          <w:divBdr>
            <w:top w:val="none" w:sz="0" w:space="0" w:color="auto"/>
            <w:left w:val="none" w:sz="0" w:space="0" w:color="auto"/>
            <w:bottom w:val="none" w:sz="0" w:space="0" w:color="auto"/>
            <w:right w:val="none" w:sz="0" w:space="0" w:color="auto"/>
          </w:divBdr>
        </w:div>
        <w:div w:id="1486971485">
          <w:marLeft w:val="0"/>
          <w:marRight w:val="0"/>
          <w:marTop w:val="86"/>
          <w:marBottom w:val="0"/>
          <w:divBdr>
            <w:top w:val="none" w:sz="0" w:space="0" w:color="auto"/>
            <w:left w:val="none" w:sz="0" w:space="0" w:color="auto"/>
            <w:bottom w:val="none" w:sz="0" w:space="0" w:color="auto"/>
            <w:right w:val="none" w:sz="0" w:space="0" w:color="auto"/>
          </w:divBdr>
        </w:div>
        <w:div w:id="1486971488">
          <w:marLeft w:val="0"/>
          <w:marRight w:val="0"/>
          <w:marTop w:val="86"/>
          <w:marBottom w:val="0"/>
          <w:divBdr>
            <w:top w:val="none" w:sz="0" w:space="0" w:color="auto"/>
            <w:left w:val="none" w:sz="0" w:space="0" w:color="auto"/>
            <w:bottom w:val="none" w:sz="0" w:space="0" w:color="auto"/>
            <w:right w:val="none" w:sz="0" w:space="0" w:color="auto"/>
          </w:divBdr>
        </w:div>
        <w:div w:id="1486971494">
          <w:marLeft w:val="562"/>
          <w:marRight w:val="0"/>
          <w:marTop w:val="120"/>
          <w:marBottom w:val="0"/>
          <w:divBdr>
            <w:top w:val="none" w:sz="0" w:space="0" w:color="auto"/>
            <w:left w:val="none" w:sz="0" w:space="0" w:color="auto"/>
            <w:bottom w:val="none" w:sz="0" w:space="0" w:color="auto"/>
            <w:right w:val="none" w:sz="0" w:space="0" w:color="auto"/>
          </w:divBdr>
        </w:div>
        <w:div w:id="1486971497">
          <w:marLeft w:val="562"/>
          <w:marRight w:val="0"/>
          <w:marTop w:val="120"/>
          <w:marBottom w:val="0"/>
          <w:divBdr>
            <w:top w:val="none" w:sz="0" w:space="0" w:color="auto"/>
            <w:left w:val="none" w:sz="0" w:space="0" w:color="auto"/>
            <w:bottom w:val="none" w:sz="0" w:space="0" w:color="auto"/>
            <w:right w:val="none" w:sz="0" w:space="0" w:color="auto"/>
          </w:divBdr>
        </w:div>
        <w:div w:id="1486971501">
          <w:marLeft w:val="562"/>
          <w:marRight w:val="0"/>
          <w:marTop w:val="0"/>
          <w:marBottom w:val="0"/>
          <w:divBdr>
            <w:top w:val="none" w:sz="0" w:space="0" w:color="auto"/>
            <w:left w:val="none" w:sz="0" w:space="0" w:color="auto"/>
            <w:bottom w:val="none" w:sz="0" w:space="0" w:color="auto"/>
            <w:right w:val="none" w:sz="0" w:space="0" w:color="auto"/>
          </w:divBdr>
        </w:div>
        <w:div w:id="1486971588">
          <w:marLeft w:val="562"/>
          <w:marRight w:val="0"/>
          <w:marTop w:val="120"/>
          <w:marBottom w:val="0"/>
          <w:divBdr>
            <w:top w:val="none" w:sz="0" w:space="0" w:color="auto"/>
            <w:left w:val="none" w:sz="0" w:space="0" w:color="auto"/>
            <w:bottom w:val="none" w:sz="0" w:space="0" w:color="auto"/>
            <w:right w:val="none" w:sz="0" w:space="0" w:color="auto"/>
          </w:divBdr>
        </w:div>
      </w:divsChild>
    </w:div>
    <w:div w:id="1486971480">
      <w:marLeft w:val="0"/>
      <w:marRight w:val="0"/>
      <w:marTop w:val="0"/>
      <w:marBottom w:val="0"/>
      <w:divBdr>
        <w:top w:val="none" w:sz="0" w:space="0" w:color="auto"/>
        <w:left w:val="none" w:sz="0" w:space="0" w:color="auto"/>
        <w:bottom w:val="none" w:sz="0" w:space="0" w:color="auto"/>
        <w:right w:val="none" w:sz="0" w:space="0" w:color="auto"/>
      </w:divBdr>
    </w:div>
    <w:div w:id="1486971492">
      <w:marLeft w:val="0"/>
      <w:marRight w:val="0"/>
      <w:marTop w:val="0"/>
      <w:marBottom w:val="0"/>
      <w:divBdr>
        <w:top w:val="none" w:sz="0" w:space="0" w:color="auto"/>
        <w:left w:val="none" w:sz="0" w:space="0" w:color="auto"/>
        <w:bottom w:val="none" w:sz="0" w:space="0" w:color="auto"/>
        <w:right w:val="none" w:sz="0" w:space="0" w:color="auto"/>
      </w:divBdr>
    </w:div>
    <w:div w:id="1486971504">
      <w:marLeft w:val="0"/>
      <w:marRight w:val="0"/>
      <w:marTop w:val="0"/>
      <w:marBottom w:val="0"/>
      <w:divBdr>
        <w:top w:val="none" w:sz="0" w:space="0" w:color="auto"/>
        <w:left w:val="none" w:sz="0" w:space="0" w:color="auto"/>
        <w:bottom w:val="none" w:sz="0" w:space="0" w:color="auto"/>
        <w:right w:val="none" w:sz="0" w:space="0" w:color="auto"/>
      </w:divBdr>
    </w:div>
    <w:div w:id="1486971507">
      <w:marLeft w:val="0"/>
      <w:marRight w:val="0"/>
      <w:marTop w:val="0"/>
      <w:marBottom w:val="0"/>
      <w:divBdr>
        <w:top w:val="none" w:sz="0" w:space="0" w:color="auto"/>
        <w:left w:val="none" w:sz="0" w:space="0" w:color="auto"/>
        <w:bottom w:val="none" w:sz="0" w:space="0" w:color="auto"/>
        <w:right w:val="none" w:sz="0" w:space="0" w:color="auto"/>
      </w:divBdr>
      <w:divsChild>
        <w:div w:id="1486971490">
          <w:marLeft w:val="979"/>
          <w:marRight w:val="0"/>
          <w:marTop w:val="77"/>
          <w:marBottom w:val="0"/>
          <w:divBdr>
            <w:top w:val="none" w:sz="0" w:space="0" w:color="auto"/>
            <w:left w:val="none" w:sz="0" w:space="0" w:color="auto"/>
            <w:bottom w:val="none" w:sz="0" w:space="0" w:color="auto"/>
            <w:right w:val="none" w:sz="0" w:space="0" w:color="auto"/>
          </w:divBdr>
        </w:div>
        <w:div w:id="1486971500">
          <w:marLeft w:val="288"/>
          <w:marRight w:val="0"/>
          <w:marTop w:val="160"/>
          <w:marBottom w:val="0"/>
          <w:divBdr>
            <w:top w:val="none" w:sz="0" w:space="0" w:color="auto"/>
            <w:left w:val="none" w:sz="0" w:space="0" w:color="auto"/>
            <w:bottom w:val="none" w:sz="0" w:space="0" w:color="auto"/>
            <w:right w:val="none" w:sz="0" w:space="0" w:color="auto"/>
          </w:divBdr>
        </w:div>
        <w:div w:id="1486971502">
          <w:marLeft w:val="979"/>
          <w:marRight w:val="0"/>
          <w:marTop w:val="77"/>
          <w:marBottom w:val="0"/>
          <w:divBdr>
            <w:top w:val="none" w:sz="0" w:space="0" w:color="auto"/>
            <w:left w:val="none" w:sz="0" w:space="0" w:color="auto"/>
            <w:bottom w:val="none" w:sz="0" w:space="0" w:color="auto"/>
            <w:right w:val="none" w:sz="0" w:space="0" w:color="auto"/>
          </w:divBdr>
        </w:div>
        <w:div w:id="1486971505">
          <w:marLeft w:val="288"/>
          <w:marRight w:val="0"/>
          <w:marTop w:val="160"/>
          <w:marBottom w:val="0"/>
          <w:divBdr>
            <w:top w:val="none" w:sz="0" w:space="0" w:color="auto"/>
            <w:left w:val="none" w:sz="0" w:space="0" w:color="auto"/>
            <w:bottom w:val="none" w:sz="0" w:space="0" w:color="auto"/>
            <w:right w:val="none" w:sz="0" w:space="0" w:color="auto"/>
          </w:divBdr>
        </w:div>
        <w:div w:id="1486971519">
          <w:marLeft w:val="288"/>
          <w:marRight w:val="0"/>
          <w:marTop w:val="160"/>
          <w:marBottom w:val="0"/>
          <w:divBdr>
            <w:top w:val="none" w:sz="0" w:space="0" w:color="auto"/>
            <w:left w:val="none" w:sz="0" w:space="0" w:color="auto"/>
            <w:bottom w:val="none" w:sz="0" w:space="0" w:color="auto"/>
            <w:right w:val="none" w:sz="0" w:space="0" w:color="auto"/>
          </w:divBdr>
        </w:div>
        <w:div w:id="1486971525">
          <w:marLeft w:val="979"/>
          <w:marRight w:val="0"/>
          <w:marTop w:val="77"/>
          <w:marBottom w:val="0"/>
          <w:divBdr>
            <w:top w:val="none" w:sz="0" w:space="0" w:color="auto"/>
            <w:left w:val="none" w:sz="0" w:space="0" w:color="auto"/>
            <w:bottom w:val="none" w:sz="0" w:space="0" w:color="auto"/>
            <w:right w:val="none" w:sz="0" w:space="0" w:color="auto"/>
          </w:divBdr>
        </w:div>
        <w:div w:id="1486971532">
          <w:marLeft w:val="288"/>
          <w:marRight w:val="0"/>
          <w:marTop w:val="160"/>
          <w:marBottom w:val="0"/>
          <w:divBdr>
            <w:top w:val="none" w:sz="0" w:space="0" w:color="auto"/>
            <w:left w:val="none" w:sz="0" w:space="0" w:color="auto"/>
            <w:bottom w:val="none" w:sz="0" w:space="0" w:color="auto"/>
            <w:right w:val="none" w:sz="0" w:space="0" w:color="auto"/>
          </w:divBdr>
        </w:div>
        <w:div w:id="1486971536">
          <w:marLeft w:val="979"/>
          <w:marRight w:val="0"/>
          <w:marTop w:val="77"/>
          <w:marBottom w:val="0"/>
          <w:divBdr>
            <w:top w:val="none" w:sz="0" w:space="0" w:color="auto"/>
            <w:left w:val="none" w:sz="0" w:space="0" w:color="auto"/>
            <w:bottom w:val="none" w:sz="0" w:space="0" w:color="auto"/>
            <w:right w:val="none" w:sz="0" w:space="0" w:color="auto"/>
          </w:divBdr>
        </w:div>
        <w:div w:id="1486971590">
          <w:marLeft w:val="288"/>
          <w:marRight w:val="0"/>
          <w:marTop w:val="160"/>
          <w:marBottom w:val="0"/>
          <w:divBdr>
            <w:top w:val="none" w:sz="0" w:space="0" w:color="auto"/>
            <w:left w:val="none" w:sz="0" w:space="0" w:color="auto"/>
            <w:bottom w:val="none" w:sz="0" w:space="0" w:color="auto"/>
            <w:right w:val="none" w:sz="0" w:space="0" w:color="auto"/>
          </w:divBdr>
        </w:div>
        <w:div w:id="1486971594">
          <w:marLeft w:val="979"/>
          <w:marRight w:val="0"/>
          <w:marTop w:val="77"/>
          <w:marBottom w:val="0"/>
          <w:divBdr>
            <w:top w:val="none" w:sz="0" w:space="0" w:color="auto"/>
            <w:left w:val="none" w:sz="0" w:space="0" w:color="auto"/>
            <w:bottom w:val="none" w:sz="0" w:space="0" w:color="auto"/>
            <w:right w:val="none" w:sz="0" w:space="0" w:color="auto"/>
          </w:divBdr>
        </w:div>
        <w:div w:id="1486971596">
          <w:marLeft w:val="979"/>
          <w:marRight w:val="0"/>
          <w:marTop w:val="77"/>
          <w:marBottom w:val="0"/>
          <w:divBdr>
            <w:top w:val="none" w:sz="0" w:space="0" w:color="auto"/>
            <w:left w:val="none" w:sz="0" w:space="0" w:color="auto"/>
            <w:bottom w:val="none" w:sz="0" w:space="0" w:color="auto"/>
            <w:right w:val="none" w:sz="0" w:space="0" w:color="auto"/>
          </w:divBdr>
        </w:div>
        <w:div w:id="1486971604">
          <w:marLeft w:val="979"/>
          <w:marRight w:val="0"/>
          <w:marTop w:val="77"/>
          <w:marBottom w:val="0"/>
          <w:divBdr>
            <w:top w:val="none" w:sz="0" w:space="0" w:color="auto"/>
            <w:left w:val="none" w:sz="0" w:space="0" w:color="auto"/>
            <w:bottom w:val="none" w:sz="0" w:space="0" w:color="auto"/>
            <w:right w:val="none" w:sz="0" w:space="0" w:color="auto"/>
          </w:divBdr>
        </w:div>
        <w:div w:id="1486971634">
          <w:marLeft w:val="979"/>
          <w:marRight w:val="0"/>
          <w:marTop w:val="77"/>
          <w:marBottom w:val="0"/>
          <w:divBdr>
            <w:top w:val="none" w:sz="0" w:space="0" w:color="auto"/>
            <w:left w:val="none" w:sz="0" w:space="0" w:color="auto"/>
            <w:bottom w:val="none" w:sz="0" w:space="0" w:color="auto"/>
            <w:right w:val="none" w:sz="0" w:space="0" w:color="auto"/>
          </w:divBdr>
        </w:div>
        <w:div w:id="1486971903">
          <w:marLeft w:val="288"/>
          <w:marRight w:val="0"/>
          <w:marTop w:val="86"/>
          <w:marBottom w:val="0"/>
          <w:divBdr>
            <w:top w:val="none" w:sz="0" w:space="0" w:color="auto"/>
            <w:left w:val="none" w:sz="0" w:space="0" w:color="auto"/>
            <w:bottom w:val="none" w:sz="0" w:space="0" w:color="auto"/>
            <w:right w:val="none" w:sz="0" w:space="0" w:color="auto"/>
          </w:divBdr>
        </w:div>
      </w:divsChild>
    </w:div>
    <w:div w:id="1486971509">
      <w:marLeft w:val="0"/>
      <w:marRight w:val="0"/>
      <w:marTop w:val="0"/>
      <w:marBottom w:val="0"/>
      <w:divBdr>
        <w:top w:val="none" w:sz="0" w:space="0" w:color="auto"/>
        <w:left w:val="none" w:sz="0" w:space="0" w:color="auto"/>
        <w:bottom w:val="none" w:sz="0" w:space="0" w:color="auto"/>
        <w:right w:val="none" w:sz="0" w:space="0" w:color="auto"/>
      </w:divBdr>
    </w:div>
    <w:div w:id="1486971512">
      <w:marLeft w:val="0"/>
      <w:marRight w:val="0"/>
      <w:marTop w:val="0"/>
      <w:marBottom w:val="0"/>
      <w:divBdr>
        <w:top w:val="none" w:sz="0" w:space="0" w:color="auto"/>
        <w:left w:val="none" w:sz="0" w:space="0" w:color="auto"/>
        <w:bottom w:val="none" w:sz="0" w:space="0" w:color="auto"/>
        <w:right w:val="none" w:sz="0" w:space="0" w:color="auto"/>
      </w:divBdr>
    </w:div>
    <w:div w:id="1486971514">
      <w:marLeft w:val="0"/>
      <w:marRight w:val="0"/>
      <w:marTop w:val="0"/>
      <w:marBottom w:val="0"/>
      <w:divBdr>
        <w:top w:val="none" w:sz="0" w:space="0" w:color="auto"/>
        <w:left w:val="none" w:sz="0" w:space="0" w:color="auto"/>
        <w:bottom w:val="none" w:sz="0" w:space="0" w:color="auto"/>
        <w:right w:val="none" w:sz="0" w:space="0" w:color="auto"/>
      </w:divBdr>
    </w:div>
    <w:div w:id="1486971518">
      <w:marLeft w:val="0"/>
      <w:marRight w:val="0"/>
      <w:marTop w:val="0"/>
      <w:marBottom w:val="0"/>
      <w:divBdr>
        <w:top w:val="none" w:sz="0" w:space="0" w:color="auto"/>
        <w:left w:val="none" w:sz="0" w:space="0" w:color="auto"/>
        <w:bottom w:val="none" w:sz="0" w:space="0" w:color="auto"/>
        <w:right w:val="none" w:sz="0" w:space="0" w:color="auto"/>
      </w:divBdr>
      <w:divsChild>
        <w:div w:id="1486971459">
          <w:marLeft w:val="547"/>
          <w:marRight w:val="0"/>
          <w:marTop w:val="77"/>
          <w:marBottom w:val="0"/>
          <w:divBdr>
            <w:top w:val="none" w:sz="0" w:space="0" w:color="auto"/>
            <w:left w:val="none" w:sz="0" w:space="0" w:color="auto"/>
            <w:bottom w:val="none" w:sz="0" w:space="0" w:color="auto"/>
            <w:right w:val="none" w:sz="0" w:space="0" w:color="auto"/>
          </w:divBdr>
        </w:div>
        <w:div w:id="1486971511">
          <w:marLeft w:val="547"/>
          <w:marRight w:val="0"/>
          <w:marTop w:val="0"/>
          <w:marBottom w:val="40"/>
          <w:divBdr>
            <w:top w:val="none" w:sz="0" w:space="0" w:color="auto"/>
            <w:left w:val="none" w:sz="0" w:space="0" w:color="auto"/>
            <w:bottom w:val="none" w:sz="0" w:space="0" w:color="auto"/>
            <w:right w:val="none" w:sz="0" w:space="0" w:color="auto"/>
          </w:divBdr>
        </w:div>
        <w:div w:id="1486971515">
          <w:marLeft w:val="547"/>
          <w:marRight w:val="0"/>
          <w:marTop w:val="0"/>
          <w:marBottom w:val="40"/>
          <w:divBdr>
            <w:top w:val="none" w:sz="0" w:space="0" w:color="auto"/>
            <w:left w:val="none" w:sz="0" w:space="0" w:color="auto"/>
            <w:bottom w:val="none" w:sz="0" w:space="0" w:color="auto"/>
            <w:right w:val="none" w:sz="0" w:space="0" w:color="auto"/>
          </w:divBdr>
        </w:div>
        <w:div w:id="1486971517">
          <w:marLeft w:val="547"/>
          <w:marRight w:val="0"/>
          <w:marTop w:val="0"/>
          <w:marBottom w:val="40"/>
          <w:divBdr>
            <w:top w:val="none" w:sz="0" w:space="0" w:color="auto"/>
            <w:left w:val="none" w:sz="0" w:space="0" w:color="auto"/>
            <w:bottom w:val="none" w:sz="0" w:space="0" w:color="auto"/>
            <w:right w:val="none" w:sz="0" w:space="0" w:color="auto"/>
          </w:divBdr>
        </w:div>
        <w:div w:id="1486971520">
          <w:marLeft w:val="547"/>
          <w:marRight w:val="0"/>
          <w:marTop w:val="0"/>
          <w:marBottom w:val="40"/>
          <w:divBdr>
            <w:top w:val="none" w:sz="0" w:space="0" w:color="auto"/>
            <w:left w:val="none" w:sz="0" w:space="0" w:color="auto"/>
            <w:bottom w:val="none" w:sz="0" w:space="0" w:color="auto"/>
            <w:right w:val="none" w:sz="0" w:space="0" w:color="auto"/>
          </w:divBdr>
        </w:div>
        <w:div w:id="1486971527">
          <w:marLeft w:val="547"/>
          <w:marRight w:val="0"/>
          <w:marTop w:val="0"/>
          <w:marBottom w:val="40"/>
          <w:divBdr>
            <w:top w:val="none" w:sz="0" w:space="0" w:color="auto"/>
            <w:left w:val="none" w:sz="0" w:space="0" w:color="auto"/>
            <w:bottom w:val="none" w:sz="0" w:space="0" w:color="auto"/>
            <w:right w:val="none" w:sz="0" w:space="0" w:color="auto"/>
          </w:divBdr>
        </w:div>
        <w:div w:id="1486971539">
          <w:marLeft w:val="547"/>
          <w:marRight w:val="0"/>
          <w:marTop w:val="77"/>
          <w:marBottom w:val="0"/>
          <w:divBdr>
            <w:top w:val="none" w:sz="0" w:space="0" w:color="auto"/>
            <w:left w:val="none" w:sz="0" w:space="0" w:color="auto"/>
            <w:bottom w:val="none" w:sz="0" w:space="0" w:color="auto"/>
            <w:right w:val="none" w:sz="0" w:space="0" w:color="auto"/>
          </w:divBdr>
        </w:div>
        <w:div w:id="1486971555">
          <w:marLeft w:val="547"/>
          <w:marRight w:val="0"/>
          <w:marTop w:val="0"/>
          <w:marBottom w:val="40"/>
          <w:divBdr>
            <w:top w:val="none" w:sz="0" w:space="0" w:color="auto"/>
            <w:left w:val="none" w:sz="0" w:space="0" w:color="auto"/>
            <w:bottom w:val="none" w:sz="0" w:space="0" w:color="auto"/>
            <w:right w:val="none" w:sz="0" w:space="0" w:color="auto"/>
          </w:divBdr>
        </w:div>
        <w:div w:id="1486971589">
          <w:marLeft w:val="547"/>
          <w:marRight w:val="0"/>
          <w:marTop w:val="0"/>
          <w:marBottom w:val="40"/>
          <w:divBdr>
            <w:top w:val="none" w:sz="0" w:space="0" w:color="auto"/>
            <w:left w:val="none" w:sz="0" w:space="0" w:color="auto"/>
            <w:bottom w:val="none" w:sz="0" w:space="0" w:color="auto"/>
            <w:right w:val="none" w:sz="0" w:space="0" w:color="auto"/>
          </w:divBdr>
        </w:div>
        <w:div w:id="1486971598">
          <w:marLeft w:val="547"/>
          <w:marRight w:val="0"/>
          <w:marTop w:val="0"/>
          <w:marBottom w:val="40"/>
          <w:divBdr>
            <w:top w:val="none" w:sz="0" w:space="0" w:color="auto"/>
            <w:left w:val="none" w:sz="0" w:space="0" w:color="auto"/>
            <w:bottom w:val="none" w:sz="0" w:space="0" w:color="auto"/>
            <w:right w:val="none" w:sz="0" w:space="0" w:color="auto"/>
          </w:divBdr>
        </w:div>
        <w:div w:id="1486971904">
          <w:marLeft w:val="547"/>
          <w:marRight w:val="0"/>
          <w:marTop w:val="0"/>
          <w:marBottom w:val="40"/>
          <w:divBdr>
            <w:top w:val="none" w:sz="0" w:space="0" w:color="auto"/>
            <w:left w:val="none" w:sz="0" w:space="0" w:color="auto"/>
            <w:bottom w:val="none" w:sz="0" w:space="0" w:color="auto"/>
            <w:right w:val="none" w:sz="0" w:space="0" w:color="auto"/>
          </w:divBdr>
        </w:div>
        <w:div w:id="1486971906">
          <w:marLeft w:val="547"/>
          <w:marRight w:val="0"/>
          <w:marTop w:val="77"/>
          <w:marBottom w:val="0"/>
          <w:divBdr>
            <w:top w:val="none" w:sz="0" w:space="0" w:color="auto"/>
            <w:left w:val="none" w:sz="0" w:space="0" w:color="auto"/>
            <w:bottom w:val="none" w:sz="0" w:space="0" w:color="auto"/>
            <w:right w:val="none" w:sz="0" w:space="0" w:color="auto"/>
          </w:divBdr>
        </w:div>
      </w:divsChild>
    </w:div>
    <w:div w:id="1486971521">
      <w:marLeft w:val="0"/>
      <w:marRight w:val="0"/>
      <w:marTop w:val="0"/>
      <w:marBottom w:val="0"/>
      <w:divBdr>
        <w:top w:val="none" w:sz="0" w:space="0" w:color="auto"/>
        <w:left w:val="none" w:sz="0" w:space="0" w:color="auto"/>
        <w:bottom w:val="none" w:sz="0" w:space="0" w:color="auto"/>
        <w:right w:val="none" w:sz="0" w:space="0" w:color="auto"/>
      </w:divBdr>
    </w:div>
    <w:div w:id="1486971523">
      <w:marLeft w:val="0"/>
      <w:marRight w:val="0"/>
      <w:marTop w:val="0"/>
      <w:marBottom w:val="0"/>
      <w:divBdr>
        <w:top w:val="none" w:sz="0" w:space="0" w:color="auto"/>
        <w:left w:val="none" w:sz="0" w:space="0" w:color="auto"/>
        <w:bottom w:val="none" w:sz="0" w:space="0" w:color="auto"/>
        <w:right w:val="none" w:sz="0" w:space="0" w:color="auto"/>
      </w:divBdr>
    </w:div>
    <w:div w:id="1486971524">
      <w:marLeft w:val="0"/>
      <w:marRight w:val="0"/>
      <w:marTop w:val="0"/>
      <w:marBottom w:val="0"/>
      <w:divBdr>
        <w:top w:val="none" w:sz="0" w:space="0" w:color="auto"/>
        <w:left w:val="none" w:sz="0" w:space="0" w:color="auto"/>
        <w:bottom w:val="none" w:sz="0" w:space="0" w:color="auto"/>
        <w:right w:val="none" w:sz="0" w:space="0" w:color="auto"/>
      </w:divBdr>
    </w:div>
    <w:div w:id="1486971526">
      <w:marLeft w:val="0"/>
      <w:marRight w:val="0"/>
      <w:marTop w:val="0"/>
      <w:marBottom w:val="0"/>
      <w:divBdr>
        <w:top w:val="none" w:sz="0" w:space="0" w:color="auto"/>
        <w:left w:val="none" w:sz="0" w:space="0" w:color="auto"/>
        <w:bottom w:val="none" w:sz="0" w:space="0" w:color="auto"/>
        <w:right w:val="none" w:sz="0" w:space="0" w:color="auto"/>
      </w:divBdr>
    </w:div>
    <w:div w:id="1486971529">
      <w:marLeft w:val="0"/>
      <w:marRight w:val="0"/>
      <w:marTop w:val="0"/>
      <w:marBottom w:val="0"/>
      <w:divBdr>
        <w:top w:val="none" w:sz="0" w:space="0" w:color="auto"/>
        <w:left w:val="none" w:sz="0" w:space="0" w:color="auto"/>
        <w:bottom w:val="none" w:sz="0" w:space="0" w:color="auto"/>
        <w:right w:val="none" w:sz="0" w:space="0" w:color="auto"/>
      </w:divBdr>
    </w:div>
    <w:div w:id="1486971531">
      <w:marLeft w:val="0"/>
      <w:marRight w:val="0"/>
      <w:marTop w:val="0"/>
      <w:marBottom w:val="0"/>
      <w:divBdr>
        <w:top w:val="none" w:sz="0" w:space="0" w:color="auto"/>
        <w:left w:val="none" w:sz="0" w:space="0" w:color="auto"/>
        <w:bottom w:val="none" w:sz="0" w:space="0" w:color="auto"/>
        <w:right w:val="none" w:sz="0" w:space="0" w:color="auto"/>
      </w:divBdr>
    </w:div>
    <w:div w:id="1486971533">
      <w:marLeft w:val="0"/>
      <w:marRight w:val="0"/>
      <w:marTop w:val="0"/>
      <w:marBottom w:val="0"/>
      <w:divBdr>
        <w:top w:val="none" w:sz="0" w:space="0" w:color="auto"/>
        <w:left w:val="none" w:sz="0" w:space="0" w:color="auto"/>
        <w:bottom w:val="none" w:sz="0" w:space="0" w:color="auto"/>
        <w:right w:val="none" w:sz="0" w:space="0" w:color="auto"/>
      </w:divBdr>
      <w:divsChild>
        <w:div w:id="1486971462">
          <w:marLeft w:val="547"/>
          <w:marRight w:val="0"/>
          <w:marTop w:val="96"/>
          <w:marBottom w:val="0"/>
          <w:divBdr>
            <w:top w:val="none" w:sz="0" w:space="0" w:color="auto"/>
            <w:left w:val="none" w:sz="0" w:space="0" w:color="auto"/>
            <w:bottom w:val="none" w:sz="0" w:space="0" w:color="auto"/>
            <w:right w:val="none" w:sz="0" w:space="0" w:color="auto"/>
          </w:divBdr>
        </w:div>
        <w:div w:id="1486971530">
          <w:marLeft w:val="547"/>
          <w:marRight w:val="0"/>
          <w:marTop w:val="96"/>
          <w:marBottom w:val="0"/>
          <w:divBdr>
            <w:top w:val="none" w:sz="0" w:space="0" w:color="auto"/>
            <w:left w:val="none" w:sz="0" w:space="0" w:color="auto"/>
            <w:bottom w:val="none" w:sz="0" w:space="0" w:color="auto"/>
            <w:right w:val="none" w:sz="0" w:space="0" w:color="auto"/>
          </w:divBdr>
        </w:div>
        <w:div w:id="1486971535">
          <w:marLeft w:val="547"/>
          <w:marRight w:val="0"/>
          <w:marTop w:val="96"/>
          <w:marBottom w:val="0"/>
          <w:divBdr>
            <w:top w:val="none" w:sz="0" w:space="0" w:color="auto"/>
            <w:left w:val="none" w:sz="0" w:space="0" w:color="auto"/>
            <w:bottom w:val="none" w:sz="0" w:space="0" w:color="auto"/>
            <w:right w:val="none" w:sz="0" w:space="0" w:color="auto"/>
          </w:divBdr>
        </w:div>
        <w:div w:id="1486971556">
          <w:marLeft w:val="547"/>
          <w:marRight w:val="0"/>
          <w:marTop w:val="96"/>
          <w:marBottom w:val="0"/>
          <w:divBdr>
            <w:top w:val="none" w:sz="0" w:space="0" w:color="auto"/>
            <w:left w:val="none" w:sz="0" w:space="0" w:color="auto"/>
            <w:bottom w:val="none" w:sz="0" w:space="0" w:color="auto"/>
            <w:right w:val="none" w:sz="0" w:space="0" w:color="auto"/>
          </w:divBdr>
        </w:div>
        <w:div w:id="1486971595">
          <w:marLeft w:val="547"/>
          <w:marRight w:val="0"/>
          <w:marTop w:val="96"/>
          <w:marBottom w:val="0"/>
          <w:divBdr>
            <w:top w:val="none" w:sz="0" w:space="0" w:color="auto"/>
            <w:left w:val="none" w:sz="0" w:space="0" w:color="auto"/>
            <w:bottom w:val="none" w:sz="0" w:space="0" w:color="auto"/>
            <w:right w:val="none" w:sz="0" w:space="0" w:color="auto"/>
          </w:divBdr>
        </w:div>
        <w:div w:id="1486971639">
          <w:marLeft w:val="547"/>
          <w:marRight w:val="0"/>
          <w:marTop w:val="96"/>
          <w:marBottom w:val="0"/>
          <w:divBdr>
            <w:top w:val="none" w:sz="0" w:space="0" w:color="auto"/>
            <w:left w:val="none" w:sz="0" w:space="0" w:color="auto"/>
            <w:bottom w:val="none" w:sz="0" w:space="0" w:color="auto"/>
            <w:right w:val="none" w:sz="0" w:space="0" w:color="auto"/>
          </w:divBdr>
        </w:div>
      </w:divsChild>
    </w:div>
    <w:div w:id="1486971537">
      <w:marLeft w:val="0"/>
      <w:marRight w:val="0"/>
      <w:marTop w:val="0"/>
      <w:marBottom w:val="0"/>
      <w:divBdr>
        <w:top w:val="none" w:sz="0" w:space="0" w:color="auto"/>
        <w:left w:val="none" w:sz="0" w:space="0" w:color="auto"/>
        <w:bottom w:val="none" w:sz="0" w:space="0" w:color="auto"/>
        <w:right w:val="none" w:sz="0" w:space="0" w:color="auto"/>
      </w:divBdr>
    </w:div>
    <w:div w:id="1486971538">
      <w:marLeft w:val="0"/>
      <w:marRight w:val="0"/>
      <w:marTop w:val="0"/>
      <w:marBottom w:val="0"/>
      <w:divBdr>
        <w:top w:val="none" w:sz="0" w:space="0" w:color="auto"/>
        <w:left w:val="none" w:sz="0" w:space="0" w:color="auto"/>
        <w:bottom w:val="none" w:sz="0" w:space="0" w:color="auto"/>
        <w:right w:val="none" w:sz="0" w:space="0" w:color="auto"/>
      </w:divBdr>
    </w:div>
    <w:div w:id="1486971540">
      <w:marLeft w:val="0"/>
      <w:marRight w:val="0"/>
      <w:marTop w:val="0"/>
      <w:marBottom w:val="0"/>
      <w:divBdr>
        <w:top w:val="none" w:sz="0" w:space="0" w:color="auto"/>
        <w:left w:val="none" w:sz="0" w:space="0" w:color="auto"/>
        <w:bottom w:val="none" w:sz="0" w:space="0" w:color="auto"/>
        <w:right w:val="none" w:sz="0" w:space="0" w:color="auto"/>
      </w:divBdr>
    </w:div>
    <w:div w:id="1486971541">
      <w:marLeft w:val="0"/>
      <w:marRight w:val="0"/>
      <w:marTop w:val="0"/>
      <w:marBottom w:val="0"/>
      <w:divBdr>
        <w:top w:val="none" w:sz="0" w:space="0" w:color="auto"/>
        <w:left w:val="none" w:sz="0" w:space="0" w:color="auto"/>
        <w:bottom w:val="none" w:sz="0" w:space="0" w:color="auto"/>
        <w:right w:val="none" w:sz="0" w:space="0" w:color="auto"/>
      </w:divBdr>
    </w:div>
    <w:div w:id="1486971543">
      <w:marLeft w:val="0"/>
      <w:marRight w:val="0"/>
      <w:marTop w:val="0"/>
      <w:marBottom w:val="0"/>
      <w:divBdr>
        <w:top w:val="none" w:sz="0" w:space="0" w:color="auto"/>
        <w:left w:val="none" w:sz="0" w:space="0" w:color="auto"/>
        <w:bottom w:val="none" w:sz="0" w:space="0" w:color="auto"/>
        <w:right w:val="none" w:sz="0" w:space="0" w:color="auto"/>
      </w:divBdr>
      <w:divsChild>
        <w:div w:id="1486971565">
          <w:marLeft w:val="1166"/>
          <w:marRight w:val="0"/>
          <w:marTop w:val="77"/>
          <w:marBottom w:val="0"/>
          <w:divBdr>
            <w:top w:val="none" w:sz="0" w:space="0" w:color="auto"/>
            <w:left w:val="none" w:sz="0" w:space="0" w:color="auto"/>
            <w:bottom w:val="none" w:sz="0" w:space="0" w:color="auto"/>
            <w:right w:val="none" w:sz="0" w:space="0" w:color="auto"/>
          </w:divBdr>
        </w:div>
        <w:div w:id="1486971570">
          <w:marLeft w:val="1166"/>
          <w:marRight w:val="0"/>
          <w:marTop w:val="77"/>
          <w:marBottom w:val="0"/>
          <w:divBdr>
            <w:top w:val="none" w:sz="0" w:space="0" w:color="auto"/>
            <w:left w:val="none" w:sz="0" w:space="0" w:color="auto"/>
            <w:bottom w:val="none" w:sz="0" w:space="0" w:color="auto"/>
            <w:right w:val="none" w:sz="0" w:space="0" w:color="auto"/>
          </w:divBdr>
        </w:div>
      </w:divsChild>
    </w:div>
    <w:div w:id="1486971546">
      <w:marLeft w:val="0"/>
      <w:marRight w:val="0"/>
      <w:marTop w:val="0"/>
      <w:marBottom w:val="0"/>
      <w:divBdr>
        <w:top w:val="none" w:sz="0" w:space="0" w:color="auto"/>
        <w:left w:val="none" w:sz="0" w:space="0" w:color="auto"/>
        <w:bottom w:val="none" w:sz="0" w:space="0" w:color="auto"/>
        <w:right w:val="none" w:sz="0" w:space="0" w:color="auto"/>
      </w:divBdr>
    </w:div>
    <w:div w:id="1486971547">
      <w:marLeft w:val="0"/>
      <w:marRight w:val="0"/>
      <w:marTop w:val="0"/>
      <w:marBottom w:val="0"/>
      <w:divBdr>
        <w:top w:val="none" w:sz="0" w:space="0" w:color="auto"/>
        <w:left w:val="none" w:sz="0" w:space="0" w:color="auto"/>
        <w:bottom w:val="none" w:sz="0" w:space="0" w:color="auto"/>
        <w:right w:val="none" w:sz="0" w:space="0" w:color="auto"/>
      </w:divBdr>
    </w:div>
    <w:div w:id="1486971550">
      <w:marLeft w:val="0"/>
      <w:marRight w:val="0"/>
      <w:marTop w:val="0"/>
      <w:marBottom w:val="0"/>
      <w:divBdr>
        <w:top w:val="none" w:sz="0" w:space="0" w:color="auto"/>
        <w:left w:val="none" w:sz="0" w:space="0" w:color="auto"/>
        <w:bottom w:val="none" w:sz="0" w:space="0" w:color="auto"/>
        <w:right w:val="none" w:sz="0" w:space="0" w:color="auto"/>
      </w:divBdr>
    </w:div>
    <w:div w:id="1486971552">
      <w:marLeft w:val="0"/>
      <w:marRight w:val="0"/>
      <w:marTop w:val="0"/>
      <w:marBottom w:val="0"/>
      <w:divBdr>
        <w:top w:val="none" w:sz="0" w:space="0" w:color="auto"/>
        <w:left w:val="none" w:sz="0" w:space="0" w:color="auto"/>
        <w:bottom w:val="none" w:sz="0" w:space="0" w:color="auto"/>
        <w:right w:val="none" w:sz="0" w:space="0" w:color="auto"/>
      </w:divBdr>
    </w:div>
    <w:div w:id="1486971557">
      <w:marLeft w:val="0"/>
      <w:marRight w:val="0"/>
      <w:marTop w:val="0"/>
      <w:marBottom w:val="0"/>
      <w:divBdr>
        <w:top w:val="none" w:sz="0" w:space="0" w:color="auto"/>
        <w:left w:val="none" w:sz="0" w:space="0" w:color="auto"/>
        <w:bottom w:val="none" w:sz="0" w:space="0" w:color="auto"/>
        <w:right w:val="none" w:sz="0" w:space="0" w:color="auto"/>
      </w:divBdr>
    </w:div>
    <w:div w:id="1486971559">
      <w:marLeft w:val="0"/>
      <w:marRight w:val="0"/>
      <w:marTop w:val="0"/>
      <w:marBottom w:val="0"/>
      <w:divBdr>
        <w:top w:val="none" w:sz="0" w:space="0" w:color="auto"/>
        <w:left w:val="none" w:sz="0" w:space="0" w:color="auto"/>
        <w:bottom w:val="none" w:sz="0" w:space="0" w:color="auto"/>
        <w:right w:val="none" w:sz="0" w:space="0" w:color="auto"/>
      </w:divBdr>
      <w:divsChild>
        <w:div w:id="1486971475">
          <w:marLeft w:val="1166"/>
          <w:marRight w:val="0"/>
          <w:marTop w:val="96"/>
          <w:marBottom w:val="0"/>
          <w:divBdr>
            <w:top w:val="none" w:sz="0" w:space="0" w:color="auto"/>
            <w:left w:val="none" w:sz="0" w:space="0" w:color="auto"/>
            <w:bottom w:val="none" w:sz="0" w:space="0" w:color="auto"/>
            <w:right w:val="none" w:sz="0" w:space="0" w:color="auto"/>
          </w:divBdr>
        </w:div>
        <w:div w:id="1486971506">
          <w:marLeft w:val="1166"/>
          <w:marRight w:val="0"/>
          <w:marTop w:val="96"/>
          <w:marBottom w:val="0"/>
          <w:divBdr>
            <w:top w:val="none" w:sz="0" w:space="0" w:color="auto"/>
            <w:left w:val="none" w:sz="0" w:space="0" w:color="auto"/>
            <w:bottom w:val="none" w:sz="0" w:space="0" w:color="auto"/>
            <w:right w:val="none" w:sz="0" w:space="0" w:color="auto"/>
          </w:divBdr>
        </w:div>
        <w:div w:id="1486971513">
          <w:marLeft w:val="1166"/>
          <w:marRight w:val="0"/>
          <w:marTop w:val="96"/>
          <w:marBottom w:val="0"/>
          <w:divBdr>
            <w:top w:val="none" w:sz="0" w:space="0" w:color="auto"/>
            <w:left w:val="none" w:sz="0" w:space="0" w:color="auto"/>
            <w:bottom w:val="none" w:sz="0" w:space="0" w:color="auto"/>
            <w:right w:val="none" w:sz="0" w:space="0" w:color="auto"/>
          </w:divBdr>
        </w:div>
        <w:div w:id="1486971522">
          <w:marLeft w:val="1166"/>
          <w:marRight w:val="0"/>
          <w:marTop w:val="96"/>
          <w:marBottom w:val="0"/>
          <w:divBdr>
            <w:top w:val="none" w:sz="0" w:space="0" w:color="auto"/>
            <w:left w:val="none" w:sz="0" w:space="0" w:color="auto"/>
            <w:bottom w:val="none" w:sz="0" w:space="0" w:color="auto"/>
            <w:right w:val="none" w:sz="0" w:space="0" w:color="auto"/>
          </w:divBdr>
        </w:div>
        <w:div w:id="1486971615">
          <w:marLeft w:val="1166"/>
          <w:marRight w:val="0"/>
          <w:marTop w:val="96"/>
          <w:marBottom w:val="0"/>
          <w:divBdr>
            <w:top w:val="none" w:sz="0" w:space="0" w:color="auto"/>
            <w:left w:val="none" w:sz="0" w:space="0" w:color="auto"/>
            <w:bottom w:val="none" w:sz="0" w:space="0" w:color="auto"/>
            <w:right w:val="none" w:sz="0" w:space="0" w:color="auto"/>
          </w:divBdr>
        </w:div>
      </w:divsChild>
    </w:div>
    <w:div w:id="1486971560">
      <w:marLeft w:val="0"/>
      <w:marRight w:val="0"/>
      <w:marTop w:val="0"/>
      <w:marBottom w:val="0"/>
      <w:divBdr>
        <w:top w:val="none" w:sz="0" w:space="0" w:color="auto"/>
        <w:left w:val="none" w:sz="0" w:space="0" w:color="auto"/>
        <w:bottom w:val="none" w:sz="0" w:space="0" w:color="auto"/>
        <w:right w:val="none" w:sz="0" w:space="0" w:color="auto"/>
      </w:divBdr>
    </w:div>
    <w:div w:id="1486971561">
      <w:marLeft w:val="0"/>
      <w:marRight w:val="0"/>
      <w:marTop w:val="0"/>
      <w:marBottom w:val="0"/>
      <w:divBdr>
        <w:top w:val="none" w:sz="0" w:space="0" w:color="auto"/>
        <w:left w:val="none" w:sz="0" w:space="0" w:color="auto"/>
        <w:bottom w:val="none" w:sz="0" w:space="0" w:color="auto"/>
        <w:right w:val="none" w:sz="0" w:space="0" w:color="auto"/>
      </w:divBdr>
    </w:div>
    <w:div w:id="1486971562">
      <w:marLeft w:val="0"/>
      <w:marRight w:val="0"/>
      <w:marTop w:val="0"/>
      <w:marBottom w:val="0"/>
      <w:divBdr>
        <w:top w:val="none" w:sz="0" w:space="0" w:color="auto"/>
        <w:left w:val="none" w:sz="0" w:space="0" w:color="auto"/>
        <w:bottom w:val="none" w:sz="0" w:space="0" w:color="auto"/>
        <w:right w:val="none" w:sz="0" w:space="0" w:color="auto"/>
      </w:divBdr>
    </w:div>
    <w:div w:id="1486971566">
      <w:marLeft w:val="0"/>
      <w:marRight w:val="0"/>
      <w:marTop w:val="0"/>
      <w:marBottom w:val="0"/>
      <w:divBdr>
        <w:top w:val="none" w:sz="0" w:space="0" w:color="auto"/>
        <w:left w:val="none" w:sz="0" w:space="0" w:color="auto"/>
        <w:bottom w:val="none" w:sz="0" w:space="0" w:color="auto"/>
        <w:right w:val="none" w:sz="0" w:space="0" w:color="auto"/>
      </w:divBdr>
      <w:divsChild>
        <w:div w:id="1486971441">
          <w:marLeft w:val="547"/>
          <w:marRight w:val="0"/>
          <w:marTop w:val="96"/>
          <w:marBottom w:val="120"/>
          <w:divBdr>
            <w:top w:val="none" w:sz="0" w:space="0" w:color="auto"/>
            <w:left w:val="none" w:sz="0" w:space="0" w:color="auto"/>
            <w:bottom w:val="none" w:sz="0" w:space="0" w:color="auto"/>
            <w:right w:val="none" w:sz="0" w:space="0" w:color="auto"/>
          </w:divBdr>
        </w:div>
        <w:div w:id="1486971477">
          <w:marLeft w:val="547"/>
          <w:marRight w:val="0"/>
          <w:marTop w:val="96"/>
          <w:marBottom w:val="120"/>
          <w:divBdr>
            <w:top w:val="none" w:sz="0" w:space="0" w:color="auto"/>
            <w:left w:val="none" w:sz="0" w:space="0" w:color="auto"/>
            <w:bottom w:val="none" w:sz="0" w:space="0" w:color="auto"/>
            <w:right w:val="none" w:sz="0" w:space="0" w:color="auto"/>
          </w:divBdr>
        </w:div>
        <w:div w:id="1486971483">
          <w:marLeft w:val="547"/>
          <w:marRight w:val="0"/>
          <w:marTop w:val="96"/>
          <w:marBottom w:val="120"/>
          <w:divBdr>
            <w:top w:val="none" w:sz="0" w:space="0" w:color="auto"/>
            <w:left w:val="none" w:sz="0" w:space="0" w:color="auto"/>
            <w:bottom w:val="none" w:sz="0" w:space="0" w:color="auto"/>
            <w:right w:val="none" w:sz="0" w:space="0" w:color="auto"/>
          </w:divBdr>
        </w:div>
        <w:div w:id="1486971484">
          <w:marLeft w:val="547"/>
          <w:marRight w:val="0"/>
          <w:marTop w:val="96"/>
          <w:marBottom w:val="120"/>
          <w:divBdr>
            <w:top w:val="none" w:sz="0" w:space="0" w:color="auto"/>
            <w:left w:val="none" w:sz="0" w:space="0" w:color="auto"/>
            <w:bottom w:val="none" w:sz="0" w:space="0" w:color="auto"/>
            <w:right w:val="none" w:sz="0" w:space="0" w:color="auto"/>
          </w:divBdr>
        </w:div>
        <w:div w:id="1486971493">
          <w:marLeft w:val="547"/>
          <w:marRight w:val="0"/>
          <w:marTop w:val="96"/>
          <w:marBottom w:val="120"/>
          <w:divBdr>
            <w:top w:val="none" w:sz="0" w:space="0" w:color="auto"/>
            <w:left w:val="none" w:sz="0" w:space="0" w:color="auto"/>
            <w:bottom w:val="none" w:sz="0" w:space="0" w:color="auto"/>
            <w:right w:val="none" w:sz="0" w:space="0" w:color="auto"/>
          </w:divBdr>
        </w:div>
        <w:div w:id="1486971508">
          <w:marLeft w:val="547"/>
          <w:marRight w:val="0"/>
          <w:marTop w:val="96"/>
          <w:marBottom w:val="120"/>
          <w:divBdr>
            <w:top w:val="none" w:sz="0" w:space="0" w:color="auto"/>
            <w:left w:val="none" w:sz="0" w:space="0" w:color="auto"/>
            <w:bottom w:val="none" w:sz="0" w:space="0" w:color="auto"/>
            <w:right w:val="none" w:sz="0" w:space="0" w:color="auto"/>
          </w:divBdr>
        </w:div>
        <w:div w:id="1486971617">
          <w:marLeft w:val="547"/>
          <w:marRight w:val="0"/>
          <w:marTop w:val="96"/>
          <w:marBottom w:val="120"/>
          <w:divBdr>
            <w:top w:val="none" w:sz="0" w:space="0" w:color="auto"/>
            <w:left w:val="none" w:sz="0" w:space="0" w:color="auto"/>
            <w:bottom w:val="none" w:sz="0" w:space="0" w:color="auto"/>
            <w:right w:val="none" w:sz="0" w:space="0" w:color="auto"/>
          </w:divBdr>
        </w:div>
      </w:divsChild>
    </w:div>
    <w:div w:id="1486971568">
      <w:marLeft w:val="0"/>
      <w:marRight w:val="0"/>
      <w:marTop w:val="0"/>
      <w:marBottom w:val="0"/>
      <w:divBdr>
        <w:top w:val="none" w:sz="0" w:space="0" w:color="auto"/>
        <w:left w:val="none" w:sz="0" w:space="0" w:color="auto"/>
        <w:bottom w:val="none" w:sz="0" w:space="0" w:color="auto"/>
        <w:right w:val="none" w:sz="0" w:space="0" w:color="auto"/>
      </w:divBdr>
      <w:divsChild>
        <w:div w:id="1486971466">
          <w:marLeft w:val="1166"/>
          <w:marRight w:val="0"/>
          <w:marTop w:val="96"/>
          <w:marBottom w:val="0"/>
          <w:divBdr>
            <w:top w:val="none" w:sz="0" w:space="0" w:color="auto"/>
            <w:left w:val="none" w:sz="0" w:space="0" w:color="auto"/>
            <w:bottom w:val="none" w:sz="0" w:space="0" w:color="auto"/>
            <w:right w:val="none" w:sz="0" w:space="0" w:color="auto"/>
          </w:divBdr>
        </w:div>
        <w:div w:id="1486971487">
          <w:marLeft w:val="1166"/>
          <w:marRight w:val="0"/>
          <w:marTop w:val="96"/>
          <w:marBottom w:val="0"/>
          <w:divBdr>
            <w:top w:val="none" w:sz="0" w:space="0" w:color="auto"/>
            <w:left w:val="none" w:sz="0" w:space="0" w:color="auto"/>
            <w:bottom w:val="none" w:sz="0" w:space="0" w:color="auto"/>
            <w:right w:val="none" w:sz="0" w:space="0" w:color="auto"/>
          </w:divBdr>
        </w:div>
        <w:div w:id="1486971510">
          <w:marLeft w:val="1166"/>
          <w:marRight w:val="0"/>
          <w:marTop w:val="96"/>
          <w:marBottom w:val="0"/>
          <w:divBdr>
            <w:top w:val="none" w:sz="0" w:space="0" w:color="auto"/>
            <w:left w:val="none" w:sz="0" w:space="0" w:color="auto"/>
            <w:bottom w:val="none" w:sz="0" w:space="0" w:color="auto"/>
            <w:right w:val="none" w:sz="0" w:space="0" w:color="auto"/>
          </w:divBdr>
        </w:div>
        <w:div w:id="1486971534">
          <w:marLeft w:val="1166"/>
          <w:marRight w:val="0"/>
          <w:marTop w:val="96"/>
          <w:marBottom w:val="0"/>
          <w:divBdr>
            <w:top w:val="none" w:sz="0" w:space="0" w:color="auto"/>
            <w:left w:val="none" w:sz="0" w:space="0" w:color="auto"/>
            <w:bottom w:val="none" w:sz="0" w:space="0" w:color="auto"/>
            <w:right w:val="none" w:sz="0" w:space="0" w:color="auto"/>
          </w:divBdr>
        </w:div>
        <w:div w:id="1486971607">
          <w:marLeft w:val="1166"/>
          <w:marRight w:val="0"/>
          <w:marTop w:val="96"/>
          <w:marBottom w:val="0"/>
          <w:divBdr>
            <w:top w:val="none" w:sz="0" w:space="0" w:color="auto"/>
            <w:left w:val="none" w:sz="0" w:space="0" w:color="auto"/>
            <w:bottom w:val="none" w:sz="0" w:space="0" w:color="auto"/>
            <w:right w:val="none" w:sz="0" w:space="0" w:color="auto"/>
          </w:divBdr>
        </w:div>
      </w:divsChild>
    </w:div>
    <w:div w:id="1486971571">
      <w:marLeft w:val="0"/>
      <w:marRight w:val="0"/>
      <w:marTop w:val="0"/>
      <w:marBottom w:val="0"/>
      <w:divBdr>
        <w:top w:val="none" w:sz="0" w:space="0" w:color="auto"/>
        <w:left w:val="none" w:sz="0" w:space="0" w:color="auto"/>
        <w:bottom w:val="none" w:sz="0" w:space="0" w:color="auto"/>
        <w:right w:val="none" w:sz="0" w:space="0" w:color="auto"/>
      </w:divBdr>
    </w:div>
    <w:div w:id="1486971573">
      <w:marLeft w:val="0"/>
      <w:marRight w:val="0"/>
      <w:marTop w:val="0"/>
      <w:marBottom w:val="0"/>
      <w:divBdr>
        <w:top w:val="none" w:sz="0" w:space="0" w:color="auto"/>
        <w:left w:val="none" w:sz="0" w:space="0" w:color="auto"/>
        <w:bottom w:val="none" w:sz="0" w:space="0" w:color="auto"/>
        <w:right w:val="none" w:sz="0" w:space="0" w:color="auto"/>
      </w:divBdr>
    </w:div>
    <w:div w:id="1486971574">
      <w:marLeft w:val="0"/>
      <w:marRight w:val="0"/>
      <w:marTop w:val="0"/>
      <w:marBottom w:val="0"/>
      <w:divBdr>
        <w:top w:val="none" w:sz="0" w:space="0" w:color="auto"/>
        <w:left w:val="none" w:sz="0" w:space="0" w:color="auto"/>
        <w:bottom w:val="none" w:sz="0" w:space="0" w:color="auto"/>
        <w:right w:val="none" w:sz="0" w:space="0" w:color="auto"/>
      </w:divBdr>
    </w:div>
    <w:div w:id="1486971575">
      <w:marLeft w:val="0"/>
      <w:marRight w:val="0"/>
      <w:marTop w:val="0"/>
      <w:marBottom w:val="0"/>
      <w:divBdr>
        <w:top w:val="none" w:sz="0" w:space="0" w:color="auto"/>
        <w:left w:val="none" w:sz="0" w:space="0" w:color="auto"/>
        <w:bottom w:val="none" w:sz="0" w:space="0" w:color="auto"/>
        <w:right w:val="none" w:sz="0" w:space="0" w:color="auto"/>
      </w:divBdr>
    </w:div>
    <w:div w:id="1486971579">
      <w:marLeft w:val="0"/>
      <w:marRight w:val="0"/>
      <w:marTop w:val="0"/>
      <w:marBottom w:val="0"/>
      <w:divBdr>
        <w:top w:val="none" w:sz="0" w:space="0" w:color="auto"/>
        <w:left w:val="none" w:sz="0" w:space="0" w:color="auto"/>
        <w:bottom w:val="none" w:sz="0" w:space="0" w:color="auto"/>
        <w:right w:val="none" w:sz="0" w:space="0" w:color="auto"/>
      </w:divBdr>
    </w:div>
    <w:div w:id="1486971580">
      <w:marLeft w:val="0"/>
      <w:marRight w:val="0"/>
      <w:marTop w:val="0"/>
      <w:marBottom w:val="0"/>
      <w:divBdr>
        <w:top w:val="none" w:sz="0" w:space="0" w:color="auto"/>
        <w:left w:val="none" w:sz="0" w:space="0" w:color="auto"/>
        <w:bottom w:val="none" w:sz="0" w:space="0" w:color="auto"/>
        <w:right w:val="none" w:sz="0" w:space="0" w:color="auto"/>
      </w:divBdr>
      <w:divsChild>
        <w:div w:id="1486971439">
          <w:marLeft w:val="288"/>
          <w:marRight w:val="0"/>
          <w:marTop w:val="160"/>
          <w:marBottom w:val="0"/>
          <w:divBdr>
            <w:top w:val="none" w:sz="0" w:space="0" w:color="auto"/>
            <w:left w:val="none" w:sz="0" w:space="0" w:color="auto"/>
            <w:bottom w:val="none" w:sz="0" w:space="0" w:color="auto"/>
            <w:right w:val="none" w:sz="0" w:space="0" w:color="auto"/>
          </w:divBdr>
        </w:div>
        <w:div w:id="1486971446">
          <w:marLeft w:val="288"/>
          <w:marRight w:val="0"/>
          <w:marTop w:val="160"/>
          <w:marBottom w:val="0"/>
          <w:divBdr>
            <w:top w:val="none" w:sz="0" w:space="0" w:color="auto"/>
            <w:left w:val="none" w:sz="0" w:space="0" w:color="auto"/>
            <w:bottom w:val="none" w:sz="0" w:space="0" w:color="auto"/>
            <w:right w:val="none" w:sz="0" w:space="0" w:color="auto"/>
          </w:divBdr>
        </w:div>
        <w:div w:id="1486971450">
          <w:marLeft w:val="979"/>
          <w:marRight w:val="0"/>
          <w:marTop w:val="77"/>
          <w:marBottom w:val="0"/>
          <w:divBdr>
            <w:top w:val="none" w:sz="0" w:space="0" w:color="auto"/>
            <w:left w:val="none" w:sz="0" w:space="0" w:color="auto"/>
            <w:bottom w:val="none" w:sz="0" w:space="0" w:color="auto"/>
            <w:right w:val="none" w:sz="0" w:space="0" w:color="auto"/>
          </w:divBdr>
        </w:div>
        <w:div w:id="1486971461">
          <w:marLeft w:val="288"/>
          <w:marRight w:val="0"/>
          <w:marTop w:val="86"/>
          <w:marBottom w:val="0"/>
          <w:divBdr>
            <w:top w:val="none" w:sz="0" w:space="0" w:color="auto"/>
            <w:left w:val="none" w:sz="0" w:space="0" w:color="auto"/>
            <w:bottom w:val="none" w:sz="0" w:space="0" w:color="auto"/>
            <w:right w:val="none" w:sz="0" w:space="0" w:color="auto"/>
          </w:divBdr>
        </w:div>
        <w:div w:id="1486971495">
          <w:marLeft w:val="979"/>
          <w:marRight w:val="0"/>
          <w:marTop w:val="77"/>
          <w:marBottom w:val="0"/>
          <w:divBdr>
            <w:top w:val="none" w:sz="0" w:space="0" w:color="auto"/>
            <w:left w:val="none" w:sz="0" w:space="0" w:color="auto"/>
            <w:bottom w:val="none" w:sz="0" w:space="0" w:color="auto"/>
            <w:right w:val="none" w:sz="0" w:space="0" w:color="auto"/>
          </w:divBdr>
        </w:div>
        <w:div w:id="1486971499">
          <w:marLeft w:val="979"/>
          <w:marRight w:val="0"/>
          <w:marTop w:val="77"/>
          <w:marBottom w:val="0"/>
          <w:divBdr>
            <w:top w:val="none" w:sz="0" w:space="0" w:color="auto"/>
            <w:left w:val="none" w:sz="0" w:space="0" w:color="auto"/>
            <w:bottom w:val="none" w:sz="0" w:space="0" w:color="auto"/>
            <w:right w:val="none" w:sz="0" w:space="0" w:color="auto"/>
          </w:divBdr>
        </w:div>
        <w:div w:id="1486971542">
          <w:marLeft w:val="288"/>
          <w:marRight w:val="0"/>
          <w:marTop w:val="160"/>
          <w:marBottom w:val="0"/>
          <w:divBdr>
            <w:top w:val="none" w:sz="0" w:space="0" w:color="auto"/>
            <w:left w:val="none" w:sz="0" w:space="0" w:color="auto"/>
            <w:bottom w:val="none" w:sz="0" w:space="0" w:color="auto"/>
            <w:right w:val="none" w:sz="0" w:space="0" w:color="auto"/>
          </w:divBdr>
        </w:div>
        <w:div w:id="1486971554">
          <w:marLeft w:val="288"/>
          <w:marRight w:val="0"/>
          <w:marTop w:val="160"/>
          <w:marBottom w:val="0"/>
          <w:divBdr>
            <w:top w:val="none" w:sz="0" w:space="0" w:color="auto"/>
            <w:left w:val="none" w:sz="0" w:space="0" w:color="auto"/>
            <w:bottom w:val="none" w:sz="0" w:space="0" w:color="auto"/>
            <w:right w:val="none" w:sz="0" w:space="0" w:color="auto"/>
          </w:divBdr>
        </w:div>
        <w:div w:id="1486971563">
          <w:marLeft w:val="979"/>
          <w:marRight w:val="0"/>
          <w:marTop w:val="77"/>
          <w:marBottom w:val="0"/>
          <w:divBdr>
            <w:top w:val="none" w:sz="0" w:space="0" w:color="auto"/>
            <w:left w:val="none" w:sz="0" w:space="0" w:color="auto"/>
            <w:bottom w:val="none" w:sz="0" w:space="0" w:color="auto"/>
            <w:right w:val="none" w:sz="0" w:space="0" w:color="auto"/>
          </w:divBdr>
        </w:div>
        <w:div w:id="1486971577">
          <w:marLeft w:val="979"/>
          <w:marRight w:val="0"/>
          <w:marTop w:val="77"/>
          <w:marBottom w:val="0"/>
          <w:divBdr>
            <w:top w:val="none" w:sz="0" w:space="0" w:color="auto"/>
            <w:left w:val="none" w:sz="0" w:space="0" w:color="auto"/>
            <w:bottom w:val="none" w:sz="0" w:space="0" w:color="auto"/>
            <w:right w:val="none" w:sz="0" w:space="0" w:color="auto"/>
          </w:divBdr>
        </w:div>
        <w:div w:id="1486971625">
          <w:marLeft w:val="979"/>
          <w:marRight w:val="0"/>
          <w:marTop w:val="77"/>
          <w:marBottom w:val="0"/>
          <w:divBdr>
            <w:top w:val="none" w:sz="0" w:space="0" w:color="auto"/>
            <w:left w:val="none" w:sz="0" w:space="0" w:color="auto"/>
            <w:bottom w:val="none" w:sz="0" w:space="0" w:color="auto"/>
            <w:right w:val="none" w:sz="0" w:space="0" w:color="auto"/>
          </w:divBdr>
        </w:div>
        <w:div w:id="1486971627">
          <w:marLeft w:val="979"/>
          <w:marRight w:val="0"/>
          <w:marTop w:val="77"/>
          <w:marBottom w:val="0"/>
          <w:divBdr>
            <w:top w:val="none" w:sz="0" w:space="0" w:color="auto"/>
            <w:left w:val="none" w:sz="0" w:space="0" w:color="auto"/>
            <w:bottom w:val="none" w:sz="0" w:space="0" w:color="auto"/>
            <w:right w:val="none" w:sz="0" w:space="0" w:color="auto"/>
          </w:divBdr>
        </w:div>
        <w:div w:id="1486971628">
          <w:marLeft w:val="288"/>
          <w:marRight w:val="0"/>
          <w:marTop w:val="160"/>
          <w:marBottom w:val="0"/>
          <w:divBdr>
            <w:top w:val="none" w:sz="0" w:space="0" w:color="auto"/>
            <w:left w:val="none" w:sz="0" w:space="0" w:color="auto"/>
            <w:bottom w:val="none" w:sz="0" w:space="0" w:color="auto"/>
            <w:right w:val="none" w:sz="0" w:space="0" w:color="auto"/>
          </w:divBdr>
        </w:div>
        <w:div w:id="1486971647">
          <w:marLeft w:val="979"/>
          <w:marRight w:val="0"/>
          <w:marTop w:val="77"/>
          <w:marBottom w:val="0"/>
          <w:divBdr>
            <w:top w:val="none" w:sz="0" w:space="0" w:color="auto"/>
            <w:left w:val="none" w:sz="0" w:space="0" w:color="auto"/>
            <w:bottom w:val="none" w:sz="0" w:space="0" w:color="auto"/>
            <w:right w:val="none" w:sz="0" w:space="0" w:color="auto"/>
          </w:divBdr>
        </w:div>
      </w:divsChild>
    </w:div>
    <w:div w:id="1486971581">
      <w:marLeft w:val="0"/>
      <w:marRight w:val="0"/>
      <w:marTop w:val="0"/>
      <w:marBottom w:val="0"/>
      <w:divBdr>
        <w:top w:val="none" w:sz="0" w:space="0" w:color="auto"/>
        <w:left w:val="none" w:sz="0" w:space="0" w:color="auto"/>
        <w:bottom w:val="none" w:sz="0" w:space="0" w:color="auto"/>
        <w:right w:val="none" w:sz="0" w:space="0" w:color="auto"/>
      </w:divBdr>
    </w:div>
    <w:div w:id="1486971582">
      <w:marLeft w:val="0"/>
      <w:marRight w:val="0"/>
      <w:marTop w:val="0"/>
      <w:marBottom w:val="0"/>
      <w:divBdr>
        <w:top w:val="none" w:sz="0" w:space="0" w:color="auto"/>
        <w:left w:val="none" w:sz="0" w:space="0" w:color="auto"/>
        <w:bottom w:val="none" w:sz="0" w:space="0" w:color="auto"/>
        <w:right w:val="none" w:sz="0" w:space="0" w:color="auto"/>
      </w:divBdr>
    </w:div>
    <w:div w:id="1486971583">
      <w:marLeft w:val="0"/>
      <w:marRight w:val="0"/>
      <w:marTop w:val="0"/>
      <w:marBottom w:val="0"/>
      <w:divBdr>
        <w:top w:val="none" w:sz="0" w:space="0" w:color="auto"/>
        <w:left w:val="none" w:sz="0" w:space="0" w:color="auto"/>
        <w:bottom w:val="none" w:sz="0" w:space="0" w:color="auto"/>
        <w:right w:val="none" w:sz="0" w:space="0" w:color="auto"/>
      </w:divBdr>
    </w:div>
    <w:div w:id="1486971584">
      <w:marLeft w:val="0"/>
      <w:marRight w:val="0"/>
      <w:marTop w:val="0"/>
      <w:marBottom w:val="0"/>
      <w:divBdr>
        <w:top w:val="none" w:sz="0" w:space="0" w:color="auto"/>
        <w:left w:val="none" w:sz="0" w:space="0" w:color="auto"/>
        <w:bottom w:val="none" w:sz="0" w:space="0" w:color="auto"/>
        <w:right w:val="none" w:sz="0" w:space="0" w:color="auto"/>
      </w:divBdr>
    </w:div>
    <w:div w:id="1486971585">
      <w:marLeft w:val="0"/>
      <w:marRight w:val="0"/>
      <w:marTop w:val="0"/>
      <w:marBottom w:val="0"/>
      <w:divBdr>
        <w:top w:val="none" w:sz="0" w:space="0" w:color="auto"/>
        <w:left w:val="none" w:sz="0" w:space="0" w:color="auto"/>
        <w:bottom w:val="none" w:sz="0" w:space="0" w:color="auto"/>
        <w:right w:val="none" w:sz="0" w:space="0" w:color="auto"/>
      </w:divBdr>
    </w:div>
    <w:div w:id="1486971586">
      <w:marLeft w:val="0"/>
      <w:marRight w:val="0"/>
      <w:marTop w:val="0"/>
      <w:marBottom w:val="0"/>
      <w:divBdr>
        <w:top w:val="none" w:sz="0" w:space="0" w:color="auto"/>
        <w:left w:val="none" w:sz="0" w:space="0" w:color="auto"/>
        <w:bottom w:val="none" w:sz="0" w:space="0" w:color="auto"/>
        <w:right w:val="none" w:sz="0" w:space="0" w:color="auto"/>
      </w:divBdr>
    </w:div>
    <w:div w:id="1486971587">
      <w:marLeft w:val="0"/>
      <w:marRight w:val="0"/>
      <w:marTop w:val="0"/>
      <w:marBottom w:val="0"/>
      <w:divBdr>
        <w:top w:val="none" w:sz="0" w:space="0" w:color="auto"/>
        <w:left w:val="none" w:sz="0" w:space="0" w:color="auto"/>
        <w:bottom w:val="none" w:sz="0" w:space="0" w:color="auto"/>
        <w:right w:val="none" w:sz="0" w:space="0" w:color="auto"/>
      </w:divBdr>
    </w:div>
    <w:div w:id="1486971591">
      <w:marLeft w:val="0"/>
      <w:marRight w:val="0"/>
      <w:marTop w:val="0"/>
      <w:marBottom w:val="0"/>
      <w:divBdr>
        <w:top w:val="none" w:sz="0" w:space="0" w:color="auto"/>
        <w:left w:val="none" w:sz="0" w:space="0" w:color="auto"/>
        <w:bottom w:val="none" w:sz="0" w:space="0" w:color="auto"/>
        <w:right w:val="none" w:sz="0" w:space="0" w:color="auto"/>
      </w:divBdr>
    </w:div>
    <w:div w:id="1486971592">
      <w:marLeft w:val="0"/>
      <w:marRight w:val="0"/>
      <w:marTop w:val="0"/>
      <w:marBottom w:val="0"/>
      <w:divBdr>
        <w:top w:val="none" w:sz="0" w:space="0" w:color="auto"/>
        <w:left w:val="none" w:sz="0" w:space="0" w:color="auto"/>
        <w:bottom w:val="none" w:sz="0" w:space="0" w:color="auto"/>
        <w:right w:val="none" w:sz="0" w:space="0" w:color="auto"/>
      </w:divBdr>
      <w:divsChild>
        <w:div w:id="1486971448">
          <w:marLeft w:val="835"/>
          <w:marRight w:val="0"/>
          <w:marTop w:val="60"/>
          <w:marBottom w:val="60"/>
          <w:divBdr>
            <w:top w:val="none" w:sz="0" w:space="0" w:color="auto"/>
            <w:left w:val="none" w:sz="0" w:space="0" w:color="auto"/>
            <w:bottom w:val="none" w:sz="0" w:space="0" w:color="auto"/>
            <w:right w:val="none" w:sz="0" w:space="0" w:color="auto"/>
          </w:divBdr>
        </w:div>
        <w:div w:id="1486971454">
          <w:marLeft w:val="835"/>
          <w:marRight w:val="0"/>
          <w:marTop w:val="60"/>
          <w:marBottom w:val="60"/>
          <w:divBdr>
            <w:top w:val="none" w:sz="0" w:space="0" w:color="auto"/>
            <w:left w:val="none" w:sz="0" w:space="0" w:color="auto"/>
            <w:bottom w:val="none" w:sz="0" w:space="0" w:color="auto"/>
            <w:right w:val="none" w:sz="0" w:space="0" w:color="auto"/>
          </w:divBdr>
        </w:div>
        <w:div w:id="1486971489">
          <w:marLeft w:val="835"/>
          <w:marRight w:val="0"/>
          <w:marTop w:val="60"/>
          <w:marBottom w:val="60"/>
          <w:divBdr>
            <w:top w:val="none" w:sz="0" w:space="0" w:color="auto"/>
            <w:left w:val="none" w:sz="0" w:space="0" w:color="auto"/>
            <w:bottom w:val="none" w:sz="0" w:space="0" w:color="auto"/>
            <w:right w:val="none" w:sz="0" w:space="0" w:color="auto"/>
          </w:divBdr>
        </w:div>
        <w:div w:id="1486971608">
          <w:marLeft w:val="835"/>
          <w:marRight w:val="0"/>
          <w:marTop w:val="60"/>
          <w:marBottom w:val="60"/>
          <w:divBdr>
            <w:top w:val="none" w:sz="0" w:space="0" w:color="auto"/>
            <w:left w:val="none" w:sz="0" w:space="0" w:color="auto"/>
            <w:bottom w:val="none" w:sz="0" w:space="0" w:color="auto"/>
            <w:right w:val="none" w:sz="0" w:space="0" w:color="auto"/>
          </w:divBdr>
        </w:div>
        <w:div w:id="1486971622">
          <w:marLeft w:val="835"/>
          <w:marRight w:val="0"/>
          <w:marTop w:val="60"/>
          <w:marBottom w:val="60"/>
          <w:divBdr>
            <w:top w:val="none" w:sz="0" w:space="0" w:color="auto"/>
            <w:left w:val="none" w:sz="0" w:space="0" w:color="auto"/>
            <w:bottom w:val="none" w:sz="0" w:space="0" w:color="auto"/>
            <w:right w:val="none" w:sz="0" w:space="0" w:color="auto"/>
          </w:divBdr>
        </w:div>
        <w:div w:id="1486971657">
          <w:marLeft w:val="835"/>
          <w:marRight w:val="0"/>
          <w:marTop w:val="60"/>
          <w:marBottom w:val="60"/>
          <w:divBdr>
            <w:top w:val="none" w:sz="0" w:space="0" w:color="auto"/>
            <w:left w:val="none" w:sz="0" w:space="0" w:color="auto"/>
            <w:bottom w:val="none" w:sz="0" w:space="0" w:color="auto"/>
            <w:right w:val="none" w:sz="0" w:space="0" w:color="auto"/>
          </w:divBdr>
        </w:div>
        <w:div w:id="1486971912">
          <w:marLeft w:val="835"/>
          <w:marRight w:val="0"/>
          <w:marTop w:val="60"/>
          <w:marBottom w:val="60"/>
          <w:divBdr>
            <w:top w:val="none" w:sz="0" w:space="0" w:color="auto"/>
            <w:left w:val="none" w:sz="0" w:space="0" w:color="auto"/>
            <w:bottom w:val="none" w:sz="0" w:space="0" w:color="auto"/>
            <w:right w:val="none" w:sz="0" w:space="0" w:color="auto"/>
          </w:divBdr>
        </w:div>
      </w:divsChild>
    </w:div>
    <w:div w:id="1486971593">
      <w:marLeft w:val="0"/>
      <w:marRight w:val="0"/>
      <w:marTop w:val="0"/>
      <w:marBottom w:val="0"/>
      <w:divBdr>
        <w:top w:val="none" w:sz="0" w:space="0" w:color="auto"/>
        <w:left w:val="none" w:sz="0" w:space="0" w:color="auto"/>
        <w:bottom w:val="none" w:sz="0" w:space="0" w:color="auto"/>
        <w:right w:val="none" w:sz="0" w:space="0" w:color="auto"/>
      </w:divBdr>
      <w:divsChild>
        <w:div w:id="1486971478">
          <w:marLeft w:val="1800"/>
          <w:marRight w:val="0"/>
          <w:marTop w:val="96"/>
          <w:marBottom w:val="0"/>
          <w:divBdr>
            <w:top w:val="none" w:sz="0" w:space="0" w:color="auto"/>
            <w:left w:val="none" w:sz="0" w:space="0" w:color="auto"/>
            <w:bottom w:val="none" w:sz="0" w:space="0" w:color="auto"/>
            <w:right w:val="none" w:sz="0" w:space="0" w:color="auto"/>
          </w:divBdr>
        </w:div>
        <w:div w:id="1486971496">
          <w:marLeft w:val="1800"/>
          <w:marRight w:val="0"/>
          <w:marTop w:val="96"/>
          <w:marBottom w:val="0"/>
          <w:divBdr>
            <w:top w:val="none" w:sz="0" w:space="0" w:color="auto"/>
            <w:left w:val="none" w:sz="0" w:space="0" w:color="auto"/>
            <w:bottom w:val="none" w:sz="0" w:space="0" w:color="auto"/>
            <w:right w:val="none" w:sz="0" w:space="0" w:color="auto"/>
          </w:divBdr>
        </w:div>
        <w:div w:id="1486971498">
          <w:marLeft w:val="1800"/>
          <w:marRight w:val="0"/>
          <w:marTop w:val="96"/>
          <w:marBottom w:val="0"/>
          <w:divBdr>
            <w:top w:val="none" w:sz="0" w:space="0" w:color="auto"/>
            <w:left w:val="none" w:sz="0" w:space="0" w:color="auto"/>
            <w:bottom w:val="none" w:sz="0" w:space="0" w:color="auto"/>
            <w:right w:val="none" w:sz="0" w:space="0" w:color="auto"/>
          </w:divBdr>
        </w:div>
        <w:div w:id="1486971648">
          <w:marLeft w:val="1800"/>
          <w:marRight w:val="0"/>
          <w:marTop w:val="96"/>
          <w:marBottom w:val="0"/>
          <w:divBdr>
            <w:top w:val="none" w:sz="0" w:space="0" w:color="auto"/>
            <w:left w:val="none" w:sz="0" w:space="0" w:color="auto"/>
            <w:bottom w:val="none" w:sz="0" w:space="0" w:color="auto"/>
            <w:right w:val="none" w:sz="0" w:space="0" w:color="auto"/>
          </w:divBdr>
        </w:div>
        <w:div w:id="1486971652">
          <w:marLeft w:val="1800"/>
          <w:marRight w:val="0"/>
          <w:marTop w:val="96"/>
          <w:marBottom w:val="0"/>
          <w:divBdr>
            <w:top w:val="none" w:sz="0" w:space="0" w:color="auto"/>
            <w:left w:val="none" w:sz="0" w:space="0" w:color="auto"/>
            <w:bottom w:val="none" w:sz="0" w:space="0" w:color="auto"/>
            <w:right w:val="none" w:sz="0" w:space="0" w:color="auto"/>
          </w:divBdr>
        </w:div>
        <w:div w:id="1486971905">
          <w:marLeft w:val="1800"/>
          <w:marRight w:val="0"/>
          <w:marTop w:val="96"/>
          <w:marBottom w:val="0"/>
          <w:divBdr>
            <w:top w:val="none" w:sz="0" w:space="0" w:color="auto"/>
            <w:left w:val="none" w:sz="0" w:space="0" w:color="auto"/>
            <w:bottom w:val="none" w:sz="0" w:space="0" w:color="auto"/>
            <w:right w:val="none" w:sz="0" w:space="0" w:color="auto"/>
          </w:divBdr>
        </w:div>
      </w:divsChild>
    </w:div>
    <w:div w:id="1486971599">
      <w:marLeft w:val="0"/>
      <w:marRight w:val="0"/>
      <w:marTop w:val="0"/>
      <w:marBottom w:val="0"/>
      <w:divBdr>
        <w:top w:val="none" w:sz="0" w:space="0" w:color="auto"/>
        <w:left w:val="none" w:sz="0" w:space="0" w:color="auto"/>
        <w:bottom w:val="none" w:sz="0" w:space="0" w:color="auto"/>
        <w:right w:val="none" w:sz="0" w:space="0" w:color="auto"/>
      </w:divBdr>
    </w:div>
    <w:div w:id="1486971600">
      <w:marLeft w:val="0"/>
      <w:marRight w:val="0"/>
      <w:marTop w:val="0"/>
      <w:marBottom w:val="0"/>
      <w:divBdr>
        <w:top w:val="none" w:sz="0" w:space="0" w:color="auto"/>
        <w:left w:val="none" w:sz="0" w:space="0" w:color="auto"/>
        <w:bottom w:val="none" w:sz="0" w:space="0" w:color="auto"/>
        <w:right w:val="none" w:sz="0" w:space="0" w:color="auto"/>
      </w:divBdr>
    </w:div>
    <w:div w:id="1486971601">
      <w:marLeft w:val="0"/>
      <w:marRight w:val="0"/>
      <w:marTop w:val="0"/>
      <w:marBottom w:val="0"/>
      <w:divBdr>
        <w:top w:val="none" w:sz="0" w:space="0" w:color="auto"/>
        <w:left w:val="none" w:sz="0" w:space="0" w:color="auto"/>
        <w:bottom w:val="none" w:sz="0" w:space="0" w:color="auto"/>
        <w:right w:val="none" w:sz="0" w:space="0" w:color="auto"/>
      </w:divBdr>
    </w:div>
    <w:div w:id="1486971602">
      <w:marLeft w:val="0"/>
      <w:marRight w:val="0"/>
      <w:marTop w:val="0"/>
      <w:marBottom w:val="0"/>
      <w:divBdr>
        <w:top w:val="none" w:sz="0" w:space="0" w:color="auto"/>
        <w:left w:val="none" w:sz="0" w:space="0" w:color="auto"/>
        <w:bottom w:val="none" w:sz="0" w:space="0" w:color="auto"/>
        <w:right w:val="none" w:sz="0" w:space="0" w:color="auto"/>
      </w:divBdr>
    </w:div>
    <w:div w:id="1486971609">
      <w:marLeft w:val="0"/>
      <w:marRight w:val="0"/>
      <w:marTop w:val="0"/>
      <w:marBottom w:val="0"/>
      <w:divBdr>
        <w:top w:val="none" w:sz="0" w:space="0" w:color="auto"/>
        <w:left w:val="none" w:sz="0" w:space="0" w:color="auto"/>
        <w:bottom w:val="none" w:sz="0" w:space="0" w:color="auto"/>
        <w:right w:val="none" w:sz="0" w:space="0" w:color="auto"/>
      </w:divBdr>
    </w:div>
    <w:div w:id="1486971610">
      <w:marLeft w:val="0"/>
      <w:marRight w:val="0"/>
      <w:marTop w:val="0"/>
      <w:marBottom w:val="0"/>
      <w:divBdr>
        <w:top w:val="none" w:sz="0" w:space="0" w:color="auto"/>
        <w:left w:val="none" w:sz="0" w:space="0" w:color="auto"/>
        <w:bottom w:val="none" w:sz="0" w:space="0" w:color="auto"/>
        <w:right w:val="none" w:sz="0" w:space="0" w:color="auto"/>
      </w:divBdr>
    </w:div>
    <w:div w:id="1486971611">
      <w:marLeft w:val="0"/>
      <w:marRight w:val="0"/>
      <w:marTop w:val="0"/>
      <w:marBottom w:val="0"/>
      <w:divBdr>
        <w:top w:val="none" w:sz="0" w:space="0" w:color="auto"/>
        <w:left w:val="none" w:sz="0" w:space="0" w:color="auto"/>
        <w:bottom w:val="none" w:sz="0" w:space="0" w:color="auto"/>
        <w:right w:val="none" w:sz="0" w:space="0" w:color="auto"/>
      </w:divBdr>
    </w:div>
    <w:div w:id="1486971614">
      <w:marLeft w:val="0"/>
      <w:marRight w:val="0"/>
      <w:marTop w:val="0"/>
      <w:marBottom w:val="0"/>
      <w:divBdr>
        <w:top w:val="none" w:sz="0" w:space="0" w:color="auto"/>
        <w:left w:val="none" w:sz="0" w:space="0" w:color="auto"/>
        <w:bottom w:val="none" w:sz="0" w:space="0" w:color="auto"/>
        <w:right w:val="none" w:sz="0" w:space="0" w:color="auto"/>
      </w:divBdr>
    </w:div>
    <w:div w:id="1486971620">
      <w:marLeft w:val="0"/>
      <w:marRight w:val="0"/>
      <w:marTop w:val="0"/>
      <w:marBottom w:val="0"/>
      <w:divBdr>
        <w:top w:val="none" w:sz="0" w:space="0" w:color="auto"/>
        <w:left w:val="none" w:sz="0" w:space="0" w:color="auto"/>
        <w:bottom w:val="none" w:sz="0" w:space="0" w:color="auto"/>
        <w:right w:val="none" w:sz="0" w:space="0" w:color="auto"/>
      </w:divBdr>
      <w:divsChild>
        <w:div w:id="1486971463">
          <w:marLeft w:val="994"/>
          <w:marRight w:val="0"/>
          <w:marTop w:val="0"/>
          <w:marBottom w:val="0"/>
          <w:divBdr>
            <w:top w:val="none" w:sz="0" w:space="0" w:color="auto"/>
            <w:left w:val="none" w:sz="0" w:space="0" w:color="auto"/>
            <w:bottom w:val="none" w:sz="0" w:space="0" w:color="auto"/>
            <w:right w:val="none" w:sz="0" w:space="0" w:color="auto"/>
          </w:divBdr>
        </w:div>
        <w:div w:id="1486971612">
          <w:marLeft w:val="994"/>
          <w:marRight w:val="0"/>
          <w:marTop w:val="0"/>
          <w:marBottom w:val="0"/>
          <w:divBdr>
            <w:top w:val="none" w:sz="0" w:space="0" w:color="auto"/>
            <w:left w:val="none" w:sz="0" w:space="0" w:color="auto"/>
            <w:bottom w:val="none" w:sz="0" w:space="0" w:color="auto"/>
            <w:right w:val="none" w:sz="0" w:space="0" w:color="auto"/>
          </w:divBdr>
        </w:div>
        <w:div w:id="1486971613">
          <w:marLeft w:val="994"/>
          <w:marRight w:val="0"/>
          <w:marTop w:val="0"/>
          <w:marBottom w:val="0"/>
          <w:divBdr>
            <w:top w:val="none" w:sz="0" w:space="0" w:color="auto"/>
            <w:left w:val="none" w:sz="0" w:space="0" w:color="auto"/>
            <w:bottom w:val="none" w:sz="0" w:space="0" w:color="auto"/>
            <w:right w:val="none" w:sz="0" w:space="0" w:color="auto"/>
          </w:divBdr>
        </w:div>
        <w:div w:id="1486971618">
          <w:marLeft w:val="994"/>
          <w:marRight w:val="0"/>
          <w:marTop w:val="0"/>
          <w:marBottom w:val="0"/>
          <w:divBdr>
            <w:top w:val="none" w:sz="0" w:space="0" w:color="auto"/>
            <w:left w:val="none" w:sz="0" w:space="0" w:color="auto"/>
            <w:bottom w:val="none" w:sz="0" w:space="0" w:color="auto"/>
            <w:right w:val="none" w:sz="0" w:space="0" w:color="auto"/>
          </w:divBdr>
        </w:div>
        <w:div w:id="1486971632">
          <w:marLeft w:val="994"/>
          <w:marRight w:val="0"/>
          <w:marTop w:val="0"/>
          <w:marBottom w:val="0"/>
          <w:divBdr>
            <w:top w:val="none" w:sz="0" w:space="0" w:color="auto"/>
            <w:left w:val="none" w:sz="0" w:space="0" w:color="auto"/>
            <w:bottom w:val="none" w:sz="0" w:space="0" w:color="auto"/>
            <w:right w:val="none" w:sz="0" w:space="0" w:color="auto"/>
          </w:divBdr>
        </w:div>
        <w:div w:id="1486971915">
          <w:marLeft w:val="274"/>
          <w:marRight w:val="0"/>
          <w:marTop w:val="0"/>
          <w:marBottom w:val="0"/>
          <w:divBdr>
            <w:top w:val="none" w:sz="0" w:space="0" w:color="auto"/>
            <w:left w:val="none" w:sz="0" w:space="0" w:color="auto"/>
            <w:bottom w:val="none" w:sz="0" w:space="0" w:color="auto"/>
            <w:right w:val="none" w:sz="0" w:space="0" w:color="auto"/>
          </w:divBdr>
        </w:div>
        <w:div w:id="1486971918">
          <w:marLeft w:val="274"/>
          <w:marRight w:val="0"/>
          <w:marTop w:val="0"/>
          <w:marBottom w:val="0"/>
          <w:divBdr>
            <w:top w:val="none" w:sz="0" w:space="0" w:color="auto"/>
            <w:left w:val="none" w:sz="0" w:space="0" w:color="auto"/>
            <w:bottom w:val="none" w:sz="0" w:space="0" w:color="auto"/>
            <w:right w:val="none" w:sz="0" w:space="0" w:color="auto"/>
          </w:divBdr>
        </w:div>
      </w:divsChild>
    </w:div>
    <w:div w:id="1486971621">
      <w:marLeft w:val="0"/>
      <w:marRight w:val="0"/>
      <w:marTop w:val="0"/>
      <w:marBottom w:val="0"/>
      <w:divBdr>
        <w:top w:val="none" w:sz="0" w:space="0" w:color="auto"/>
        <w:left w:val="none" w:sz="0" w:space="0" w:color="auto"/>
        <w:bottom w:val="none" w:sz="0" w:space="0" w:color="auto"/>
        <w:right w:val="none" w:sz="0" w:space="0" w:color="auto"/>
      </w:divBdr>
    </w:div>
    <w:div w:id="1486971623">
      <w:marLeft w:val="0"/>
      <w:marRight w:val="0"/>
      <w:marTop w:val="0"/>
      <w:marBottom w:val="0"/>
      <w:divBdr>
        <w:top w:val="none" w:sz="0" w:space="0" w:color="auto"/>
        <w:left w:val="none" w:sz="0" w:space="0" w:color="auto"/>
        <w:bottom w:val="none" w:sz="0" w:space="0" w:color="auto"/>
        <w:right w:val="none" w:sz="0" w:space="0" w:color="auto"/>
      </w:divBdr>
      <w:divsChild>
        <w:div w:id="1486971445">
          <w:marLeft w:val="979"/>
          <w:marRight w:val="0"/>
          <w:marTop w:val="77"/>
          <w:marBottom w:val="0"/>
          <w:divBdr>
            <w:top w:val="none" w:sz="0" w:space="0" w:color="auto"/>
            <w:left w:val="none" w:sz="0" w:space="0" w:color="auto"/>
            <w:bottom w:val="none" w:sz="0" w:space="0" w:color="auto"/>
            <w:right w:val="none" w:sz="0" w:space="0" w:color="auto"/>
          </w:divBdr>
        </w:div>
        <w:div w:id="1486971503">
          <w:marLeft w:val="979"/>
          <w:marRight w:val="0"/>
          <w:marTop w:val="77"/>
          <w:marBottom w:val="0"/>
          <w:divBdr>
            <w:top w:val="none" w:sz="0" w:space="0" w:color="auto"/>
            <w:left w:val="none" w:sz="0" w:space="0" w:color="auto"/>
            <w:bottom w:val="none" w:sz="0" w:space="0" w:color="auto"/>
            <w:right w:val="none" w:sz="0" w:space="0" w:color="auto"/>
          </w:divBdr>
        </w:div>
        <w:div w:id="1486971516">
          <w:marLeft w:val="288"/>
          <w:marRight w:val="0"/>
          <w:marTop w:val="160"/>
          <w:marBottom w:val="0"/>
          <w:divBdr>
            <w:top w:val="none" w:sz="0" w:space="0" w:color="auto"/>
            <w:left w:val="none" w:sz="0" w:space="0" w:color="auto"/>
            <w:bottom w:val="none" w:sz="0" w:space="0" w:color="auto"/>
            <w:right w:val="none" w:sz="0" w:space="0" w:color="auto"/>
          </w:divBdr>
        </w:div>
        <w:div w:id="1486971528">
          <w:marLeft w:val="288"/>
          <w:marRight w:val="0"/>
          <w:marTop w:val="160"/>
          <w:marBottom w:val="0"/>
          <w:divBdr>
            <w:top w:val="none" w:sz="0" w:space="0" w:color="auto"/>
            <w:left w:val="none" w:sz="0" w:space="0" w:color="auto"/>
            <w:bottom w:val="none" w:sz="0" w:space="0" w:color="auto"/>
            <w:right w:val="none" w:sz="0" w:space="0" w:color="auto"/>
          </w:divBdr>
        </w:div>
        <w:div w:id="1486971544">
          <w:marLeft w:val="979"/>
          <w:marRight w:val="0"/>
          <w:marTop w:val="77"/>
          <w:marBottom w:val="0"/>
          <w:divBdr>
            <w:top w:val="none" w:sz="0" w:space="0" w:color="auto"/>
            <w:left w:val="none" w:sz="0" w:space="0" w:color="auto"/>
            <w:bottom w:val="none" w:sz="0" w:space="0" w:color="auto"/>
            <w:right w:val="none" w:sz="0" w:space="0" w:color="auto"/>
          </w:divBdr>
        </w:div>
        <w:div w:id="1486971545">
          <w:marLeft w:val="979"/>
          <w:marRight w:val="0"/>
          <w:marTop w:val="77"/>
          <w:marBottom w:val="0"/>
          <w:divBdr>
            <w:top w:val="none" w:sz="0" w:space="0" w:color="auto"/>
            <w:left w:val="none" w:sz="0" w:space="0" w:color="auto"/>
            <w:bottom w:val="none" w:sz="0" w:space="0" w:color="auto"/>
            <w:right w:val="none" w:sz="0" w:space="0" w:color="auto"/>
          </w:divBdr>
        </w:div>
        <w:div w:id="1486971548">
          <w:marLeft w:val="979"/>
          <w:marRight w:val="0"/>
          <w:marTop w:val="77"/>
          <w:marBottom w:val="0"/>
          <w:divBdr>
            <w:top w:val="none" w:sz="0" w:space="0" w:color="auto"/>
            <w:left w:val="none" w:sz="0" w:space="0" w:color="auto"/>
            <w:bottom w:val="none" w:sz="0" w:space="0" w:color="auto"/>
            <w:right w:val="none" w:sz="0" w:space="0" w:color="auto"/>
          </w:divBdr>
        </w:div>
        <w:div w:id="1486971549">
          <w:marLeft w:val="288"/>
          <w:marRight w:val="0"/>
          <w:marTop w:val="160"/>
          <w:marBottom w:val="0"/>
          <w:divBdr>
            <w:top w:val="none" w:sz="0" w:space="0" w:color="auto"/>
            <w:left w:val="none" w:sz="0" w:space="0" w:color="auto"/>
            <w:bottom w:val="none" w:sz="0" w:space="0" w:color="auto"/>
            <w:right w:val="none" w:sz="0" w:space="0" w:color="auto"/>
          </w:divBdr>
        </w:div>
        <w:div w:id="1486971564">
          <w:marLeft w:val="979"/>
          <w:marRight w:val="0"/>
          <w:marTop w:val="77"/>
          <w:marBottom w:val="0"/>
          <w:divBdr>
            <w:top w:val="none" w:sz="0" w:space="0" w:color="auto"/>
            <w:left w:val="none" w:sz="0" w:space="0" w:color="auto"/>
            <w:bottom w:val="none" w:sz="0" w:space="0" w:color="auto"/>
            <w:right w:val="none" w:sz="0" w:space="0" w:color="auto"/>
          </w:divBdr>
        </w:div>
        <w:div w:id="1486971578">
          <w:marLeft w:val="288"/>
          <w:marRight w:val="0"/>
          <w:marTop w:val="86"/>
          <w:marBottom w:val="0"/>
          <w:divBdr>
            <w:top w:val="none" w:sz="0" w:space="0" w:color="auto"/>
            <w:left w:val="none" w:sz="0" w:space="0" w:color="auto"/>
            <w:bottom w:val="none" w:sz="0" w:space="0" w:color="auto"/>
            <w:right w:val="none" w:sz="0" w:space="0" w:color="auto"/>
          </w:divBdr>
        </w:div>
        <w:div w:id="1486971619">
          <w:marLeft w:val="979"/>
          <w:marRight w:val="0"/>
          <w:marTop w:val="77"/>
          <w:marBottom w:val="0"/>
          <w:divBdr>
            <w:top w:val="none" w:sz="0" w:space="0" w:color="auto"/>
            <w:left w:val="none" w:sz="0" w:space="0" w:color="auto"/>
            <w:bottom w:val="none" w:sz="0" w:space="0" w:color="auto"/>
            <w:right w:val="none" w:sz="0" w:space="0" w:color="auto"/>
          </w:divBdr>
        </w:div>
        <w:div w:id="1486971644">
          <w:marLeft w:val="979"/>
          <w:marRight w:val="0"/>
          <w:marTop w:val="77"/>
          <w:marBottom w:val="0"/>
          <w:divBdr>
            <w:top w:val="none" w:sz="0" w:space="0" w:color="auto"/>
            <w:left w:val="none" w:sz="0" w:space="0" w:color="auto"/>
            <w:bottom w:val="none" w:sz="0" w:space="0" w:color="auto"/>
            <w:right w:val="none" w:sz="0" w:space="0" w:color="auto"/>
          </w:divBdr>
        </w:div>
        <w:div w:id="1486971900">
          <w:marLeft w:val="288"/>
          <w:marRight w:val="0"/>
          <w:marTop w:val="160"/>
          <w:marBottom w:val="0"/>
          <w:divBdr>
            <w:top w:val="none" w:sz="0" w:space="0" w:color="auto"/>
            <w:left w:val="none" w:sz="0" w:space="0" w:color="auto"/>
            <w:bottom w:val="none" w:sz="0" w:space="0" w:color="auto"/>
            <w:right w:val="none" w:sz="0" w:space="0" w:color="auto"/>
          </w:divBdr>
        </w:div>
        <w:div w:id="1486971901">
          <w:marLeft w:val="288"/>
          <w:marRight w:val="0"/>
          <w:marTop w:val="160"/>
          <w:marBottom w:val="0"/>
          <w:divBdr>
            <w:top w:val="none" w:sz="0" w:space="0" w:color="auto"/>
            <w:left w:val="none" w:sz="0" w:space="0" w:color="auto"/>
            <w:bottom w:val="none" w:sz="0" w:space="0" w:color="auto"/>
            <w:right w:val="none" w:sz="0" w:space="0" w:color="auto"/>
          </w:divBdr>
        </w:div>
      </w:divsChild>
    </w:div>
    <w:div w:id="1486971629">
      <w:marLeft w:val="0"/>
      <w:marRight w:val="0"/>
      <w:marTop w:val="0"/>
      <w:marBottom w:val="0"/>
      <w:divBdr>
        <w:top w:val="none" w:sz="0" w:space="0" w:color="auto"/>
        <w:left w:val="none" w:sz="0" w:space="0" w:color="auto"/>
        <w:bottom w:val="none" w:sz="0" w:space="0" w:color="auto"/>
        <w:right w:val="none" w:sz="0" w:space="0" w:color="auto"/>
      </w:divBdr>
    </w:div>
    <w:div w:id="1486971630">
      <w:marLeft w:val="0"/>
      <w:marRight w:val="0"/>
      <w:marTop w:val="0"/>
      <w:marBottom w:val="0"/>
      <w:divBdr>
        <w:top w:val="none" w:sz="0" w:space="0" w:color="auto"/>
        <w:left w:val="none" w:sz="0" w:space="0" w:color="auto"/>
        <w:bottom w:val="none" w:sz="0" w:space="0" w:color="auto"/>
        <w:right w:val="none" w:sz="0" w:space="0" w:color="auto"/>
      </w:divBdr>
    </w:div>
    <w:div w:id="1486971631">
      <w:marLeft w:val="0"/>
      <w:marRight w:val="0"/>
      <w:marTop w:val="0"/>
      <w:marBottom w:val="0"/>
      <w:divBdr>
        <w:top w:val="none" w:sz="0" w:space="0" w:color="auto"/>
        <w:left w:val="none" w:sz="0" w:space="0" w:color="auto"/>
        <w:bottom w:val="none" w:sz="0" w:space="0" w:color="auto"/>
        <w:right w:val="none" w:sz="0" w:space="0" w:color="auto"/>
      </w:divBdr>
      <w:divsChild>
        <w:div w:id="1486971465">
          <w:marLeft w:val="994"/>
          <w:marRight w:val="0"/>
          <w:marTop w:val="0"/>
          <w:marBottom w:val="0"/>
          <w:divBdr>
            <w:top w:val="none" w:sz="0" w:space="0" w:color="auto"/>
            <w:left w:val="none" w:sz="0" w:space="0" w:color="auto"/>
            <w:bottom w:val="none" w:sz="0" w:space="0" w:color="auto"/>
            <w:right w:val="none" w:sz="0" w:space="0" w:color="auto"/>
          </w:divBdr>
        </w:div>
        <w:div w:id="1486971569">
          <w:marLeft w:val="994"/>
          <w:marRight w:val="0"/>
          <w:marTop w:val="0"/>
          <w:marBottom w:val="0"/>
          <w:divBdr>
            <w:top w:val="none" w:sz="0" w:space="0" w:color="auto"/>
            <w:left w:val="none" w:sz="0" w:space="0" w:color="auto"/>
            <w:bottom w:val="none" w:sz="0" w:space="0" w:color="auto"/>
            <w:right w:val="none" w:sz="0" w:space="0" w:color="auto"/>
          </w:divBdr>
        </w:div>
        <w:div w:id="1486971576">
          <w:marLeft w:val="994"/>
          <w:marRight w:val="0"/>
          <w:marTop w:val="0"/>
          <w:marBottom w:val="0"/>
          <w:divBdr>
            <w:top w:val="none" w:sz="0" w:space="0" w:color="auto"/>
            <w:left w:val="none" w:sz="0" w:space="0" w:color="auto"/>
            <w:bottom w:val="none" w:sz="0" w:space="0" w:color="auto"/>
            <w:right w:val="none" w:sz="0" w:space="0" w:color="auto"/>
          </w:divBdr>
        </w:div>
        <w:div w:id="1486971626">
          <w:marLeft w:val="994"/>
          <w:marRight w:val="0"/>
          <w:marTop w:val="0"/>
          <w:marBottom w:val="0"/>
          <w:divBdr>
            <w:top w:val="none" w:sz="0" w:space="0" w:color="auto"/>
            <w:left w:val="none" w:sz="0" w:space="0" w:color="auto"/>
            <w:bottom w:val="none" w:sz="0" w:space="0" w:color="auto"/>
            <w:right w:val="none" w:sz="0" w:space="0" w:color="auto"/>
          </w:divBdr>
        </w:div>
        <w:div w:id="1486971653">
          <w:marLeft w:val="994"/>
          <w:marRight w:val="0"/>
          <w:marTop w:val="0"/>
          <w:marBottom w:val="0"/>
          <w:divBdr>
            <w:top w:val="none" w:sz="0" w:space="0" w:color="auto"/>
            <w:left w:val="none" w:sz="0" w:space="0" w:color="auto"/>
            <w:bottom w:val="none" w:sz="0" w:space="0" w:color="auto"/>
            <w:right w:val="none" w:sz="0" w:space="0" w:color="auto"/>
          </w:divBdr>
        </w:div>
      </w:divsChild>
    </w:div>
    <w:div w:id="1486971633">
      <w:marLeft w:val="0"/>
      <w:marRight w:val="0"/>
      <w:marTop w:val="0"/>
      <w:marBottom w:val="0"/>
      <w:divBdr>
        <w:top w:val="none" w:sz="0" w:space="0" w:color="auto"/>
        <w:left w:val="none" w:sz="0" w:space="0" w:color="auto"/>
        <w:bottom w:val="none" w:sz="0" w:space="0" w:color="auto"/>
        <w:right w:val="none" w:sz="0" w:space="0" w:color="auto"/>
      </w:divBdr>
    </w:div>
    <w:div w:id="1486971635">
      <w:marLeft w:val="0"/>
      <w:marRight w:val="0"/>
      <w:marTop w:val="0"/>
      <w:marBottom w:val="0"/>
      <w:divBdr>
        <w:top w:val="none" w:sz="0" w:space="0" w:color="auto"/>
        <w:left w:val="none" w:sz="0" w:space="0" w:color="auto"/>
        <w:bottom w:val="none" w:sz="0" w:space="0" w:color="auto"/>
        <w:right w:val="none" w:sz="0" w:space="0" w:color="auto"/>
      </w:divBdr>
    </w:div>
    <w:div w:id="1486971636">
      <w:marLeft w:val="0"/>
      <w:marRight w:val="0"/>
      <w:marTop w:val="0"/>
      <w:marBottom w:val="0"/>
      <w:divBdr>
        <w:top w:val="none" w:sz="0" w:space="0" w:color="auto"/>
        <w:left w:val="none" w:sz="0" w:space="0" w:color="auto"/>
        <w:bottom w:val="none" w:sz="0" w:space="0" w:color="auto"/>
        <w:right w:val="none" w:sz="0" w:space="0" w:color="auto"/>
      </w:divBdr>
    </w:div>
    <w:div w:id="1486971637">
      <w:marLeft w:val="0"/>
      <w:marRight w:val="0"/>
      <w:marTop w:val="0"/>
      <w:marBottom w:val="0"/>
      <w:divBdr>
        <w:top w:val="none" w:sz="0" w:space="0" w:color="auto"/>
        <w:left w:val="none" w:sz="0" w:space="0" w:color="auto"/>
        <w:bottom w:val="none" w:sz="0" w:space="0" w:color="auto"/>
        <w:right w:val="none" w:sz="0" w:space="0" w:color="auto"/>
      </w:divBdr>
    </w:div>
    <w:div w:id="1486971641">
      <w:marLeft w:val="0"/>
      <w:marRight w:val="0"/>
      <w:marTop w:val="0"/>
      <w:marBottom w:val="0"/>
      <w:divBdr>
        <w:top w:val="none" w:sz="0" w:space="0" w:color="auto"/>
        <w:left w:val="none" w:sz="0" w:space="0" w:color="auto"/>
        <w:bottom w:val="none" w:sz="0" w:space="0" w:color="auto"/>
        <w:right w:val="none" w:sz="0" w:space="0" w:color="auto"/>
      </w:divBdr>
    </w:div>
    <w:div w:id="1486971645">
      <w:marLeft w:val="0"/>
      <w:marRight w:val="0"/>
      <w:marTop w:val="0"/>
      <w:marBottom w:val="0"/>
      <w:divBdr>
        <w:top w:val="none" w:sz="0" w:space="0" w:color="auto"/>
        <w:left w:val="none" w:sz="0" w:space="0" w:color="auto"/>
        <w:bottom w:val="none" w:sz="0" w:space="0" w:color="auto"/>
        <w:right w:val="none" w:sz="0" w:space="0" w:color="auto"/>
      </w:divBdr>
    </w:div>
    <w:div w:id="1486971646">
      <w:marLeft w:val="0"/>
      <w:marRight w:val="0"/>
      <w:marTop w:val="0"/>
      <w:marBottom w:val="0"/>
      <w:divBdr>
        <w:top w:val="none" w:sz="0" w:space="0" w:color="auto"/>
        <w:left w:val="none" w:sz="0" w:space="0" w:color="auto"/>
        <w:bottom w:val="none" w:sz="0" w:space="0" w:color="auto"/>
        <w:right w:val="none" w:sz="0" w:space="0" w:color="auto"/>
      </w:divBdr>
    </w:div>
    <w:div w:id="1486971649">
      <w:marLeft w:val="0"/>
      <w:marRight w:val="0"/>
      <w:marTop w:val="0"/>
      <w:marBottom w:val="0"/>
      <w:divBdr>
        <w:top w:val="none" w:sz="0" w:space="0" w:color="auto"/>
        <w:left w:val="none" w:sz="0" w:space="0" w:color="auto"/>
        <w:bottom w:val="none" w:sz="0" w:space="0" w:color="auto"/>
        <w:right w:val="none" w:sz="0" w:space="0" w:color="auto"/>
      </w:divBdr>
      <w:divsChild>
        <w:div w:id="1486971442">
          <w:marLeft w:val="1166"/>
          <w:marRight w:val="0"/>
          <w:marTop w:val="67"/>
          <w:marBottom w:val="0"/>
          <w:divBdr>
            <w:top w:val="none" w:sz="0" w:space="0" w:color="auto"/>
            <w:left w:val="none" w:sz="0" w:space="0" w:color="auto"/>
            <w:bottom w:val="none" w:sz="0" w:space="0" w:color="auto"/>
            <w:right w:val="none" w:sz="0" w:space="0" w:color="auto"/>
          </w:divBdr>
        </w:div>
        <w:div w:id="1486971453">
          <w:marLeft w:val="1800"/>
          <w:marRight w:val="0"/>
          <w:marTop w:val="67"/>
          <w:marBottom w:val="0"/>
          <w:divBdr>
            <w:top w:val="none" w:sz="0" w:space="0" w:color="auto"/>
            <w:left w:val="none" w:sz="0" w:space="0" w:color="auto"/>
            <w:bottom w:val="none" w:sz="0" w:space="0" w:color="auto"/>
            <w:right w:val="none" w:sz="0" w:space="0" w:color="auto"/>
          </w:divBdr>
        </w:div>
        <w:div w:id="1486971469">
          <w:marLeft w:val="547"/>
          <w:marRight w:val="0"/>
          <w:marTop w:val="86"/>
          <w:marBottom w:val="0"/>
          <w:divBdr>
            <w:top w:val="none" w:sz="0" w:space="0" w:color="auto"/>
            <w:left w:val="none" w:sz="0" w:space="0" w:color="auto"/>
            <w:bottom w:val="none" w:sz="0" w:space="0" w:color="auto"/>
            <w:right w:val="none" w:sz="0" w:space="0" w:color="auto"/>
          </w:divBdr>
        </w:div>
        <w:div w:id="1486971551">
          <w:marLeft w:val="1166"/>
          <w:marRight w:val="0"/>
          <w:marTop w:val="67"/>
          <w:marBottom w:val="0"/>
          <w:divBdr>
            <w:top w:val="none" w:sz="0" w:space="0" w:color="auto"/>
            <w:left w:val="none" w:sz="0" w:space="0" w:color="auto"/>
            <w:bottom w:val="none" w:sz="0" w:space="0" w:color="auto"/>
            <w:right w:val="none" w:sz="0" w:space="0" w:color="auto"/>
          </w:divBdr>
        </w:div>
        <w:div w:id="1486971553">
          <w:marLeft w:val="1166"/>
          <w:marRight w:val="0"/>
          <w:marTop w:val="67"/>
          <w:marBottom w:val="0"/>
          <w:divBdr>
            <w:top w:val="none" w:sz="0" w:space="0" w:color="auto"/>
            <w:left w:val="none" w:sz="0" w:space="0" w:color="auto"/>
            <w:bottom w:val="none" w:sz="0" w:space="0" w:color="auto"/>
            <w:right w:val="none" w:sz="0" w:space="0" w:color="auto"/>
          </w:divBdr>
        </w:div>
        <w:div w:id="1486971567">
          <w:marLeft w:val="1800"/>
          <w:marRight w:val="0"/>
          <w:marTop w:val="67"/>
          <w:marBottom w:val="0"/>
          <w:divBdr>
            <w:top w:val="none" w:sz="0" w:space="0" w:color="auto"/>
            <w:left w:val="none" w:sz="0" w:space="0" w:color="auto"/>
            <w:bottom w:val="none" w:sz="0" w:space="0" w:color="auto"/>
            <w:right w:val="none" w:sz="0" w:space="0" w:color="auto"/>
          </w:divBdr>
        </w:div>
        <w:div w:id="1486971597">
          <w:marLeft w:val="1800"/>
          <w:marRight w:val="0"/>
          <w:marTop w:val="67"/>
          <w:marBottom w:val="0"/>
          <w:divBdr>
            <w:top w:val="none" w:sz="0" w:space="0" w:color="auto"/>
            <w:left w:val="none" w:sz="0" w:space="0" w:color="auto"/>
            <w:bottom w:val="none" w:sz="0" w:space="0" w:color="auto"/>
            <w:right w:val="none" w:sz="0" w:space="0" w:color="auto"/>
          </w:divBdr>
        </w:div>
        <w:div w:id="1486971603">
          <w:marLeft w:val="1166"/>
          <w:marRight w:val="0"/>
          <w:marTop w:val="67"/>
          <w:marBottom w:val="0"/>
          <w:divBdr>
            <w:top w:val="none" w:sz="0" w:space="0" w:color="auto"/>
            <w:left w:val="none" w:sz="0" w:space="0" w:color="auto"/>
            <w:bottom w:val="none" w:sz="0" w:space="0" w:color="auto"/>
            <w:right w:val="none" w:sz="0" w:space="0" w:color="auto"/>
          </w:divBdr>
        </w:div>
        <w:div w:id="1486971605">
          <w:marLeft w:val="1800"/>
          <w:marRight w:val="0"/>
          <w:marTop w:val="67"/>
          <w:marBottom w:val="0"/>
          <w:divBdr>
            <w:top w:val="none" w:sz="0" w:space="0" w:color="auto"/>
            <w:left w:val="none" w:sz="0" w:space="0" w:color="auto"/>
            <w:bottom w:val="none" w:sz="0" w:space="0" w:color="auto"/>
            <w:right w:val="none" w:sz="0" w:space="0" w:color="auto"/>
          </w:divBdr>
        </w:div>
        <w:div w:id="1486971616">
          <w:marLeft w:val="547"/>
          <w:marRight w:val="0"/>
          <w:marTop w:val="86"/>
          <w:marBottom w:val="0"/>
          <w:divBdr>
            <w:top w:val="none" w:sz="0" w:space="0" w:color="auto"/>
            <w:left w:val="none" w:sz="0" w:space="0" w:color="auto"/>
            <w:bottom w:val="none" w:sz="0" w:space="0" w:color="auto"/>
            <w:right w:val="none" w:sz="0" w:space="0" w:color="auto"/>
          </w:divBdr>
        </w:div>
        <w:div w:id="1486971655">
          <w:marLeft w:val="1800"/>
          <w:marRight w:val="0"/>
          <w:marTop w:val="67"/>
          <w:marBottom w:val="0"/>
          <w:divBdr>
            <w:top w:val="none" w:sz="0" w:space="0" w:color="auto"/>
            <w:left w:val="none" w:sz="0" w:space="0" w:color="auto"/>
            <w:bottom w:val="none" w:sz="0" w:space="0" w:color="auto"/>
            <w:right w:val="none" w:sz="0" w:space="0" w:color="auto"/>
          </w:divBdr>
        </w:div>
      </w:divsChild>
    </w:div>
    <w:div w:id="1486971650">
      <w:marLeft w:val="0"/>
      <w:marRight w:val="0"/>
      <w:marTop w:val="0"/>
      <w:marBottom w:val="0"/>
      <w:divBdr>
        <w:top w:val="none" w:sz="0" w:space="0" w:color="auto"/>
        <w:left w:val="none" w:sz="0" w:space="0" w:color="auto"/>
        <w:bottom w:val="none" w:sz="0" w:space="0" w:color="auto"/>
        <w:right w:val="none" w:sz="0" w:space="0" w:color="auto"/>
      </w:divBdr>
    </w:div>
    <w:div w:id="1486971654">
      <w:marLeft w:val="0"/>
      <w:marRight w:val="0"/>
      <w:marTop w:val="0"/>
      <w:marBottom w:val="0"/>
      <w:divBdr>
        <w:top w:val="none" w:sz="0" w:space="0" w:color="auto"/>
        <w:left w:val="none" w:sz="0" w:space="0" w:color="auto"/>
        <w:bottom w:val="none" w:sz="0" w:space="0" w:color="auto"/>
        <w:right w:val="none" w:sz="0" w:space="0" w:color="auto"/>
      </w:divBdr>
    </w:div>
    <w:div w:id="1486971656">
      <w:marLeft w:val="0"/>
      <w:marRight w:val="0"/>
      <w:marTop w:val="0"/>
      <w:marBottom w:val="0"/>
      <w:divBdr>
        <w:top w:val="none" w:sz="0" w:space="0" w:color="auto"/>
        <w:left w:val="none" w:sz="0" w:space="0" w:color="auto"/>
        <w:bottom w:val="none" w:sz="0" w:space="0" w:color="auto"/>
        <w:right w:val="none" w:sz="0" w:space="0" w:color="auto"/>
      </w:divBdr>
    </w:div>
    <w:div w:id="1486971658">
      <w:marLeft w:val="0"/>
      <w:marRight w:val="0"/>
      <w:marTop w:val="0"/>
      <w:marBottom w:val="0"/>
      <w:divBdr>
        <w:top w:val="none" w:sz="0" w:space="0" w:color="auto"/>
        <w:left w:val="none" w:sz="0" w:space="0" w:color="auto"/>
        <w:bottom w:val="none" w:sz="0" w:space="0" w:color="auto"/>
        <w:right w:val="none" w:sz="0" w:space="0" w:color="auto"/>
      </w:divBdr>
    </w:div>
    <w:div w:id="1486971659">
      <w:marLeft w:val="0"/>
      <w:marRight w:val="0"/>
      <w:marTop w:val="0"/>
      <w:marBottom w:val="0"/>
      <w:divBdr>
        <w:top w:val="none" w:sz="0" w:space="0" w:color="auto"/>
        <w:left w:val="none" w:sz="0" w:space="0" w:color="auto"/>
        <w:bottom w:val="none" w:sz="0" w:space="0" w:color="auto"/>
        <w:right w:val="none" w:sz="0" w:space="0" w:color="auto"/>
      </w:divBdr>
    </w:div>
    <w:div w:id="1486971660">
      <w:marLeft w:val="0"/>
      <w:marRight w:val="0"/>
      <w:marTop w:val="0"/>
      <w:marBottom w:val="0"/>
      <w:divBdr>
        <w:top w:val="none" w:sz="0" w:space="0" w:color="auto"/>
        <w:left w:val="none" w:sz="0" w:space="0" w:color="auto"/>
        <w:bottom w:val="none" w:sz="0" w:space="0" w:color="auto"/>
        <w:right w:val="none" w:sz="0" w:space="0" w:color="auto"/>
      </w:divBdr>
      <w:divsChild>
        <w:div w:id="1486971443">
          <w:marLeft w:val="288"/>
          <w:marRight w:val="0"/>
          <w:marTop w:val="160"/>
          <w:marBottom w:val="0"/>
          <w:divBdr>
            <w:top w:val="none" w:sz="0" w:space="0" w:color="auto"/>
            <w:left w:val="none" w:sz="0" w:space="0" w:color="auto"/>
            <w:bottom w:val="none" w:sz="0" w:space="0" w:color="auto"/>
            <w:right w:val="none" w:sz="0" w:space="0" w:color="auto"/>
          </w:divBdr>
        </w:div>
        <w:div w:id="1486971444">
          <w:marLeft w:val="288"/>
          <w:marRight w:val="0"/>
          <w:marTop w:val="160"/>
          <w:marBottom w:val="0"/>
          <w:divBdr>
            <w:top w:val="none" w:sz="0" w:space="0" w:color="auto"/>
            <w:left w:val="none" w:sz="0" w:space="0" w:color="auto"/>
            <w:bottom w:val="none" w:sz="0" w:space="0" w:color="auto"/>
            <w:right w:val="none" w:sz="0" w:space="0" w:color="auto"/>
          </w:divBdr>
        </w:div>
        <w:div w:id="1486971451">
          <w:marLeft w:val="979"/>
          <w:marRight w:val="0"/>
          <w:marTop w:val="77"/>
          <w:marBottom w:val="0"/>
          <w:divBdr>
            <w:top w:val="none" w:sz="0" w:space="0" w:color="auto"/>
            <w:left w:val="none" w:sz="0" w:space="0" w:color="auto"/>
            <w:bottom w:val="none" w:sz="0" w:space="0" w:color="auto"/>
            <w:right w:val="none" w:sz="0" w:space="0" w:color="auto"/>
          </w:divBdr>
        </w:div>
        <w:div w:id="1486971458">
          <w:marLeft w:val="979"/>
          <w:marRight w:val="0"/>
          <w:marTop w:val="77"/>
          <w:marBottom w:val="0"/>
          <w:divBdr>
            <w:top w:val="none" w:sz="0" w:space="0" w:color="auto"/>
            <w:left w:val="none" w:sz="0" w:space="0" w:color="auto"/>
            <w:bottom w:val="none" w:sz="0" w:space="0" w:color="auto"/>
            <w:right w:val="none" w:sz="0" w:space="0" w:color="auto"/>
          </w:divBdr>
        </w:div>
        <w:div w:id="1486971467">
          <w:marLeft w:val="979"/>
          <w:marRight w:val="0"/>
          <w:marTop w:val="77"/>
          <w:marBottom w:val="0"/>
          <w:divBdr>
            <w:top w:val="none" w:sz="0" w:space="0" w:color="auto"/>
            <w:left w:val="none" w:sz="0" w:space="0" w:color="auto"/>
            <w:bottom w:val="none" w:sz="0" w:space="0" w:color="auto"/>
            <w:right w:val="none" w:sz="0" w:space="0" w:color="auto"/>
          </w:divBdr>
        </w:div>
        <w:div w:id="1486971481">
          <w:marLeft w:val="288"/>
          <w:marRight w:val="0"/>
          <w:marTop w:val="160"/>
          <w:marBottom w:val="0"/>
          <w:divBdr>
            <w:top w:val="none" w:sz="0" w:space="0" w:color="auto"/>
            <w:left w:val="none" w:sz="0" w:space="0" w:color="auto"/>
            <w:bottom w:val="none" w:sz="0" w:space="0" w:color="auto"/>
            <w:right w:val="none" w:sz="0" w:space="0" w:color="auto"/>
          </w:divBdr>
        </w:div>
        <w:div w:id="1486971491">
          <w:marLeft w:val="979"/>
          <w:marRight w:val="0"/>
          <w:marTop w:val="77"/>
          <w:marBottom w:val="0"/>
          <w:divBdr>
            <w:top w:val="none" w:sz="0" w:space="0" w:color="auto"/>
            <w:left w:val="none" w:sz="0" w:space="0" w:color="auto"/>
            <w:bottom w:val="none" w:sz="0" w:space="0" w:color="auto"/>
            <w:right w:val="none" w:sz="0" w:space="0" w:color="auto"/>
          </w:divBdr>
        </w:div>
        <w:div w:id="1486971558">
          <w:marLeft w:val="288"/>
          <w:marRight w:val="0"/>
          <w:marTop w:val="160"/>
          <w:marBottom w:val="0"/>
          <w:divBdr>
            <w:top w:val="none" w:sz="0" w:space="0" w:color="auto"/>
            <w:left w:val="none" w:sz="0" w:space="0" w:color="auto"/>
            <w:bottom w:val="none" w:sz="0" w:space="0" w:color="auto"/>
            <w:right w:val="none" w:sz="0" w:space="0" w:color="auto"/>
          </w:divBdr>
        </w:div>
        <w:div w:id="1486971572">
          <w:marLeft w:val="979"/>
          <w:marRight w:val="0"/>
          <w:marTop w:val="77"/>
          <w:marBottom w:val="0"/>
          <w:divBdr>
            <w:top w:val="none" w:sz="0" w:space="0" w:color="auto"/>
            <w:left w:val="none" w:sz="0" w:space="0" w:color="auto"/>
            <w:bottom w:val="none" w:sz="0" w:space="0" w:color="auto"/>
            <w:right w:val="none" w:sz="0" w:space="0" w:color="auto"/>
          </w:divBdr>
        </w:div>
        <w:div w:id="1486971606">
          <w:marLeft w:val="979"/>
          <w:marRight w:val="0"/>
          <w:marTop w:val="77"/>
          <w:marBottom w:val="0"/>
          <w:divBdr>
            <w:top w:val="none" w:sz="0" w:space="0" w:color="auto"/>
            <w:left w:val="none" w:sz="0" w:space="0" w:color="auto"/>
            <w:bottom w:val="none" w:sz="0" w:space="0" w:color="auto"/>
            <w:right w:val="none" w:sz="0" w:space="0" w:color="auto"/>
          </w:divBdr>
        </w:div>
        <w:div w:id="1486971624">
          <w:marLeft w:val="979"/>
          <w:marRight w:val="0"/>
          <w:marTop w:val="77"/>
          <w:marBottom w:val="0"/>
          <w:divBdr>
            <w:top w:val="none" w:sz="0" w:space="0" w:color="auto"/>
            <w:left w:val="none" w:sz="0" w:space="0" w:color="auto"/>
            <w:bottom w:val="none" w:sz="0" w:space="0" w:color="auto"/>
            <w:right w:val="none" w:sz="0" w:space="0" w:color="auto"/>
          </w:divBdr>
        </w:div>
        <w:div w:id="1486971643">
          <w:marLeft w:val="979"/>
          <w:marRight w:val="0"/>
          <w:marTop w:val="77"/>
          <w:marBottom w:val="0"/>
          <w:divBdr>
            <w:top w:val="none" w:sz="0" w:space="0" w:color="auto"/>
            <w:left w:val="none" w:sz="0" w:space="0" w:color="auto"/>
            <w:bottom w:val="none" w:sz="0" w:space="0" w:color="auto"/>
            <w:right w:val="none" w:sz="0" w:space="0" w:color="auto"/>
          </w:divBdr>
        </w:div>
        <w:div w:id="1486971651">
          <w:marLeft w:val="288"/>
          <w:marRight w:val="0"/>
          <w:marTop w:val="86"/>
          <w:marBottom w:val="0"/>
          <w:divBdr>
            <w:top w:val="none" w:sz="0" w:space="0" w:color="auto"/>
            <w:left w:val="none" w:sz="0" w:space="0" w:color="auto"/>
            <w:bottom w:val="none" w:sz="0" w:space="0" w:color="auto"/>
            <w:right w:val="none" w:sz="0" w:space="0" w:color="auto"/>
          </w:divBdr>
        </w:div>
        <w:div w:id="1486971910">
          <w:marLeft w:val="288"/>
          <w:marRight w:val="0"/>
          <w:marTop w:val="160"/>
          <w:marBottom w:val="0"/>
          <w:divBdr>
            <w:top w:val="none" w:sz="0" w:space="0" w:color="auto"/>
            <w:left w:val="none" w:sz="0" w:space="0" w:color="auto"/>
            <w:bottom w:val="none" w:sz="0" w:space="0" w:color="auto"/>
            <w:right w:val="none" w:sz="0" w:space="0" w:color="auto"/>
          </w:divBdr>
        </w:div>
      </w:divsChild>
    </w:div>
    <w:div w:id="1486971670">
      <w:marLeft w:val="0"/>
      <w:marRight w:val="0"/>
      <w:marTop w:val="0"/>
      <w:marBottom w:val="0"/>
      <w:divBdr>
        <w:top w:val="none" w:sz="0" w:space="0" w:color="auto"/>
        <w:left w:val="none" w:sz="0" w:space="0" w:color="auto"/>
        <w:bottom w:val="none" w:sz="0" w:space="0" w:color="auto"/>
        <w:right w:val="none" w:sz="0" w:space="0" w:color="auto"/>
      </w:divBdr>
    </w:div>
    <w:div w:id="1486971672">
      <w:marLeft w:val="0"/>
      <w:marRight w:val="0"/>
      <w:marTop w:val="0"/>
      <w:marBottom w:val="0"/>
      <w:divBdr>
        <w:top w:val="none" w:sz="0" w:space="0" w:color="auto"/>
        <w:left w:val="none" w:sz="0" w:space="0" w:color="auto"/>
        <w:bottom w:val="none" w:sz="0" w:space="0" w:color="auto"/>
        <w:right w:val="none" w:sz="0" w:space="0" w:color="auto"/>
      </w:divBdr>
      <w:divsChild>
        <w:div w:id="1486971705">
          <w:marLeft w:val="1166"/>
          <w:marRight w:val="0"/>
          <w:marTop w:val="77"/>
          <w:marBottom w:val="0"/>
          <w:divBdr>
            <w:top w:val="none" w:sz="0" w:space="0" w:color="auto"/>
            <w:left w:val="none" w:sz="0" w:space="0" w:color="auto"/>
            <w:bottom w:val="none" w:sz="0" w:space="0" w:color="auto"/>
            <w:right w:val="none" w:sz="0" w:space="0" w:color="auto"/>
          </w:divBdr>
        </w:div>
      </w:divsChild>
    </w:div>
    <w:div w:id="1486971675">
      <w:marLeft w:val="0"/>
      <w:marRight w:val="0"/>
      <w:marTop w:val="0"/>
      <w:marBottom w:val="0"/>
      <w:divBdr>
        <w:top w:val="none" w:sz="0" w:space="0" w:color="auto"/>
        <w:left w:val="none" w:sz="0" w:space="0" w:color="auto"/>
        <w:bottom w:val="none" w:sz="0" w:space="0" w:color="auto"/>
        <w:right w:val="none" w:sz="0" w:space="0" w:color="auto"/>
      </w:divBdr>
    </w:div>
    <w:div w:id="1486971678">
      <w:marLeft w:val="0"/>
      <w:marRight w:val="0"/>
      <w:marTop w:val="0"/>
      <w:marBottom w:val="0"/>
      <w:divBdr>
        <w:top w:val="none" w:sz="0" w:space="0" w:color="auto"/>
        <w:left w:val="none" w:sz="0" w:space="0" w:color="auto"/>
        <w:bottom w:val="none" w:sz="0" w:space="0" w:color="auto"/>
        <w:right w:val="none" w:sz="0" w:space="0" w:color="auto"/>
      </w:divBdr>
    </w:div>
    <w:div w:id="1486971679">
      <w:marLeft w:val="0"/>
      <w:marRight w:val="0"/>
      <w:marTop w:val="0"/>
      <w:marBottom w:val="0"/>
      <w:divBdr>
        <w:top w:val="none" w:sz="0" w:space="0" w:color="auto"/>
        <w:left w:val="none" w:sz="0" w:space="0" w:color="auto"/>
        <w:bottom w:val="none" w:sz="0" w:space="0" w:color="auto"/>
        <w:right w:val="none" w:sz="0" w:space="0" w:color="auto"/>
      </w:divBdr>
    </w:div>
    <w:div w:id="1486971680">
      <w:marLeft w:val="0"/>
      <w:marRight w:val="0"/>
      <w:marTop w:val="0"/>
      <w:marBottom w:val="0"/>
      <w:divBdr>
        <w:top w:val="none" w:sz="0" w:space="0" w:color="auto"/>
        <w:left w:val="none" w:sz="0" w:space="0" w:color="auto"/>
        <w:bottom w:val="none" w:sz="0" w:space="0" w:color="auto"/>
        <w:right w:val="none" w:sz="0" w:space="0" w:color="auto"/>
      </w:divBdr>
    </w:div>
    <w:div w:id="1486971683">
      <w:marLeft w:val="0"/>
      <w:marRight w:val="0"/>
      <w:marTop w:val="0"/>
      <w:marBottom w:val="0"/>
      <w:divBdr>
        <w:top w:val="none" w:sz="0" w:space="0" w:color="auto"/>
        <w:left w:val="none" w:sz="0" w:space="0" w:color="auto"/>
        <w:bottom w:val="none" w:sz="0" w:space="0" w:color="auto"/>
        <w:right w:val="none" w:sz="0" w:space="0" w:color="auto"/>
      </w:divBdr>
      <w:divsChild>
        <w:div w:id="1486971709">
          <w:marLeft w:val="0"/>
          <w:marRight w:val="0"/>
          <w:marTop w:val="86"/>
          <w:marBottom w:val="0"/>
          <w:divBdr>
            <w:top w:val="none" w:sz="0" w:space="0" w:color="auto"/>
            <w:left w:val="none" w:sz="0" w:space="0" w:color="auto"/>
            <w:bottom w:val="none" w:sz="0" w:space="0" w:color="auto"/>
            <w:right w:val="none" w:sz="0" w:space="0" w:color="auto"/>
          </w:divBdr>
        </w:div>
        <w:div w:id="1486971859">
          <w:marLeft w:val="0"/>
          <w:marRight w:val="0"/>
          <w:marTop w:val="86"/>
          <w:marBottom w:val="0"/>
          <w:divBdr>
            <w:top w:val="none" w:sz="0" w:space="0" w:color="auto"/>
            <w:left w:val="none" w:sz="0" w:space="0" w:color="auto"/>
            <w:bottom w:val="none" w:sz="0" w:space="0" w:color="auto"/>
            <w:right w:val="none" w:sz="0" w:space="0" w:color="auto"/>
          </w:divBdr>
        </w:div>
        <w:div w:id="1486971861">
          <w:marLeft w:val="0"/>
          <w:marRight w:val="0"/>
          <w:marTop w:val="86"/>
          <w:marBottom w:val="0"/>
          <w:divBdr>
            <w:top w:val="none" w:sz="0" w:space="0" w:color="auto"/>
            <w:left w:val="none" w:sz="0" w:space="0" w:color="auto"/>
            <w:bottom w:val="none" w:sz="0" w:space="0" w:color="auto"/>
            <w:right w:val="none" w:sz="0" w:space="0" w:color="auto"/>
          </w:divBdr>
        </w:div>
      </w:divsChild>
    </w:div>
    <w:div w:id="1486971687">
      <w:marLeft w:val="0"/>
      <w:marRight w:val="0"/>
      <w:marTop w:val="0"/>
      <w:marBottom w:val="0"/>
      <w:divBdr>
        <w:top w:val="none" w:sz="0" w:space="0" w:color="auto"/>
        <w:left w:val="none" w:sz="0" w:space="0" w:color="auto"/>
        <w:bottom w:val="none" w:sz="0" w:space="0" w:color="auto"/>
        <w:right w:val="none" w:sz="0" w:space="0" w:color="auto"/>
      </w:divBdr>
    </w:div>
    <w:div w:id="1486971691">
      <w:marLeft w:val="0"/>
      <w:marRight w:val="0"/>
      <w:marTop w:val="0"/>
      <w:marBottom w:val="0"/>
      <w:divBdr>
        <w:top w:val="none" w:sz="0" w:space="0" w:color="auto"/>
        <w:left w:val="none" w:sz="0" w:space="0" w:color="auto"/>
        <w:bottom w:val="none" w:sz="0" w:space="0" w:color="auto"/>
        <w:right w:val="none" w:sz="0" w:space="0" w:color="auto"/>
      </w:divBdr>
    </w:div>
    <w:div w:id="1486971693">
      <w:marLeft w:val="0"/>
      <w:marRight w:val="0"/>
      <w:marTop w:val="0"/>
      <w:marBottom w:val="0"/>
      <w:divBdr>
        <w:top w:val="none" w:sz="0" w:space="0" w:color="auto"/>
        <w:left w:val="none" w:sz="0" w:space="0" w:color="auto"/>
        <w:bottom w:val="none" w:sz="0" w:space="0" w:color="auto"/>
        <w:right w:val="none" w:sz="0" w:space="0" w:color="auto"/>
      </w:divBdr>
    </w:div>
    <w:div w:id="1486971694">
      <w:marLeft w:val="0"/>
      <w:marRight w:val="0"/>
      <w:marTop w:val="0"/>
      <w:marBottom w:val="0"/>
      <w:divBdr>
        <w:top w:val="none" w:sz="0" w:space="0" w:color="auto"/>
        <w:left w:val="none" w:sz="0" w:space="0" w:color="auto"/>
        <w:bottom w:val="none" w:sz="0" w:space="0" w:color="auto"/>
        <w:right w:val="none" w:sz="0" w:space="0" w:color="auto"/>
      </w:divBdr>
    </w:div>
    <w:div w:id="1486971695">
      <w:marLeft w:val="0"/>
      <w:marRight w:val="0"/>
      <w:marTop w:val="0"/>
      <w:marBottom w:val="0"/>
      <w:divBdr>
        <w:top w:val="none" w:sz="0" w:space="0" w:color="auto"/>
        <w:left w:val="none" w:sz="0" w:space="0" w:color="auto"/>
        <w:bottom w:val="none" w:sz="0" w:space="0" w:color="auto"/>
        <w:right w:val="none" w:sz="0" w:space="0" w:color="auto"/>
      </w:divBdr>
    </w:div>
    <w:div w:id="1486971696">
      <w:marLeft w:val="0"/>
      <w:marRight w:val="0"/>
      <w:marTop w:val="0"/>
      <w:marBottom w:val="0"/>
      <w:divBdr>
        <w:top w:val="none" w:sz="0" w:space="0" w:color="auto"/>
        <w:left w:val="none" w:sz="0" w:space="0" w:color="auto"/>
        <w:bottom w:val="none" w:sz="0" w:space="0" w:color="auto"/>
        <w:right w:val="none" w:sz="0" w:space="0" w:color="auto"/>
      </w:divBdr>
      <w:divsChild>
        <w:div w:id="1486971702">
          <w:marLeft w:val="835"/>
          <w:marRight w:val="0"/>
          <w:marTop w:val="60"/>
          <w:marBottom w:val="60"/>
          <w:divBdr>
            <w:top w:val="none" w:sz="0" w:space="0" w:color="auto"/>
            <w:left w:val="none" w:sz="0" w:space="0" w:color="auto"/>
            <w:bottom w:val="none" w:sz="0" w:space="0" w:color="auto"/>
            <w:right w:val="none" w:sz="0" w:space="0" w:color="auto"/>
          </w:divBdr>
        </w:div>
        <w:div w:id="1486971863">
          <w:marLeft w:val="835"/>
          <w:marRight w:val="0"/>
          <w:marTop w:val="60"/>
          <w:marBottom w:val="60"/>
          <w:divBdr>
            <w:top w:val="none" w:sz="0" w:space="0" w:color="auto"/>
            <w:left w:val="none" w:sz="0" w:space="0" w:color="auto"/>
            <w:bottom w:val="none" w:sz="0" w:space="0" w:color="auto"/>
            <w:right w:val="none" w:sz="0" w:space="0" w:color="auto"/>
          </w:divBdr>
        </w:div>
        <w:div w:id="1486971894">
          <w:marLeft w:val="835"/>
          <w:marRight w:val="0"/>
          <w:marTop w:val="60"/>
          <w:marBottom w:val="60"/>
          <w:divBdr>
            <w:top w:val="none" w:sz="0" w:space="0" w:color="auto"/>
            <w:left w:val="none" w:sz="0" w:space="0" w:color="auto"/>
            <w:bottom w:val="none" w:sz="0" w:space="0" w:color="auto"/>
            <w:right w:val="none" w:sz="0" w:space="0" w:color="auto"/>
          </w:divBdr>
        </w:div>
      </w:divsChild>
    </w:div>
    <w:div w:id="1486971697">
      <w:marLeft w:val="0"/>
      <w:marRight w:val="0"/>
      <w:marTop w:val="0"/>
      <w:marBottom w:val="0"/>
      <w:divBdr>
        <w:top w:val="none" w:sz="0" w:space="0" w:color="auto"/>
        <w:left w:val="none" w:sz="0" w:space="0" w:color="auto"/>
        <w:bottom w:val="none" w:sz="0" w:space="0" w:color="auto"/>
        <w:right w:val="none" w:sz="0" w:space="0" w:color="auto"/>
      </w:divBdr>
    </w:div>
    <w:div w:id="1486971699">
      <w:marLeft w:val="0"/>
      <w:marRight w:val="0"/>
      <w:marTop w:val="0"/>
      <w:marBottom w:val="0"/>
      <w:divBdr>
        <w:top w:val="none" w:sz="0" w:space="0" w:color="auto"/>
        <w:left w:val="none" w:sz="0" w:space="0" w:color="auto"/>
        <w:bottom w:val="none" w:sz="0" w:space="0" w:color="auto"/>
        <w:right w:val="none" w:sz="0" w:space="0" w:color="auto"/>
      </w:divBdr>
      <w:divsChild>
        <w:div w:id="1486971661">
          <w:marLeft w:val="0"/>
          <w:marRight w:val="0"/>
          <w:marTop w:val="86"/>
          <w:marBottom w:val="0"/>
          <w:divBdr>
            <w:top w:val="none" w:sz="0" w:space="0" w:color="auto"/>
            <w:left w:val="none" w:sz="0" w:space="0" w:color="auto"/>
            <w:bottom w:val="none" w:sz="0" w:space="0" w:color="auto"/>
            <w:right w:val="none" w:sz="0" w:space="0" w:color="auto"/>
          </w:divBdr>
        </w:div>
        <w:div w:id="1486971663">
          <w:marLeft w:val="562"/>
          <w:marRight w:val="0"/>
          <w:marTop w:val="120"/>
          <w:marBottom w:val="0"/>
          <w:divBdr>
            <w:top w:val="none" w:sz="0" w:space="0" w:color="auto"/>
            <w:left w:val="none" w:sz="0" w:space="0" w:color="auto"/>
            <w:bottom w:val="none" w:sz="0" w:space="0" w:color="auto"/>
            <w:right w:val="none" w:sz="0" w:space="0" w:color="auto"/>
          </w:divBdr>
        </w:div>
        <w:div w:id="1486971708">
          <w:marLeft w:val="0"/>
          <w:marRight w:val="0"/>
          <w:marTop w:val="86"/>
          <w:marBottom w:val="0"/>
          <w:divBdr>
            <w:top w:val="none" w:sz="0" w:space="0" w:color="auto"/>
            <w:left w:val="none" w:sz="0" w:space="0" w:color="auto"/>
            <w:bottom w:val="none" w:sz="0" w:space="0" w:color="auto"/>
            <w:right w:val="none" w:sz="0" w:space="0" w:color="auto"/>
          </w:divBdr>
        </w:div>
        <w:div w:id="1486971711">
          <w:marLeft w:val="0"/>
          <w:marRight w:val="0"/>
          <w:marTop w:val="86"/>
          <w:marBottom w:val="0"/>
          <w:divBdr>
            <w:top w:val="none" w:sz="0" w:space="0" w:color="auto"/>
            <w:left w:val="none" w:sz="0" w:space="0" w:color="auto"/>
            <w:bottom w:val="none" w:sz="0" w:space="0" w:color="auto"/>
            <w:right w:val="none" w:sz="0" w:space="0" w:color="auto"/>
          </w:divBdr>
        </w:div>
        <w:div w:id="1486971717">
          <w:marLeft w:val="562"/>
          <w:marRight w:val="0"/>
          <w:marTop w:val="120"/>
          <w:marBottom w:val="0"/>
          <w:divBdr>
            <w:top w:val="none" w:sz="0" w:space="0" w:color="auto"/>
            <w:left w:val="none" w:sz="0" w:space="0" w:color="auto"/>
            <w:bottom w:val="none" w:sz="0" w:space="0" w:color="auto"/>
            <w:right w:val="none" w:sz="0" w:space="0" w:color="auto"/>
          </w:divBdr>
        </w:div>
        <w:div w:id="1486971720">
          <w:marLeft w:val="562"/>
          <w:marRight w:val="0"/>
          <w:marTop w:val="120"/>
          <w:marBottom w:val="0"/>
          <w:divBdr>
            <w:top w:val="none" w:sz="0" w:space="0" w:color="auto"/>
            <w:left w:val="none" w:sz="0" w:space="0" w:color="auto"/>
            <w:bottom w:val="none" w:sz="0" w:space="0" w:color="auto"/>
            <w:right w:val="none" w:sz="0" w:space="0" w:color="auto"/>
          </w:divBdr>
        </w:div>
        <w:div w:id="1486971724">
          <w:marLeft w:val="562"/>
          <w:marRight w:val="0"/>
          <w:marTop w:val="0"/>
          <w:marBottom w:val="0"/>
          <w:divBdr>
            <w:top w:val="none" w:sz="0" w:space="0" w:color="auto"/>
            <w:left w:val="none" w:sz="0" w:space="0" w:color="auto"/>
            <w:bottom w:val="none" w:sz="0" w:space="0" w:color="auto"/>
            <w:right w:val="none" w:sz="0" w:space="0" w:color="auto"/>
          </w:divBdr>
        </w:div>
        <w:div w:id="1486971810">
          <w:marLeft w:val="562"/>
          <w:marRight w:val="0"/>
          <w:marTop w:val="120"/>
          <w:marBottom w:val="0"/>
          <w:divBdr>
            <w:top w:val="none" w:sz="0" w:space="0" w:color="auto"/>
            <w:left w:val="none" w:sz="0" w:space="0" w:color="auto"/>
            <w:bottom w:val="none" w:sz="0" w:space="0" w:color="auto"/>
            <w:right w:val="none" w:sz="0" w:space="0" w:color="auto"/>
          </w:divBdr>
        </w:div>
      </w:divsChild>
    </w:div>
    <w:div w:id="1486971703">
      <w:marLeft w:val="0"/>
      <w:marRight w:val="0"/>
      <w:marTop w:val="0"/>
      <w:marBottom w:val="0"/>
      <w:divBdr>
        <w:top w:val="none" w:sz="0" w:space="0" w:color="auto"/>
        <w:left w:val="none" w:sz="0" w:space="0" w:color="auto"/>
        <w:bottom w:val="none" w:sz="0" w:space="0" w:color="auto"/>
        <w:right w:val="none" w:sz="0" w:space="0" w:color="auto"/>
      </w:divBdr>
    </w:div>
    <w:div w:id="1486971715">
      <w:marLeft w:val="0"/>
      <w:marRight w:val="0"/>
      <w:marTop w:val="0"/>
      <w:marBottom w:val="0"/>
      <w:divBdr>
        <w:top w:val="none" w:sz="0" w:space="0" w:color="auto"/>
        <w:left w:val="none" w:sz="0" w:space="0" w:color="auto"/>
        <w:bottom w:val="none" w:sz="0" w:space="0" w:color="auto"/>
        <w:right w:val="none" w:sz="0" w:space="0" w:color="auto"/>
      </w:divBdr>
    </w:div>
    <w:div w:id="1486971729">
      <w:marLeft w:val="0"/>
      <w:marRight w:val="0"/>
      <w:marTop w:val="0"/>
      <w:marBottom w:val="0"/>
      <w:divBdr>
        <w:top w:val="none" w:sz="0" w:space="0" w:color="auto"/>
        <w:left w:val="none" w:sz="0" w:space="0" w:color="auto"/>
        <w:bottom w:val="none" w:sz="0" w:space="0" w:color="auto"/>
        <w:right w:val="none" w:sz="0" w:space="0" w:color="auto"/>
      </w:divBdr>
      <w:divsChild>
        <w:div w:id="1486971713">
          <w:marLeft w:val="979"/>
          <w:marRight w:val="0"/>
          <w:marTop w:val="77"/>
          <w:marBottom w:val="0"/>
          <w:divBdr>
            <w:top w:val="none" w:sz="0" w:space="0" w:color="auto"/>
            <w:left w:val="none" w:sz="0" w:space="0" w:color="auto"/>
            <w:bottom w:val="none" w:sz="0" w:space="0" w:color="auto"/>
            <w:right w:val="none" w:sz="0" w:space="0" w:color="auto"/>
          </w:divBdr>
        </w:div>
        <w:div w:id="1486971723">
          <w:marLeft w:val="288"/>
          <w:marRight w:val="0"/>
          <w:marTop w:val="160"/>
          <w:marBottom w:val="0"/>
          <w:divBdr>
            <w:top w:val="none" w:sz="0" w:space="0" w:color="auto"/>
            <w:left w:val="none" w:sz="0" w:space="0" w:color="auto"/>
            <w:bottom w:val="none" w:sz="0" w:space="0" w:color="auto"/>
            <w:right w:val="none" w:sz="0" w:space="0" w:color="auto"/>
          </w:divBdr>
        </w:div>
        <w:div w:id="1486971725">
          <w:marLeft w:val="979"/>
          <w:marRight w:val="0"/>
          <w:marTop w:val="77"/>
          <w:marBottom w:val="0"/>
          <w:divBdr>
            <w:top w:val="none" w:sz="0" w:space="0" w:color="auto"/>
            <w:left w:val="none" w:sz="0" w:space="0" w:color="auto"/>
            <w:bottom w:val="none" w:sz="0" w:space="0" w:color="auto"/>
            <w:right w:val="none" w:sz="0" w:space="0" w:color="auto"/>
          </w:divBdr>
        </w:div>
        <w:div w:id="1486971727">
          <w:marLeft w:val="288"/>
          <w:marRight w:val="0"/>
          <w:marTop w:val="160"/>
          <w:marBottom w:val="0"/>
          <w:divBdr>
            <w:top w:val="none" w:sz="0" w:space="0" w:color="auto"/>
            <w:left w:val="none" w:sz="0" w:space="0" w:color="auto"/>
            <w:bottom w:val="none" w:sz="0" w:space="0" w:color="auto"/>
            <w:right w:val="none" w:sz="0" w:space="0" w:color="auto"/>
          </w:divBdr>
        </w:div>
        <w:div w:id="1486971741">
          <w:marLeft w:val="288"/>
          <w:marRight w:val="0"/>
          <w:marTop w:val="160"/>
          <w:marBottom w:val="0"/>
          <w:divBdr>
            <w:top w:val="none" w:sz="0" w:space="0" w:color="auto"/>
            <w:left w:val="none" w:sz="0" w:space="0" w:color="auto"/>
            <w:bottom w:val="none" w:sz="0" w:space="0" w:color="auto"/>
            <w:right w:val="none" w:sz="0" w:space="0" w:color="auto"/>
          </w:divBdr>
        </w:div>
        <w:div w:id="1486971747">
          <w:marLeft w:val="979"/>
          <w:marRight w:val="0"/>
          <w:marTop w:val="77"/>
          <w:marBottom w:val="0"/>
          <w:divBdr>
            <w:top w:val="none" w:sz="0" w:space="0" w:color="auto"/>
            <w:left w:val="none" w:sz="0" w:space="0" w:color="auto"/>
            <w:bottom w:val="none" w:sz="0" w:space="0" w:color="auto"/>
            <w:right w:val="none" w:sz="0" w:space="0" w:color="auto"/>
          </w:divBdr>
        </w:div>
        <w:div w:id="1486971754">
          <w:marLeft w:val="288"/>
          <w:marRight w:val="0"/>
          <w:marTop w:val="160"/>
          <w:marBottom w:val="0"/>
          <w:divBdr>
            <w:top w:val="none" w:sz="0" w:space="0" w:color="auto"/>
            <w:left w:val="none" w:sz="0" w:space="0" w:color="auto"/>
            <w:bottom w:val="none" w:sz="0" w:space="0" w:color="auto"/>
            <w:right w:val="none" w:sz="0" w:space="0" w:color="auto"/>
          </w:divBdr>
        </w:div>
        <w:div w:id="1486971758">
          <w:marLeft w:val="979"/>
          <w:marRight w:val="0"/>
          <w:marTop w:val="77"/>
          <w:marBottom w:val="0"/>
          <w:divBdr>
            <w:top w:val="none" w:sz="0" w:space="0" w:color="auto"/>
            <w:left w:val="none" w:sz="0" w:space="0" w:color="auto"/>
            <w:bottom w:val="none" w:sz="0" w:space="0" w:color="auto"/>
            <w:right w:val="none" w:sz="0" w:space="0" w:color="auto"/>
          </w:divBdr>
        </w:div>
        <w:div w:id="1486971812">
          <w:marLeft w:val="288"/>
          <w:marRight w:val="0"/>
          <w:marTop w:val="160"/>
          <w:marBottom w:val="0"/>
          <w:divBdr>
            <w:top w:val="none" w:sz="0" w:space="0" w:color="auto"/>
            <w:left w:val="none" w:sz="0" w:space="0" w:color="auto"/>
            <w:bottom w:val="none" w:sz="0" w:space="0" w:color="auto"/>
            <w:right w:val="none" w:sz="0" w:space="0" w:color="auto"/>
          </w:divBdr>
        </w:div>
        <w:div w:id="1486971816">
          <w:marLeft w:val="979"/>
          <w:marRight w:val="0"/>
          <w:marTop w:val="77"/>
          <w:marBottom w:val="0"/>
          <w:divBdr>
            <w:top w:val="none" w:sz="0" w:space="0" w:color="auto"/>
            <w:left w:val="none" w:sz="0" w:space="0" w:color="auto"/>
            <w:bottom w:val="none" w:sz="0" w:space="0" w:color="auto"/>
            <w:right w:val="none" w:sz="0" w:space="0" w:color="auto"/>
          </w:divBdr>
        </w:div>
        <w:div w:id="1486971818">
          <w:marLeft w:val="979"/>
          <w:marRight w:val="0"/>
          <w:marTop w:val="77"/>
          <w:marBottom w:val="0"/>
          <w:divBdr>
            <w:top w:val="none" w:sz="0" w:space="0" w:color="auto"/>
            <w:left w:val="none" w:sz="0" w:space="0" w:color="auto"/>
            <w:bottom w:val="none" w:sz="0" w:space="0" w:color="auto"/>
            <w:right w:val="none" w:sz="0" w:space="0" w:color="auto"/>
          </w:divBdr>
        </w:div>
        <w:div w:id="1486971826">
          <w:marLeft w:val="979"/>
          <w:marRight w:val="0"/>
          <w:marTop w:val="77"/>
          <w:marBottom w:val="0"/>
          <w:divBdr>
            <w:top w:val="none" w:sz="0" w:space="0" w:color="auto"/>
            <w:left w:val="none" w:sz="0" w:space="0" w:color="auto"/>
            <w:bottom w:val="none" w:sz="0" w:space="0" w:color="auto"/>
            <w:right w:val="none" w:sz="0" w:space="0" w:color="auto"/>
          </w:divBdr>
        </w:div>
        <w:div w:id="1486971855">
          <w:marLeft w:val="979"/>
          <w:marRight w:val="0"/>
          <w:marTop w:val="77"/>
          <w:marBottom w:val="0"/>
          <w:divBdr>
            <w:top w:val="none" w:sz="0" w:space="0" w:color="auto"/>
            <w:left w:val="none" w:sz="0" w:space="0" w:color="auto"/>
            <w:bottom w:val="none" w:sz="0" w:space="0" w:color="auto"/>
            <w:right w:val="none" w:sz="0" w:space="0" w:color="auto"/>
          </w:divBdr>
        </w:div>
        <w:div w:id="1486971883">
          <w:marLeft w:val="288"/>
          <w:marRight w:val="0"/>
          <w:marTop w:val="86"/>
          <w:marBottom w:val="0"/>
          <w:divBdr>
            <w:top w:val="none" w:sz="0" w:space="0" w:color="auto"/>
            <w:left w:val="none" w:sz="0" w:space="0" w:color="auto"/>
            <w:bottom w:val="none" w:sz="0" w:space="0" w:color="auto"/>
            <w:right w:val="none" w:sz="0" w:space="0" w:color="auto"/>
          </w:divBdr>
        </w:div>
      </w:divsChild>
    </w:div>
    <w:div w:id="1486971731">
      <w:marLeft w:val="0"/>
      <w:marRight w:val="0"/>
      <w:marTop w:val="0"/>
      <w:marBottom w:val="0"/>
      <w:divBdr>
        <w:top w:val="none" w:sz="0" w:space="0" w:color="auto"/>
        <w:left w:val="none" w:sz="0" w:space="0" w:color="auto"/>
        <w:bottom w:val="none" w:sz="0" w:space="0" w:color="auto"/>
        <w:right w:val="none" w:sz="0" w:space="0" w:color="auto"/>
      </w:divBdr>
    </w:div>
    <w:div w:id="1486971734">
      <w:marLeft w:val="0"/>
      <w:marRight w:val="0"/>
      <w:marTop w:val="0"/>
      <w:marBottom w:val="0"/>
      <w:divBdr>
        <w:top w:val="none" w:sz="0" w:space="0" w:color="auto"/>
        <w:left w:val="none" w:sz="0" w:space="0" w:color="auto"/>
        <w:bottom w:val="none" w:sz="0" w:space="0" w:color="auto"/>
        <w:right w:val="none" w:sz="0" w:space="0" w:color="auto"/>
      </w:divBdr>
    </w:div>
    <w:div w:id="1486971736">
      <w:marLeft w:val="0"/>
      <w:marRight w:val="0"/>
      <w:marTop w:val="0"/>
      <w:marBottom w:val="0"/>
      <w:divBdr>
        <w:top w:val="none" w:sz="0" w:space="0" w:color="auto"/>
        <w:left w:val="none" w:sz="0" w:space="0" w:color="auto"/>
        <w:bottom w:val="none" w:sz="0" w:space="0" w:color="auto"/>
        <w:right w:val="none" w:sz="0" w:space="0" w:color="auto"/>
      </w:divBdr>
    </w:div>
    <w:div w:id="1486971740">
      <w:marLeft w:val="0"/>
      <w:marRight w:val="0"/>
      <w:marTop w:val="0"/>
      <w:marBottom w:val="0"/>
      <w:divBdr>
        <w:top w:val="none" w:sz="0" w:space="0" w:color="auto"/>
        <w:left w:val="none" w:sz="0" w:space="0" w:color="auto"/>
        <w:bottom w:val="none" w:sz="0" w:space="0" w:color="auto"/>
        <w:right w:val="none" w:sz="0" w:space="0" w:color="auto"/>
      </w:divBdr>
      <w:divsChild>
        <w:div w:id="1486971682">
          <w:marLeft w:val="547"/>
          <w:marRight w:val="0"/>
          <w:marTop w:val="77"/>
          <w:marBottom w:val="0"/>
          <w:divBdr>
            <w:top w:val="none" w:sz="0" w:space="0" w:color="auto"/>
            <w:left w:val="none" w:sz="0" w:space="0" w:color="auto"/>
            <w:bottom w:val="none" w:sz="0" w:space="0" w:color="auto"/>
            <w:right w:val="none" w:sz="0" w:space="0" w:color="auto"/>
          </w:divBdr>
        </w:div>
        <w:div w:id="1486971733">
          <w:marLeft w:val="547"/>
          <w:marRight w:val="0"/>
          <w:marTop w:val="0"/>
          <w:marBottom w:val="40"/>
          <w:divBdr>
            <w:top w:val="none" w:sz="0" w:space="0" w:color="auto"/>
            <w:left w:val="none" w:sz="0" w:space="0" w:color="auto"/>
            <w:bottom w:val="none" w:sz="0" w:space="0" w:color="auto"/>
            <w:right w:val="none" w:sz="0" w:space="0" w:color="auto"/>
          </w:divBdr>
        </w:div>
        <w:div w:id="1486971737">
          <w:marLeft w:val="547"/>
          <w:marRight w:val="0"/>
          <w:marTop w:val="0"/>
          <w:marBottom w:val="40"/>
          <w:divBdr>
            <w:top w:val="none" w:sz="0" w:space="0" w:color="auto"/>
            <w:left w:val="none" w:sz="0" w:space="0" w:color="auto"/>
            <w:bottom w:val="none" w:sz="0" w:space="0" w:color="auto"/>
            <w:right w:val="none" w:sz="0" w:space="0" w:color="auto"/>
          </w:divBdr>
        </w:div>
        <w:div w:id="1486971739">
          <w:marLeft w:val="547"/>
          <w:marRight w:val="0"/>
          <w:marTop w:val="0"/>
          <w:marBottom w:val="40"/>
          <w:divBdr>
            <w:top w:val="none" w:sz="0" w:space="0" w:color="auto"/>
            <w:left w:val="none" w:sz="0" w:space="0" w:color="auto"/>
            <w:bottom w:val="none" w:sz="0" w:space="0" w:color="auto"/>
            <w:right w:val="none" w:sz="0" w:space="0" w:color="auto"/>
          </w:divBdr>
        </w:div>
        <w:div w:id="1486971742">
          <w:marLeft w:val="547"/>
          <w:marRight w:val="0"/>
          <w:marTop w:val="0"/>
          <w:marBottom w:val="40"/>
          <w:divBdr>
            <w:top w:val="none" w:sz="0" w:space="0" w:color="auto"/>
            <w:left w:val="none" w:sz="0" w:space="0" w:color="auto"/>
            <w:bottom w:val="none" w:sz="0" w:space="0" w:color="auto"/>
            <w:right w:val="none" w:sz="0" w:space="0" w:color="auto"/>
          </w:divBdr>
        </w:div>
        <w:div w:id="1486971749">
          <w:marLeft w:val="547"/>
          <w:marRight w:val="0"/>
          <w:marTop w:val="0"/>
          <w:marBottom w:val="40"/>
          <w:divBdr>
            <w:top w:val="none" w:sz="0" w:space="0" w:color="auto"/>
            <w:left w:val="none" w:sz="0" w:space="0" w:color="auto"/>
            <w:bottom w:val="none" w:sz="0" w:space="0" w:color="auto"/>
            <w:right w:val="none" w:sz="0" w:space="0" w:color="auto"/>
          </w:divBdr>
        </w:div>
        <w:div w:id="1486971761">
          <w:marLeft w:val="547"/>
          <w:marRight w:val="0"/>
          <w:marTop w:val="77"/>
          <w:marBottom w:val="0"/>
          <w:divBdr>
            <w:top w:val="none" w:sz="0" w:space="0" w:color="auto"/>
            <w:left w:val="none" w:sz="0" w:space="0" w:color="auto"/>
            <w:bottom w:val="none" w:sz="0" w:space="0" w:color="auto"/>
            <w:right w:val="none" w:sz="0" w:space="0" w:color="auto"/>
          </w:divBdr>
        </w:div>
        <w:div w:id="1486971777">
          <w:marLeft w:val="547"/>
          <w:marRight w:val="0"/>
          <w:marTop w:val="0"/>
          <w:marBottom w:val="40"/>
          <w:divBdr>
            <w:top w:val="none" w:sz="0" w:space="0" w:color="auto"/>
            <w:left w:val="none" w:sz="0" w:space="0" w:color="auto"/>
            <w:bottom w:val="none" w:sz="0" w:space="0" w:color="auto"/>
            <w:right w:val="none" w:sz="0" w:space="0" w:color="auto"/>
          </w:divBdr>
        </w:div>
        <w:div w:id="1486971811">
          <w:marLeft w:val="547"/>
          <w:marRight w:val="0"/>
          <w:marTop w:val="0"/>
          <w:marBottom w:val="40"/>
          <w:divBdr>
            <w:top w:val="none" w:sz="0" w:space="0" w:color="auto"/>
            <w:left w:val="none" w:sz="0" w:space="0" w:color="auto"/>
            <w:bottom w:val="none" w:sz="0" w:space="0" w:color="auto"/>
            <w:right w:val="none" w:sz="0" w:space="0" w:color="auto"/>
          </w:divBdr>
        </w:div>
        <w:div w:id="1486971820">
          <w:marLeft w:val="547"/>
          <w:marRight w:val="0"/>
          <w:marTop w:val="0"/>
          <w:marBottom w:val="40"/>
          <w:divBdr>
            <w:top w:val="none" w:sz="0" w:space="0" w:color="auto"/>
            <w:left w:val="none" w:sz="0" w:space="0" w:color="auto"/>
            <w:bottom w:val="none" w:sz="0" w:space="0" w:color="auto"/>
            <w:right w:val="none" w:sz="0" w:space="0" w:color="auto"/>
          </w:divBdr>
        </w:div>
        <w:div w:id="1486971884">
          <w:marLeft w:val="547"/>
          <w:marRight w:val="0"/>
          <w:marTop w:val="0"/>
          <w:marBottom w:val="40"/>
          <w:divBdr>
            <w:top w:val="none" w:sz="0" w:space="0" w:color="auto"/>
            <w:left w:val="none" w:sz="0" w:space="0" w:color="auto"/>
            <w:bottom w:val="none" w:sz="0" w:space="0" w:color="auto"/>
            <w:right w:val="none" w:sz="0" w:space="0" w:color="auto"/>
          </w:divBdr>
        </w:div>
        <w:div w:id="1486971886">
          <w:marLeft w:val="547"/>
          <w:marRight w:val="0"/>
          <w:marTop w:val="77"/>
          <w:marBottom w:val="0"/>
          <w:divBdr>
            <w:top w:val="none" w:sz="0" w:space="0" w:color="auto"/>
            <w:left w:val="none" w:sz="0" w:space="0" w:color="auto"/>
            <w:bottom w:val="none" w:sz="0" w:space="0" w:color="auto"/>
            <w:right w:val="none" w:sz="0" w:space="0" w:color="auto"/>
          </w:divBdr>
        </w:div>
      </w:divsChild>
    </w:div>
    <w:div w:id="1486971743">
      <w:marLeft w:val="0"/>
      <w:marRight w:val="0"/>
      <w:marTop w:val="0"/>
      <w:marBottom w:val="0"/>
      <w:divBdr>
        <w:top w:val="none" w:sz="0" w:space="0" w:color="auto"/>
        <w:left w:val="none" w:sz="0" w:space="0" w:color="auto"/>
        <w:bottom w:val="none" w:sz="0" w:space="0" w:color="auto"/>
        <w:right w:val="none" w:sz="0" w:space="0" w:color="auto"/>
      </w:divBdr>
    </w:div>
    <w:div w:id="1486971745">
      <w:marLeft w:val="0"/>
      <w:marRight w:val="0"/>
      <w:marTop w:val="0"/>
      <w:marBottom w:val="0"/>
      <w:divBdr>
        <w:top w:val="none" w:sz="0" w:space="0" w:color="auto"/>
        <w:left w:val="none" w:sz="0" w:space="0" w:color="auto"/>
        <w:bottom w:val="none" w:sz="0" w:space="0" w:color="auto"/>
        <w:right w:val="none" w:sz="0" w:space="0" w:color="auto"/>
      </w:divBdr>
    </w:div>
    <w:div w:id="1486971746">
      <w:marLeft w:val="0"/>
      <w:marRight w:val="0"/>
      <w:marTop w:val="0"/>
      <w:marBottom w:val="0"/>
      <w:divBdr>
        <w:top w:val="none" w:sz="0" w:space="0" w:color="auto"/>
        <w:left w:val="none" w:sz="0" w:space="0" w:color="auto"/>
        <w:bottom w:val="none" w:sz="0" w:space="0" w:color="auto"/>
        <w:right w:val="none" w:sz="0" w:space="0" w:color="auto"/>
      </w:divBdr>
    </w:div>
    <w:div w:id="1486971748">
      <w:marLeft w:val="0"/>
      <w:marRight w:val="0"/>
      <w:marTop w:val="0"/>
      <w:marBottom w:val="0"/>
      <w:divBdr>
        <w:top w:val="none" w:sz="0" w:space="0" w:color="auto"/>
        <w:left w:val="none" w:sz="0" w:space="0" w:color="auto"/>
        <w:bottom w:val="none" w:sz="0" w:space="0" w:color="auto"/>
        <w:right w:val="none" w:sz="0" w:space="0" w:color="auto"/>
      </w:divBdr>
    </w:div>
    <w:div w:id="1486971751">
      <w:marLeft w:val="0"/>
      <w:marRight w:val="0"/>
      <w:marTop w:val="0"/>
      <w:marBottom w:val="0"/>
      <w:divBdr>
        <w:top w:val="none" w:sz="0" w:space="0" w:color="auto"/>
        <w:left w:val="none" w:sz="0" w:space="0" w:color="auto"/>
        <w:bottom w:val="none" w:sz="0" w:space="0" w:color="auto"/>
        <w:right w:val="none" w:sz="0" w:space="0" w:color="auto"/>
      </w:divBdr>
    </w:div>
    <w:div w:id="1486971753">
      <w:marLeft w:val="0"/>
      <w:marRight w:val="0"/>
      <w:marTop w:val="0"/>
      <w:marBottom w:val="0"/>
      <w:divBdr>
        <w:top w:val="none" w:sz="0" w:space="0" w:color="auto"/>
        <w:left w:val="none" w:sz="0" w:space="0" w:color="auto"/>
        <w:bottom w:val="none" w:sz="0" w:space="0" w:color="auto"/>
        <w:right w:val="none" w:sz="0" w:space="0" w:color="auto"/>
      </w:divBdr>
    </w:div>
    <w:div w:id="1486971755">
      <w:marLeft w:val="0"/>
      <w:marRight w:val="0"/>
      <w:marTop w:val="0"/>
      <w:marBottom w:val="0"/>
      <w:divBdr>
        <w:top w:val="none" w:sz="0" w:space="0" w:color="auto"/>
        <w:left w:val="none" w:sz="0" w:space="0" w:color="auto"/>
        <w:bottom w:val="none" w:sz="0" w:space="0" w:color="auto"/>
        <w:right w:val="none" w:sz="0" w:space="0" w:color="auto"/>
      </w:divBdr>
      <w:divsChild>
        <w:div w:id="1486971685">
          <w:marLeft w:val="547"/>
          <w:marRight w:val="0"/>
          <w:marTop w:val="96"/>
          <w:marBottom w:val="0"/>
          <w:divBdr>
            <w:top w:val="none" w:sz="0" w:space="0" w:color="auto"/>
            <w:left w:val="none" w:sz="0" w:space="0" w:color="auto"/>
            <w:bottom w:val="none" w:sz="0" w:space="0" w:color="auto"/>
            <w:right w:val="none" w:sz="0" w:space="0" w:color="auto"/>
          </w:divBdr>
        </w:div>
        <w:div w:id="1486971752">
          <w:marLeft w:val="547"/>
          <w:marRight w:val="0"/>
          <w:marTop w:val="96"/>
          <w:marBottom w:val="0"/>
          <w:divBdr>
            <w:top w:val="none" w:sz="0" w:space="0" w:color="auto"/>
            <w:left w:val="none" w:sz="0" w:space="0" w:color="auto"/>
            <w:bottom w:val="none" w:sz="0" w:space="0" w:color="auto"/>
            <w:right w:val="none" w:sz="0" w:space="0" w:color="auto"/>
          </w:divBdr>
        </w:div>
        <w:div w:id="1486971757">
          <w:marLeft w:val="547"/>
          <w:marRight w:val="0"/>
          <w:marTop w:val="96"/>
          <w:marBottom w:val="0"/>
          <w:divBdr>
            <w:top w:val="none" w:sz="0" w:space="0" w:color="auto"/>
            <w:left w:val="none" w:sz="0" w:space="0" w:color="auto"/>
            <w:bottom w:val="none" w:sz="0" w:space="0" w:color="auto"/>
            <w:right w:val="none" w:sz="0" w:space="0" w:color="auto"/>
          </w:divBdr>
        </w:div>
        <w:div w:id="1486971778">
          <w:marLeft w:val="547"/>
          <w:marRight w:val="0"/>
          <w:marTop w:val="96"/>
          <w:marBottom w:val="0"/>
          <w:divBdr>
            <w:top w:val="none" w:sz="0" w:space="0" w:color="auto"/>
            <w:left w:val="none" w:sz="0" w:space="0" w:color="auto"/>
            <w:bottom w:val="none" w:sz="0" w:space="0" w:color="auto"/>
            <w:right w:val="none" w:sz="0" w:space="0" w:color="auto"/>
          </w:divBdr>
        </w:div>
        <w:div w:id="1486971817">
          <w:marLeft w:val="547"/>
          <w:marRight w:val="0"/>
          <w:marTop w:val="96"/>
          <w:marBottom w:val="0"/>
          <w:divBdr>
            <w:top w:val="none" w:sz="0" w:space="0" w:color="auto"/>
            <w:left w:val="none" w:sz="0" w:space="0" w:color="auto"/>
            <w:bottom w:val="none" w:sz="0" w:space="0" w:color="auto"/>
            <w:right w:val="none" w:sz="0" w:space="0" w:color="auto"/>
          </w:divBdr>
        </w:div>
        <w:div w:id="1486971860">
          <w:marLeft w:val="547"/>
          <w:marRight w:val="0"/>
          <w:marTop w:val="96"/>
          <w:marBottom w:val="0"/>
          <w:divBdr>
            <w:top w:val="none" w:sz="0" w:space="0" w:color="auto"/>
            <w:left w:val="none" w:sz="0" w:space="0" w:color="auto"/>
            <w:bottom w:val="none" w:sz="0" w:space="0" w:color="auto"/>
            <w:right w:val="none" w:sz="0" w:space="0" w:color="auto"/>
          </w:divBdr>
        </w:div>
      </w:divsChild>
    </w:div>
    <w:div w:id="1486971759">
      <w:marLeft w:val="0"/>
      <w:marRight w:val="0"/>
      <w:marTop w:val="0"/>
      <w:marBottom w:val="0"/>
      <w:divBdr>
        <w:top w:val="none" w:sz="0" w:space="0" w:color="auto"/>
        <w:left w:val="none" w:sz="0" w:space="0" w:color="auto"/>
        <w:bottom w:val="none" w:sz="0" w:space="0" w:color="auto"/>
        <w:right w:val="none" w:sz="0" w:space="0" w:color="auto"/>
      </w:divBdr>
    </w:div>
    <w:div w:id="1486971760">
      <w:marLeft w:val="0"/>
      <w:marRight w:val="0"/>
      <w:marTop w:val="0"/>
      <w:marBottom w:val="0"/>
      <w:divBdr>
        <w:top w:val="none" w:sz="0" w:space="0" w:color="auto"/>
        <w:left w:val="none" w:sz="0" w:space="0" w:color="auto"/>
        <w:bottom w:val="none" w:sz="0" w:space="0" w:color="auto"/>
        <w:right w:val="none" w:sz="0" w:space="0" w:color="auto"/>
      </w:divBdr>
    </w:div>
    <w:div w:id="1486971762">
      <w:marLeft w:val="0"/>
      <w:marRight w:val="0"/>
      <w:marTop w:val="0"/>
      <w:marBottom w:val="0"/>
      <w:divBdr>
        <w:top w:val="none" w:sz="0" w:space="0" w:color="auto"/>
        <w:left w:val="none" w:sz="0" w:space="0" w:color="auto"/>
        <w:bottom w:val="none" w:sz="0" w:space="0" w:color="auto"/>
        <w:right w:val="none" w:sz="0" w:space="0" w:color="auto"/>
      </w:divBdr>
    </w:div>
    <w:div w:id="1486971763">
      <w:marLeft w:val="0"/>
      <w:marRight w:val="0"/>
      <w:marTop w:val="0"/>
      <w:marBottom w:val="0"/>
      <w:divBdr>
        <w:top w:val="none" w:sz="0" w:space="0" w:color="auto"/>
        <w:left w:val="none" w:sz="0" w:space="0" w:color="auto"/>
        <w:bottom w:val="none" w:sz="0" w:space="0" w:color="auto"/>
        <w:right w:val="none" w:sz="0" w:space="0" w:color="auto"/>
      </w:divBdr>
    </w:div>
    <w:div w:id="1486971765">
      <w:marLeft w:val="0"/>
      <w:marRight w:val="0"/>
      <w:marTop w:val="0"/>
      <w:marBottom w:val="0"/>
      <w:divBdr>
        <w:top w:val="none" w:sz="0" w:space="0" w:color="auto"/>
        <w:left w:val="none" w:sz="0" w:space="0" w:color="auto"/>
        <w:bottom w:val="none" w:sz="0" w:space="0" w:color="auto"/>
        <w:right w:val="none" w:sz="0" w:space="0" w:color="auto"/>
      </w:divBdr>
      <w:divsChild>
        <w:div w:id="1486971787">
          <w:marLeft w:val="1166"/>
          <w:marRight w:val="0"/>
          <w:marTop w:val="77"/>
          <w:marBottom w:val="0"/>
          <w:divBdr>
            <w:top w:val="none" w:sz="0" w:space="0" w:color="auto"/>
            <w:left w:val="none" w:sz="0" w:space="0" w:color="auto"/>
            <w:bottom w:val="none" w:sz="0" w:space="0" w:color="auto"/>
            <w:right w:val="none" w:sz="0" w:space="0" w:color="auto"/>
          </w:divBdr>
        </w:div>
        <w:div w:id="1486971792">
          <w:marLeft w:val="1166"/>
          <w:marRight w:val="0"/>
          <w:marTop w:val="77"/>
          <w:marBottom w:val="0"/>
          <w:divBdr>
            <w:top w:val="none" w:sz="0" w:space="0" w:color="auto"/>
            <w:left w:val="none" w:sz="0" w:space="0" w:color="auto"/>
            <w:bottom w:val="none" w:sz="0" w:space="0" w:color="auto"/>
            <w:right w:val="none" w:sz="0" w:space="0" w:color="auto"/>
          </w:divBdr>
        </w:div>
      </w:divsChild>
    </w:div>
    <w:div w:id="1486971768">
      <w:marLeft w:val="0"/>
      <w:marRight w:val="0"/>
      <w:marTop w:val="0"/>
      <w:marBottom w:val="0"/>
      <w:divBdr>
        <w:top w:val="none" w:sz="0" w:space="0" w:color="auto"/>
        <w:left w:val="none" w:sz="0" w:space="0" w:color="auto"/>
        <w:bottom w:val="none" w:sz="0" w:space="0" w:color="auto"/>
        <w:right w:val="none" w:sz="0" w:space="0" w:color="auto"/>
      </w:divBdr>
    </w:div>
    <w:div w:id="1486971769">
      <w:marLeft w:val="0"/>
      <w:marRight w:val="0"/>
      <w:marTop w:val="0"/>
      <w:marBottom w:val="0"/>
      <w:divBdr>
        <w:top w:val="none" w:sz="0" w:space="0" w:color="auto"/>
        <w:left w:val="none" w:sz="0" w:space="0" w:color="auto"/>
        <w:bottom w:val="none" w:sz="0" w:space="0" w:color="auto"/>
        <w:right w:val="none" w:sz="0" w:space="0" w:color="auto"/>
      </w:divBdr>
    </w:div>
    <w:div w:id="1486971772">
      <w:marLeft w:val="0"/>
      <w:marRight w:val="0"/>
      <w:marTop w:val="0"/>
      <w:marBottom w:val="0"/>
      <w:divBdr>
        <w:top w:val="none" w:sz="0" w:space="0" w:color="auto"/>
        <w:left w:val="none" w:sz="0" w:space="0" w:color="auto"/>
        <w:bottom w:val="none" w:sz="0" w:space="0" w:color="auto"/>
        <w:right w:val="none" w:sz="0" w:space="0" w:color="auto"/>
      </w:divBdr>
    </w:div>
    <w:div w:id="1486971774">
      <w:marLeft w:val="0"/>
      <w:marRight w:val="0"/>
      <w:marTop w:val="0"/>
      <w:marBottom w:val="0"/>
      <w:divBdr>
        <w:top w:val="none" w:sz="0" w:space="0" w:color="auto"/>
        <w:left w:val="none" w:sz="0" w:space="0" w:color="auto"/>
        <w:bottom w:val="none" w:sz="0" w:space="0" w:color="auto"/>
        <w:right w:val="none" w:sz="0" w:space="0" w:color="auto"/>
      </w:divBdr>
    </w:div>
    <w:div w:id="1486971779">
      <w:marLeft w:val="0"/>
      <w:marRight w:val="0"/>
      <w:marTop w:val="0"/>
      <w:marBottom w:val="0"/>
      <w:divBdr>
        <w:top w:val="none" w:sz="0" w:space="0" w:color="auto"/>
        <w:left w:val="none" w:sz="0" w:space="0" w:color="auto"/>
        <w:bottom w:val="none" w:sz="0" w:space="0" w:color="auto"/>
        <w:right w:val="none" w:sz="0" w:space="0" w:color="auto"/>
      </w:divBdr>
    </w:div>
    <w:div w:id="1486971781">
      <w:marLeft w:val="0"/>
      <w:marRight w:val="0"/>
      <w:marTop w:val="0"/>
      <w:marBottom w:val="0"/>
      <w:divBdr>
        <w:top w:val="none" w:sz="0" w:space="0" w:color="auto"/>
        <w:left w:val="none" w:sz="0" w:space="0" w:color="auto"/>
        <w:bottom w:val="none" w:sz="0" w:space="0" w:color="auto"/>
        <w:right w:val="none" w:sz="0" w:space="0" w:color="auto"/>
      </w:divBdr>
      <w:divsChild>
        <w:div w:id="1486971698">
          <w:marLeft w:val="1166"/>
          <w:marRight w:val="0"/>
          <w:marTop w:val="96"/>
          <w:marBottom w:val="0"/>
          <w:divBdr>
            <w:top w:val="none" w:sz="0" w:space="0" w:color="auto"/>
            <w:left w:val="none" w:sz="0" w:space="0" w:color="auto"/>
            <w:bottom w:val="none" w:sz="0" w:space="0" w:color="auto"/>
            <w:right w:val="none" w:sz="0" w:space="0" w:color="auto"/>
          </w:divBdr>
        </w:div>
        <w:div w:id="1486971728">
          <w:marLeft w:val="1166"/>
          <w:marRight w:val="0"/>
          <w:marTop w:val="96"/>
          <w:marBottom w:val="0"/>
          <w:divBdr>
            <w:top w:val="none" w:sz="0" w:space="0" w:color="auto"/>
            <w:left w:val="none" w:sz="0" w:space="0" w:color="auto"/>
            <w:bottom w:val="none" w:sz="0" w:space="0" w:color="auto"/>
            <w:right w:val="none" w:sz="0" w:space="0" w:color="auto"/>
          </w:divBdr>
        </w:div>
        <w:div w:id="1486971735">
          <w:marLeft w:val="1166"/>
          <w:marRight w:val="0"/>
          <w:marTop w:val="96"/>
          <w:marBottom w:val="0"/>
          <w:divBdr>
            <w:top w:val="none" w:sz="0" w:space="0" w:color="auto"/>
            <w:left w:val="none" w:sz="0" w:space="0" w:color="auto"/>
            <w:bottom w:val="none" w:sz="0" w:space="0" w:color="auto"/>
            <w:right w:val="none" w:sz="0" w:space="0" w:color="auto"/>
          </w:divBdr>
        </w:div>
        <w:div w:id="1486971744">
          <w:marLeft w:val="1166"/>
          <w:marRight w:val="0"/>
          <w:marTop w:val="96"/>
          <w:marBottom w:val="0"/>
          <w:divBdr>
            <w:top w:val="none" w:sz="0" w:space="0" w:color="auto"/>
            <w:left w:val="none" w:sz="0" w:space="0" w:color="auto"/>
            <w:bottom w:val="none" w:sz="0" w:space="0" w:color="auto"/>
            <w:right w:val="none" w:sz="0" w:space="0" w:color="auto"/>
          </w:divBdr>
        </w:div>
        <w:div w:id="1486971836">
          <w:marLeft w:val="1166"/>
          <w:marRight w:val="0"/>
          <w:marTop w:val="96"/>
          <w:marBottom w:val="0"/>
          <w:divBdr>
            <w:top w:val="none" w:sz="0" w:space="0" w:color="auto"/>
            <w:left w:val="none" w:sz="0" w:space="0" w:color="auto"/>
            <w:bottom w:val="none" w:sz="0" w:space="0" w:color="auto"/>
            <w:right w:val="none" w:sz="0" w:space="0" w:color="auto"/>
          </w:divBdr>
        </w:div>
      </w:divsChild>
    </w:div>
    <w:div w:id="1486971782">
      <w:marLeft w:val="0"/>
      <w:marRight w:val="0"/>
      <w:marTop w:val="0"/>
      <w:marBottom w:val="0"/>
      <w:divBdr>
        <w:top w:val="none" w:sz="0" w:space="0" w:color="auto"/>
        <w:left w:val="none" w:sz="0" w:space="0" w:color="auto"/>
        <w:bottom w:val="none" w:sz="0" w:space="0" w:color="auto"/>
        <w:right w:val="none" w:sz="0" w:space="0" w:color="auto"/>
      </w:divBdr>
    </w:div>
    <w:div w:id="1486971783">
      <w:marLeft w:val="0"/>
      <w:marRight w:val="0"/>
      <w:marTop w:val="0"/>
      <w:marBottom w:val="0"/>
      <w:divBdr>
        <w:top w:val="none" w:sz="0" w:space="0" w:color="auto"/>
        <w:left w:val="none" w:sz="0" w:space="0" w:color="auto"/>
        <w:bottom w:val="none" w:sz="0" w:space="0" w:color="auto"/>
        <w:right w:val="none" w:sz="0" w:space="0" w:color="auto"/>
      </w:divBdr>
    </w:div>
    <w:div w:id="1486971784">
      <w:marLeft w:val="0"/>
      <w:marRight w:val="0"/>
      <w:marTop w:val="0"/>
      <w:marBottom w:val="0"/>
      <w:divBdr>
        <w:top w:val="none" w:sz="0" w:space="0" w:color="auto"/>
        <w:left w:val="none" w:sz="0" w:space="0" w:color="auto"/>
        <w:bottom w:val="none" w:sz="0" w:space="0" w:color="auto"/>
        <w:right w:val="none" w:sz="0" w:space="0" w:color="auto"/>
      </w:divBdr>
    </w:div>
    <w:div w:id="1486971788">
      <w:marLeft w:val="0"/>
      <w:marRight w:val="0"/>
      <w:marTop w:val="0"/>
      <w:marBottom w:val="0"/>
      <w:divBdr>
        <w:top w:val="none" w:sz="0" w:space="0" w:color="auto"/>
        <w:left w:val="none" w:sz="0" w:space="0" w:color="auto"/>
        <w:bottom w:val="none" w:sz="0" w:space="0" w:color="auto"/>
        <w:right w:val="none" w:sz="0" w:space="0" w:color="auto"/>
      </w:divBdr>
      <w:divsChild>
        <w:div w:id="1486971664">
          <w:marLeft w:val="547"/>
          <w:marRight w:val="0"/>
          <w:marTop w:val="96"/>
          <w:marBottom w:val="120"/>
          <w:divBdr>
            <w:top w:val="none" w:sz="0" w:space="0" w:color="auto"/>
            <w:left w:val="none" w:sz="0" w:space="0" w:color="auto"/>
            <w:bottom w:val="none" w:sz="0" w:space="0" w:color="auto"/>
            <w:right w:val="none" w:sz="0" w:space="0" w:color="auto"/>
          </w:divBdr>
        </w:div>
        <w:div w:id="1486971700">
          <w:marLeft w:val="547"/>
          <w:marRight w:val="0"/>
          <w:marTop w:val="96"/>
          <w:marBottom w:val="120"/>
          <w:divBdr>
            <w:top w:val="none" w:sz="0" w:space="0" w:color="auto"/>
            <w:left w:val="none" w:sz="0" w:space="0" w:color="auto"/>
            <w:bottom w:val="none" w:sz="0" w:space="0" w:color="auto"/>
            <w:right w:val="none" w:sz="0" w:space="0" w:color="auto"/>
          </w:divBdr>
        </w:div>
        <w:div w:id="1486971706">
          <w:marLeft w:val="547"/>
          <w:marRight w:val="0"/>
          <w:marTop w:val="96"/>
          <w:marBottom w:val="120"/>
          <w:divBdr>
            <w:top w:val="none" w:sz="0" w:space="0" w:color="auto"/>
            <w:left w:val="none" w:sz="0" w:space="0" w:color="auto"/>
            <w:bottom w:val="none" w:sz="0" w:space="0" w:color="auto"/>
            <w:right w:val="none" w:sz="0" w:space="0" w:color="auto"/>
          </w:divBdr>
        </w:div>
        <w:div w:id="1486971707">
          <w:marLeft w:val="547"/>
          <w:marRight w:val="0"/>
          <w:marTop w:val="96"/>
          <w:marBottom w:val="120"/>
          <w:divBdr>
            <w:top w:val="none" w:sz="0" w:space="0" w:color="auto"/>
            <w:left w:val="none" w:sz="0" w:space="0" w:color="auto"/>
            <w:bottom w:val="none" w:sz="0" w:space="0" w:color="auto"/>
            <w:right w:val="none" w:sz="0" w:space="0" w:color="auto"/>
          </w:divBdr>
        </w:div>
        <w:div w:id="1486971716">
          <w:marLeft w:val="547"/>
          <w:marRight w:val="0"/>
          <w:marTop w:val="96"/>
          <w:marBottom w:val="120"/>
          <w:divBdr>
            <w:top w:val="none" w:sz="0" w:space="0" w:color="auto"/>
            <w:left w:val="none" w:sz="0" w:space="0" w:color="auto"/>
            <w:bottom w:val="none" w:sz="0" w:space="0" w:color="auto"/>
            <w:right w:val="none" w:sz="0" w:space="0" w:color="auto"/>
          </w:divBdr>
        </w:div>
        <w:div w:id="1486971730">
          <w:marLeft w:val="547"/>
          <w:marRight w:val="0"/>
          <w:marTop w:val="96"/>
          <w:marBottom w:val="120"/>
          <w:divBdr>
            <w:top w:val="none" w:sz="0" w:space="0" w:color="auto"/>
            <w:left w:val="none" w:sz="0" w:space="0" w:color="auto"/>
            <w:bottom w:val="none" w:sz="0" w:space="0" w:color="auto"/>
            <w:right w:val="none" w:sz="0" w:space="0" w:color="auto"/>
          </w:divBdr>
        </w:div>
        <w:div w:id="1486971838">
          <w:marLeft w:val="547"/>
          <w:marRight w:val="0"/>
          <w:marTop w:val="96"/>
          <w:marBottom w:val="120"/>
          <w:divBdr>
            <w:top w:val="none" w:sz="0" w:space="0" w:color="auto"/>
            <w:left w:val="none" w:sz="0" w:space="0" w:color="auto"/>
            <w:bottom w:val="none" w:sz="0" w:space="0" w:color="auto"/>
            <w:right w:val="none" w:sz="0" w:space="0" w:color="auto"/>
          </w:divBdr>
        </w:div>
      </w:divsChild>
    </w:div>
    <w:div w:id="1486971790">
      <w:marLeft w:val="0"/>
      <w:marRight w:val="0"/>
      <w:marTop w:val="0"/>
      <w:marBottom w:val="0"/>
      <w:divBdr>
        <w:top w:val="none" w:sz="0" w:space="0" w:color="auto"/>
        <w:left w:val="none" w:sz="0" w:space="0" w:color="auto"/>
        <w:bottom w:val="none" w:sz="0" w:space="0" w:color="auto"/>
        <w:right w:val="none" w:sz="0" w:space="0" w:color="auto"/>
      </w:divBdr>
      <w:divsChild>
        <w:div w:id="1486971689">
          <w:marLeft w:val="1166"/>
          <w:marRight w:val="0"/>
          <w:marTop w:val="96"/>
          <w:marBottom w:val="0"/>
          <w:divBdr>
            <w:top w:val="none" w:sz="0" w:space="0" w:color="auto"/>
            <w:left w:val="none" w:sz="0" w:space="0" w:color="auto"/>
            <w:bottom w:val="none" w:sz="0" w:space="0" w:color="auto"/>
            <w:right w:val="none" w:sz="0" w:space="0" w:color="auto"/>
          </w:divBdr>
        </w:div>
        <w:div w:id="1486971710">
          <w:marLeft w:val="1166"/>
          <w:marRight w:val="0"/>
          <w:marTop w:val="96"/>
          <w:marBottom w:val="0"/>
          <w:divBdr>
            <w:top w:val="none" w:sz="0" w:space="0" w:color="auto"/>
            <w:left w:val="none" w:sz="0" w:space="0" w:color="auto"/>
            <w:bottom w:val="none" w:sz="0" w:space="0" w:color="auto"/>
            <w:right w:val="none" w:sz="0" w:space="0" w:color="auto"/>
          </w:divBdr>
        </w:div>
        <w:div w:id="1486971732">
          <w:marLeft w:val="1166"/>
          <w:marRight w:val="0"/>
          <w:marTop w:val="96"/>
          <w:marBottom w:val="0"/>
          <w:divBdr>
            <w:top w:val="none" w:sz="0" w:space="0" w:color="auto"/>
            <w:left w:val="none" w:sz="0" w:space="0" w:color="auto"/>
            <w:bottom w:val="none" w:sz="0" w:space="0" w:color="auto"/>
            <w:right w:val="none" w:sz="0" w:space="0" w:color="auto"/>
          </w:divBdr>
        </w:div>
        <w:div w:id="1486971756">
          <w:marLeft w:val="1166"/>
          <w:marRight w:val="0"/>
          <w:marTop w:val="96"/>
          <w:marBottom w:val="0"/>
          <w:divBdr>
            <w:top w:val="none" w:sz="0" w:space="0" w:color="auto"/>
            <w:left w:val="none" w:sz="0" w:space="0" w:color="auto"/>
            <w:bottom w:val="none" w:sz="0" w:space="0" w:color="auto"/>
            <w:right w:val="none" w:sz="0" w:space="0" w:color="auto"/>
          </w:divBdr>
        </w:div>
        <w:div w:id="1486971829">
          <w:marLeft w:val="1166"/>
          <w:marRight w:val="0"/>
          <w:marTop w:val="96"/>
          <w:marBottom w:val="0"/>
          <w:divBdr>
            <w:top w:val="none" w:sz="0" w:space="0" w:color="auto"/>
            <w:left w:val="none" w:sz="0" w:space="0" w:color="auto"/>
            <w:bottom w:val="none" w:sz="0" w:space="0" w:color="auto"/>
            <w:right w:val="none" w:sz="0" w:space="0" w:color="auto"/>
          </w:divBdr>
        </w:div>
      </w:divsChild>
    </w:div>
    <w:div w:id="1486971793">
      <w:marLeft w:val="0"/>
      <w:marRight w:val="0"/>
      <w:marTop w:val="0"/>
      <w:marBottom w:val="0"/>
      <w:divBdr>
        <w:top w:val="none" w:sz="0" w:space="0" w:color="auto"/>
        <w:left w:val="none" w:sz="0" w:space="0" w:color="auto"/>
        <w:bottom w:val="none" w:sz="0" w:space="0" w:color="auto"/>
        <w:right w:val="none" w:sz="0" w:space="0" w:color="auto"/>
      </w:divBdr>
    </w:div>
    <w:div w:id="1486971795">
      <w:marLeft w:val="0"/>
      <w:marRight w:val="0"/>
      <w:marTop w:val="0"/>
      <w:marBottom w:val="0"/>
      <w:divBdr>
        <w:top w:val="none" w:sz="0" w:space="0" w:color="auto"/>
        <w:left w:val="none" w:sz="0" w:space="0" w:color="auto"/>
        <w:bottom w:val="none" w:sz="0" w:space="0" w:color="auto"/>
        <w:right w:val="none" w:sz="0" w:space="0" w:color="auto"/>
      </w:divBdr>
    </w:div>
    <w:div w:id="1486971796">
      <w:marLeft w:val="0"/>
      <w:marRight w:val="0"/>
      <w:marTop w:val="0"/>
      <w:marBottom w:val="0"/>
      <w:divBdr>
        <w:top w:val="none" w:sz="0" w:space="0" w:color="auto"/>
        <w:left w:val="none" w:sz="0" w:space="0" w:color="auto"/>
        <w:bottom w:val="none" w:sz="0" w:space="0" w:color="auto"/>
        <w:right w:val="none" w:sz="0" w:space="0" w:color="auto"/>
      </w:divBdr>
    </w:div>
    <w:div w:id="1486971797">
      <w:marLeft w:val="0"/>
      <w:marRight w:val="0"/>
      <w:marTop w:val="0"/>
      <w:marBottom w:val="0"/>
      <w:divBdr>
        <w:top w:val="none" w:sz="0" w:space="0" w:color="auto"/>
        <w:left w:val="none" w:sz="0" w:space="0" w:color="auto"/>
        <w:bottom w:val="none" w:sz="0" w:space="0" w:color="auto"/>
        <w:right w:val="none" w:sz="0" w:space="0" w:color="auto"/>
      </w:divBdr>
    </w:div>
    <w:div w:id="1486971801">
      <w:marLeft w:val="0"/>
      <w:marRight w:val="0"/>
      <w:marTop w:val="0"/>
      <w:marBottom w:val="0"/>
      <w:divBdr>
        <w:top w:val="none" w:sz="0" w:space="0" w:color="auto"/>
        <w:left w:val="none" w:sz="0" w:space="0" w:color="auto"/>
        <w:bottom w:val="none" w:sz="0" w:space="0" w:color="auto"/>
        <w:right w:val="none" w:sz="0" w:space="0" w:color="auto"/>
      </w:divBdr>
    </w:div>
    <w:div w:id="1486971802">
      <w:marLeft w:val="0"/>
      <w:marRight w:val="0"/>
      <w:marTop w:val="0"/>
      <w:marBottom w:val="0"/>
      <w:divBdr>
        <w:top w:val="none" w:sz="0" w:space="0" w:color="auto"/>
        <w:left w:val="none" w:sz="0" w:space="0" w:color="auto"/>
        <w:bottom w:val="none" w:sz="0" w:space="0" w:color="auto"/>
        <w:right w:val="none" w:sz="0" w:space="0" w:color="auto"/>
      </w:divBdr>
      <w:divsChild>
        <w:div w:id="1486971662">
          <w:marLeft w:val="288"/>
          <w:marRight w:val="0"/>
          <w:marTop w:val="160"/>
          <w:marBottom w:val="0"/>
          <w:divBdr>
            <w:top w:val="none" w:sz="0" w:space="0" w:color="auto"/>
            <w:left w:val="none" w:sz="0" w:space="0" w:color="auto"/>
            <w:bottom w:val="none" w:sz="0" w:space="0" w:color="auto"/>
            <w:right w:val="none" w:sz="0" w:space="0" w:color="auto"/>
          </w:divBdr>
        </w:div>
        <w:div w:id="1486971669">
          <w:marLeft w:val="288"/>
          <w:marRight w:val="0"/>
          <w:marTop w:val="160"/>
          <w:marBottom w:val="0"/>
          <w:divBdr>
            <w:top w:val="none" w:sz="0" w:space="0" w:color="auto"/>
            <w:left w:val="none" w:sz="0" w:space="0" w:color="auto"/>
            <w:bottom w:val="none" w:sz="0" w:space="0" w:color="auto"/>
            <w:right w:val="none" w:sz="0" w:space="0" w:color="auto"/>
          </w:divBdr>
        </w:div>
        <w:div w:id="1486971673">
          <w:marLeft w:val="979"/>
          <w:marRight w:val="0"/>
          <w:marTop w:val="77"/>
          <w:marBottom w:val="0"/>
          <w:divBdr>
            <w:top w:val="none" w:sz="0" w:space="0" w:color="auto"/>
            <w:left w:val="none" w:sz="0" w:space="0" w:color="auto"/>
            <w:bottom w:val="none" w:sz="0" w:space="0" w:color="auto"/>
            <w:right w:val="none" w:sz="0" w:space="0" w:color="auto"/>
          </w:divBdr>
        </w:div>
        <w:div w:id="1486971684">
          <w:marLeft w:val="288"/>
          <w:marRight w:val="0"/>
          <w:marTop w:val="86"/>
          <w:marBottom w:val="0"/>
          <w:divBdr>
            <w:top w:val="none" w:sz="0" w:space="0" w:color="auto"/>
            <w:left w:val="none" w:sz="0" w:space="0" w:color="auto"/>
            <w:bottom w:val="none" w:sz="0" w:space="0" w:color="auto"/>
            <w:right w:val="none" w:sz="0" w:space="0" w:color="auto"/>
          </w:divBdr>
        </w:div>
        <w:div w:id="1486971718">
          <w:marLeft w:val="979"/>
          <w:marRight w:val="0"/>
          <w:marTop w:val="77"/>
          <w:marBottom w:val="0"/>
          <w:divBdr>
            <w:top w:val="none" w:sz="0" w:space="0" w:color="auto"/>
            <w:left w:val="none" w:sz="0" w:space="0" w:color="auto"/>
            <w:bottom w:val="none" w:sz="0" w:space="0" w:color="auto"/>
            <w:right w:val="none" w:sz="0" w:space="0" w:color="auto"/>
          </w:divBdr>
        </w:div>
        <w:div w:id="1486971722">
          <w:marLeft w:val="979"/>
          <w:marRight w:val="0"/>
          <w:marTop w:val="77"/>
          <w:marBottom w:val="0"/>
          <w:divBdr>
            <w:top w:val="none" w:sz="0" w:space="0" w:color="auto"/>
            <w:left w:val="none" w:sz="0" w:space="0" w:color="auto"/>
            <w:bottom w:val="none" w:sz="0" w:space="0" w:color="auto"/>
            <w:right w:val="none" w:sz="0" w:space="0" w:color="auto"/>
          </w:divBdr>
        </w:div>
        <w:div w:id="1486971764">
          <w:marLeft w:val="288"/>
          <w:marRight w:val="0"/>
          <w:marTop w:val="160"/>
          <w:marBottom w:val="0"/>
          <w:divBdr>
            <w:top w:val="none" w:sz="0" w:space="0" w:color="auto"/>
            <w:left w:val="none" w:sz="0" w:space="0" w:color="auto"/>
            <w:bottom w:val="none" w:sz="0" w:space="0" w:color="auto"/>
            <w:right w:val="none" w:sz="0" w:space="0" w:color="auto"/>
          </w:divBdr>
        </w:div>
        <w:div w:id="1486971776">
          <w:marLeft w:val="288"/>
          <w:marRight w:val="0"/>
          <w:marTop w:val="160"/>
          <w:marBottom w:val="0"/>
          <w:divBdr>
            <w:top w:val="none" w:sz="0" w:space="0" w:color="auto"/>
            <w:left w:val="none" w:sz="0" w:space="0" w:color="auto"/>
            <w:bottom w:val="none" w:sz="0" w:space="0" w:color="auto"/>
            <w:right w:val="none" w:sz="0" w:space="0" w:color="auto"/>
          </w:divBdr>
        </w:div>
        <w:div w:id="1486971785">
          <w:marLeft w:val="979"/>
          <w:marRight w:val="0"/>
          <w:marTop w:val="77"/>
          <w:marBottom w:val="0"/>
          <w:divBdr>
            <w:top w:val="none" w:sz="0" w:space="0" w:color="auto"/>
            <w:left w:val="none" w:sz="0" w:space="0" w:color="auto"/>
            <w:bottom w:val="none" w:sz="0" w:space="0" w:color="auto"/>
            <w:right w:val="none" w:sz="0" w:space="0" w:color="auto"/>
          </w:divBdr>
        </w:div>
        <w:div w:id="1486971799">
          <w:marLeft w:val="979"/>
          <w:marRight w:val="0"/>
          <w:marTop w:val="77"/>
          <w:marBottom w:val="0"/>
          <w:divBdr>
            <w:top w:val="none" w:sz="0" w:space="0" w:color="auto"/>
            <w:left w:val="none" w:sz="0" w:space="0" w:color="auto"/>
            <w:bottom w:val="none" w:sz="0" w:space="0" w:color="auto"/>
            <w:right w:val="none" w:sz="0" w:space="0" w:color="auto"/>
          </w:divBdr>
        </w:div>
        <w:div w:id="1486971846">
          <w:marLeft w:val="979"/>
          <w:marRight w:val="0"/>
          <w:marTop w:val="77"/>
          <w:marBottom w:val="0"/>
          <w:divBdr>
            <w:top w:val="none" w:sz="0" w:space="0" w:color="auto"/>
            <w:left w:val="none" w:sz="0" w:space="0" w:color="auto"/>
            <w:bottom w:val="none" w:sz="0" w:space="0" w:color="auto"/>
            <w:right w:val="none" w:sz="0" w:space="0" w:color="auto"/>
          </w:divBdr>
        </w:div>
        <w:div w:id="1486971848">
          <w:marLeft w:val="979"/>
          <w:marRight w:val="0"/>
          <w:marTop w:val="77"/>
          <w:marBottom w:val="0"/>
          <w:divBdr>
            <w:top w:val="none" w:sz="0" w:space="0" w:color="auto"/>
            <w:left w:val="none" w:sz="0" w:space="0" w:color="auto"/>
            <w:bottom w:val="none" w:sz="0" w:space="0" w:color="auto"/>
            <w:right w:val="none" w:sz="0" w:space="0" w:color="auto"/>
          </w:divBdr>
        </w:div>
        <w:div w:id="1486971849">
          <w:marLeft w:val="288"/>
          <w:marRight w:val="0"/>
          <w:marTop w:val="160"/>
          <w:marBottom w:val="0"/>
          <w:divBdr>
            <w:top w:val="none" w:sz="0" w:space="0" w:color="auto"/>
            <w:left w:val="none" w:sz="0" w:space="0" w:color="auto"/>
            <w:bottom w:val="none" w:sz="0" w:space="0" w:color="auto"/>
            <w:right w:val="none" w:sz="0" w:space="0" w:color="auto"/>
          </w:divBdr>
        </w:div>
        <w:div w:id="1486971867">
          <w:marLeft w:val="979"/>
          <w:marRight w:val="0"/>
          <w:marTop w:val="77"/>
          <w:marBottom w:val="0"/>
          <w:divBdr>
            <w:top w:val="none" w:sz="0" w:space="0" w:color="auto"/>
            <w:left w:val="none" w:sz="0" w:space="0" w:color="auto"/>
            <w:bottom w:val="none" w:sz="0" w:space="0" w:color="auto"/>
            <w:right w:val="none" w:sz="0" w:space="0" w:color="auto"/>
          </w:divBdr>
        </w:div>
      </w:divsChild>
    </w:div>
    <w:div w:id="1486971803">
      <w:marLeft w:val="0"/>
      <w:marRight w:val="0"/>
      <w:marTop w:val="0"/>
      <w:marBottom w:val="0"/>
      <w:divBdr>
        <w:top w:val="none" w:sz="0" w:space="0" w:color="auto"/>
        <w:left w:val="none" w:sz="0" w:space="0" w:color="auto"/>
        <w:bottom w:val="none" w:sz="0" w:space="0" w:color="auto"/>
        <w:right w:val="none" w:sz="0" w:space="0" w:color="auto"/>
      </w:divBdr>
    </w:div>
    <w:div w:id="1486971804">
      <w:marLeft w:val="0"/>
      <w:marRight w:val="0"/>
      <w:marTop w:val="0"/>
      <w:marBottom w:val="0"/>
      <w:divBdr>
        <w:top w:val="none" w:sz="0" w:space="0" w:color="auto"/>
        <w:left w:val="none" w:sz="0" w:space="0" w:color="auto"/>
        <w:bottom w:val="none" w:sz="0" w:space="0" w:color="auto"/>
        <w:right w:val="none" w:sz="0" w:space="0" w:color="auto"/>
      </w:divBdr>
    </w:div>
    <w:div w:id="1486971805">
      <w:marLeft w:val="0"/>
      <w:marRight w:val="0"/>
      <w:marTop w:val="0"/>
      <w:marBottom w:val="0"/>
      <w:divBdr>
        <w:top w:val="none" w:sz="0" w:space="0" w:color="auto"/>
        <w:left w:val="none" w:sz="0" w:space="0" w:color="auto"/>
        <w:bottom w:val="none" w:sz="0" w:space="0" w:color="auto"/>
        <w:right w:val="none" w:sz="0" w:space="0" w:color="auto"/>
      </w:divBdr>
    </w:div>
    <w:div w:id="1486971806">
      <w:marLeft w:val="0"/>
      <w:marRight w:val="0"/>
      <w:marTop w:val="0"/>
      <w:marBottom w:val="0"/>
      <w:divBdr>
        <w:top w:val="none" w:sz="0" w:space="0" w:color="auto"/>
        <w:left w:val="none" w:sz="0" w:space="0" w:color="auto"/>
        <w:bottom w:val="none" w:sz="0" w:space="0" w:color="auto"/>
        <w:right w:val="none" w:sz="0" w:space="0" w:color="auto"/>
      </w:divBdr>
    </w:div>
    <w:div w:id="1486971807">
      <w:marLeft w:val="0"/>
      <w:marRight w:val="0"/>
      <w:marTop w:val="0"/>
      <w:marBottom w:val="0"/>
      <w:divBdr>
        <w:top w:val="none" w:sz="0" w:space="0" w:color="auto"/>
        <w:left w:val="none" w:sz="0" w:space="0" w:color="auto"/>
        <w:bottom w:val="none" w:sz="0" w:space="0" w:color="auto"/>
        <w:right w:val="none" w:sz="0" w:space="0" w:color="auto"/>
      </w:divBdr>
    </w:div>
    <w:div w:id="1486971808">
      <w:marLeft w:val="0"/>
      <w:marRight w:val="0"/>
      <w:marTop w:val="0"/>
      <w:marBottom w:val="0"/>
      <w:divBdr>
        <w:top w:val="none" w:sz="0" w:space="0" w:color="auto"/>
        <w:left w:val="none" w:sz="0" w:space="0" w:color="auto"/>
        <w:bottom w:val="none" w:sz="0" w:space="0" w:color="auto"/>
        <w:right w:val="none" w:sz="0" w:space="0" w:color="auto"/>
      </w:divBdr>
    </w:div>
    <w:div w:id="1486971809">
      <w:marLeft w:val="0"/>
      <w:marRight w:val="0"/>
      <w:marTop w:val="0"/>
      <w:marBottom w:val="0"/>
      <w:divBdr>
        <w:top w:val="none" w:sz="0" w:space="0" w:color="auto"/>
        <w:left w:val="none" w:sz="0" w:space="0" w:color="auto"/>
        <w:bottom w:val="none" w:sz="0" w:space="0" w:color="auto"/>
        <w:right w:val="none" w:sz="0" w:space="0" w:color="auto"/>
      </w:divBdr>
    </w:div>
    <w:div w:id="1486971813">
      <w:marLeft w:val="0"/>
      <w:marRight w:val="0"/>
      <w:marTop w:val="0"/>
      <w:marBottom w:val="0"/>
      <w:divBdr>
        <w:top w:val="none" w:sz="0" w:space="0" w:color="auto"/>
        <w:left w:val="none" w:sz="0" w:space="0" w:color="auto"/>
        <w:bottom w:val="none" w:sz="0" w:space="0" w:color="auto"/>
        <w:right w:val="none" w:sz="0" w:space="0" w:color="auto"/>
      </w:divBdr>
    </w:div>
    <w:div w:id="1486971814">
      <w:marLeft w:val="0"/>
      <w:marRight w:val="0"/>
      <w:marTop w:val="0"/>
      <w:marBottom w:val="0"/>
      <w:divBdr>
        <w:top w:val="none" w:sz="0" w:space="0" w:color="auto"/>
        <w:left w:val="none" w:sz="0" w:space="0" w:color="auto"/>
        <w:bottom w:val="none" w:sz="0" w:space="0" w:color="auto"/>
        <w:right w:val="none" w:sz="0" w:space="0" w:color="auto"/>
      </w:divBdr>
      <w:divsChild>
        <w:div w:id="1486971671">
          <w:marLeft w:val="835"/>
          <w:marRight w:val="0"/>
          <w:marTop w:val="60"/>
          <w:marBottom w:val="60"/>
          <w:divBdr>
            <w:top w:val="none" w:sz="0" w:space="0" w:color="auto"/>
            <w:left w:val="none" w:sz="0" w:space="0" w:color="auto"/>
            <w:bottom w:val="none" w:sz="0" w:space="0" w:color="auto"/>
            <w:right w:val="none" w:sz="0" w:space="0" w:color="auto"/>
          </w:divBdr>
        </w:div>
        <w:div w:id="1486971677">
          <w:marLeft w:val="835"/>
          <w:marRight w:val="0"/>
          <w:marTop w:val="60"/>
          <w:marBottom w:val="60"/>
          <w:divBdr>
            <w:top w:val="none" w:sz="0" w:space="0" w:color="auto"/>
            <w:left w:val="none" w:sz="0" w:space="0" w:color="auto"/>
            <w:bottom w:val="none" w:sz="0" w:space="0" w:color="auto"/>
            <w:right w:val="none" w:sz="0" w:space="0" w:color="auto"/>
          </w:divBdr>
        </w:div>
        <w:div w:id="1486971712">
          <w:marLeft w:val="835"/>
          <w:marRight w:val="0"/>
          <w:marTop w:val="60"/>
          <w:marBottom w:val="60"/>
          <w:divBdr>
            <w:top w:val="none" w:sz="0" w:space="0" w:color="auto"/>
            <w:left w:val="none" w:sz="0" w:space="0" w:color="auto"/>
            <w:bottom w:val="none" w:sz="0" w:space="0" w:color="auto"/>
            <w:right w:val="none" w:sz="0" w:space="0" w:color="auto"/>
          </w:divBdr>
        </w:div>
        <w:div w:id="1486971830">
          <w:marLeft w:val="835"/>
          <w:marRight w:val="0"/>
          <w:marTop w:val="60"/>
          <w:marBottom w:val="60"/>
          <w:divBdr>
            <w:top w:val="none" w:sz="0" w:space="0" w:color="auto"/>
            <w:left w:val="none" w:sz="0" w:space="0" w:color="auto"/>
            <w:bottom w:val="none" w:sz="0" w:space="0" w:color="auto"/>
            <w:right w:val="none" w:sz="0" w:space="0" w:color="auto"/>
          </w:divBdr>
        </w:div>
        <w:div w:id="1486971843">
          <w:marLeft w:val="835"/>
          <w:marRight w:val="0"/>
          <w:marTop w:val="60"/>
          <w:marBottom w:val="60"/>
          <w:divBdr>
            <w:top w:val="none" w:sz="0" w:space="0" w:color="auto"/>
            <w:left w:val="none" w:sz="0" w:space="0" w:color="auto"/>
            <w:bottom w:val="none" w:sz="0" w:space="0" w:color="auto"/>
            <w:right w:val="none" w:sz="0" w:space="0" w:color="auto"/>
          </w:divBdr>
        </w:div>
        <w:div w:id="1486971876">
          <w:marLeft w:val="835"/>
          <w:marRight w:val="0"/>
          <w:marTop w:val="60"/>
          <w:marBottom w:val="60"/>
          <w:divBdr>
            <w:top w:val="none" w:sz="0" w:space="0" w:color="auto"/>
            <w:left w:val="none" w:sz="0" w:space="0" w:color="auto"/>
            <w:bottom w:val="none" w:sz="0" w:space="0" w:color="auto"/>
            <w:right w:val="none" w:sz="0" w:space="0" w:color="auto"/>
          </w:divBdr>
        </w:div>
        <w:div w:id="1486971892">
          <w:marLeft w:val="835"/>
          <w:marRight w:val="0"/>
          <w:marTop w:val="60"/>
          <w:marBottom w:val="60"/>
          <w:divBdr>
            <w:top w:val="none" w:sz="0" w:space="0" w:color="auto"/>
            <w:left w:val="none" w:sz="0" w:space="0" w:color="auto"/>
            <w:bottom w:val="none" w:sz="0" w:space="0" w:color="auto"/>
            <w:right w:val="none" w:sz="0" w:space="0" w:color="auto"/>
          </w:divBdr>
        </w:div>
      </w:divsChild>
    </w:div>
    <w:div w:id="1486971815">
      <w:marLeft w:val="0"/>
      <w:marRight w:val="0"/>
      <w:marTop w:val="0"/>
      <w:marBottom w:val="0"/>
      <w:divBdr>
        <w:top w:val="none" w:sz="0" w:space="0" w:color="auto"/>
        <w:left w:val="none" w:sz="0" w:space="0" w:color="auto"/>
        <w:bottom w:val="none" w:sz="0" w:space="0" w:color="auto"/>
        <w:right w:val="none" w:sz="0" w:space="0" w:color="auto"/>
      </w:divBdr>
      <w:divsChild>
        <w:div w:id="1486971701">
          <w:marLeft w:val="1800"/>
          <w:marRight w:val="0"/>
          <w:marTop w:val="96"/>
          <w:marBottom w:val="0"/>
          <w:divBdr>
            <w:top w:val="none" w:sz="0" w:space="0" w:color="auto"/>
            <w:left w:val="none" w:sz="0" w:space="0" w:color="auto"/>
            <w:bottom w:val="none" w:sz="0" w:space="0" w:color="auto"/>
            <w:right w:val="none" w:sz="0" w:space="0" w:color="auto"/>
          </w:divBdr>
        </w:div>
        <w:div w:id="1486971719">
          <w:marLeft w:val="1800"/>
          <w:marRight w:val="0"/>
          <w:marTop w:val="96"/>
          <w:marBottom w:val="0"/>
          <w:divBdr>
            <w:top w:val="none" w:sz="0" w:space="0" w:color="auto"/>
            <w:left w:val="none" w:sz="0" w:space="0" w:color="auto"/>
            <w:bottom w:val="none" w:sz="0" w:space="0" w:color="auto"/>
            <w:right w:val="none" w:sz="0" w:space="0" w:color="auto"/>
          </w:divBdr>
        </w:div>
        <w:div w:id="1486971721">
          <w:marLeft w:val="1800"/>
          <w:marRight w:val="0"/>
          <w:marTop w:val="96"/>
          <w:marBottom w:val="0"/>
          <w:divBdr>
            <w:top w:val="none" w:sz="0" w:space="0" w:color="auto"/>
            <w:left w:val="none" w:sz="0" w:space="0" w:color="auto"/>
            <w:bottom w:val="none" w:sz="0" w:space="0" w:color="auto"/>
            <w:right w:val="none" w:sz="0" w:space="0" w:color="auto"/>
          </w:divBdr>
        </w:div>
        <w:div w:id="1486971868">
          <w:marLeft w:val="1800"/>
          <w:marRight w:val="0"/>
          <w:marTop w:val="96"/>
          <w:marBottom w:val="0"/>
          <w:divBdr>
            <w:top w:val="none" w:sz="0" w:space="0" w:color="auto"/>
            <w:left w:val="none" w:sz="0" w:space="0" w:color="auto"/>
            <w:bottom w:val="none" w:sz="0" w:space="0" w:color="auto"/>
            <w:right w:val="none" w:sz="0" w:space="0" w:color="auto"/>
          </w:divBdr>
        </w:div>
        <w:div w:id="1486971872">
          <w:marLeft w:val="1800"/>
          <w:marRight w:val="0"/>
          <w:marTop w:val="96"/>
          <w:marBottom w:val="0"/>
          <w:divBdr>
            <w:top w:val="none" w:sz="0" w:space="0" w:color="auto"/>
            <w:left w:val="none" w:sz="0" w:space="0" w:color="auto"/>
            <w:bottom w:val="none" w:sz="0" w:space="0" w:color="auto"/>
            <w:right w:val="none" w:sz="0" w:space="0" w:color="auto"/>
          </w:divBdr>
        </w:div>
        <w:div w:id="1486971885">
          <w:marLeft w:val="1800"/>
          <w:marRight w:val="0"/>
          <w:marTop w:val="96"/>
          <w:marBottom w:val="0"/>
          <w:divBdr>
            <w:top w:val="none" w:sz="0" w:space="0" w:color="auto"/>
            <w:left w:val="none" w:sz="0" w:space="0" w:color="auto"/>
            <w:bottom w:val="none" w:sz="0" w:space="0" w:color="auto"/>
            <w:right w:val="none" w:sz="0" w:space="0" w:color="auto"/>
          </w:divBdr>
        </w:div>
      </w:divsChild>
    </w:div>
    <w:div w:id="1486971821">
      <w:marLeft w:val="0"/>
      <w:marRight w:val="0"/>
      <w:marTop w:val="0"/>
      <w:marBottom w:val="0"/>
      <w:divBdr>
        <w:top w:val="none" w:sz="0" w:space="0" w:color="auto"/>
        <w:left w:val="none" w:sz="0" w:space="0" w:color="auto"/>
        <w:bottom w:val="none" w:sz="0" w:space="0" w:color="auto"/>
        <w:right w:val="none" w:sz="0" w:space="0" w:color="auto"/>
      </w:divBdr>
    </w:div>
    <w:div w:id="1486971822">
      <w:marLeft w:val="0"/>
      <w:marRight w:val="0"/>
      <w:marTop w:val="0"/>
      <w:marBottom w:val="0"/>
      <w:divBdr>
        <w:top w:val="none" w:sz="0" w:space="0" w:color="auto"/>
        <w:left w:val="none" w:sz="0" w:space="0" w:color="auto"/>
        <w:bottom w:val="none" w:sz="0" w:space="0" w:color="auto"/>
        <w:right w:val="none" w:sz="0" w:space="0" w:color="auto"/>
      </w:divBdr>
    </w:div>
    <w:div w:id="1486971823">
      <w:marLeft w:val="0"/>
      <w:marRight w:val="0"/>
      <w:marTop w:val="0"/>
      <w:marBottom w:val="0"/>
      <w:divBdr>
        <w:top w:val="none" w:sz="0" w:space="0" w:color="auto"/>
        <w:left w:val="none" w:sz="0" w:space="0" w:color="auto"/>
        <w:bottom w:val="none" w:sz="0" w:space="0" w:color="auto"/>
        <w:right w:val="none" w:sz="0" w:space="0" w:color="auto"/>
      </w:divBdr>
    </w:div>
    <w:div w:id="1486971824">
      <w:marLeft w:val="0"/>
      <w:marRight w:val="0"/>
      <w:marTop w:val="0"/>
      <w:marBottom w:val="0"/>
      <w:divBdr>
        <w:top w:val="none" w:sz="0" w:space="0" w:color="auto"/>
        <w:left w:val="none" w:sz="0" w:space="0" w:color="auto"/>
        <w:bottom w:val="none" w:sz="0" w:space="0" w:color="auto"/>
        <w:right w:val="none" w:sz="0" w:space="0" w:color="auto"/>
      </w:divBdr>
    </w:div>
    <w:div w:id="1486971831">
      <w:marLeft w:val="0"/>
      <w:marRight w:val="0"/>
      <w:marTop w:val="0"/>
      <w:marBottom w:val="0"/>
      <w:divBdr>
        <w:top w:val="none" w:sz="0" w:space="0" w:color="auto"/>
        <w:left w:val="none" w:sz="0" w:space="0" w:color="auto"/>
        <w:bottom w:val="none" w:sz="0" w:space="0" w:color="auto"/>
        <w:right w:val="none" w:sz="0" w:space="0" w:color="auto"/>
      </w:divBdr>
    </w:div>
    <w:div w:id="1486971832">
      <w:marLeft w:val="0"/>
      <w:marRight w:val="0"/>
      <w:marTop w:val="0"/>
      <w:marBottom w:val="0"/>
      <w:divBdr>
        <w:top w:val="none" w:sz="0" w:space="0" w:color="auto"/>
        <w:left w:val="none" w:sz="0" w:space="0" w:color="auto"/>
        <w:bottom w:val="none" w:sz="0" w:space="0" w:color="auto"/>
        <w:right w:val="none" w:sz="0" w:space="0" w:color="auto"/>
      </w:divBdr>
    </w:div>
    <w:div w:id="1486971835">
      <w:marLeft w:val="0"/>
      <w:marRight w:val="0"/>
      <w:marTop w:val="0"/>
      <w:marBottom w:val="0"/>
      <w:divBdr>
        <w:top w:val="none" w:sz="0" w:space="0" w:color="auto"/>
        <w:left w:val="none" w:sz="0" w:space="0" w:color="auto"/>
        <w:bottom w:val="none" w:sz="0" w:space="0" w:color="auto"/>
        <w:right w:val="none" w:sz="0" w:space="0" w:color="auto"/>
      </w:divBdr>
    </w:div>
    <w:div w:id="1486971841">
      <w:marLeft w:val="0"/>
      <w:marRight w:val="0"/>
      <w:marTop w:val="0"/>
      <w:marBottom w:val="0"/>
      <w:divBdr>
        <w:top w:val="none" w:sz="0" w:space="0" w:color="auto"/>
        <w:left w:val="none" w:sz="0" w:space="0" w:color="auto"/>
        <w:bottom w:val="none" w:sz="0" w:space="0" w:color="auto"/>
        <w:right w:val="none" w:sz="0" w:space="0" w:color="auto"/>
      </w:divBdr>
      <w:divsChild>
        <w:div w:id="1486971686">
          <w:marLeft w:val="994"/>
          <w:marRight w:val="0"/>
          <w:marTop w:val="0"/>
          <w:marBottom w:val="0"/>
          <w:divBdr>
            <w:top w:val="none" w:sz="0" w:space="0" w:color="auto"/>
            <w:left w:val="none" w:sz="0" w:space="0" w:color="auto"/>
            <w:bottom w:val="none" w:sz="0" w:space="0" w:color="auto"/>
            <w:right w:val="none" w:sz="0" w:space="0" w:color="auto"/>
          </w:divBdr>
        </w:div>
        <w:div w:id="1486971833">
          <w:marLeft w:val="994"/>
          <w:marRight w:val="0"/>
          <w:marTop w:val="0"/>
          <w:marBottom w:val="0"/>
          <w:divBdr>
            <w:top w:val="none" w:sz="0" w:space="0" w:color="auto"/>
            <w:left w:val="none" w:sz="0" w:space="0" w:color="auto"/>
            <w:bottom w:val="none" w:sz="0" w:space="0" w:color="auto"/>
            <w:right w:val="none" w:sz="0" w:space="0" w:color="auto"/>
          </w:divBdr>
        </w:div>
        <w:div w:id="1486971834">
          <w:marLeft w:val="994"/>
          <w:marRight w:val="0"/>
          <w:marTop w:val="0"/>
          <w:marBottom w:val="0"/>
          <w:divBdr>
            <w:top w:val="none" w:sz="0" w:space="0" w:color="auto"/>
            <w:left w:val="none" w:sz="0" w:space="0" w:color="auto"/>
            <w:bottom w:val="none" w:sz="0" w:space="0" w:color="auto"/>
            <w:right w:val="none" w:sz="0" w:space="0" w:color="auto"/>
          </w:divBdr>
        </w:div>
        <w:div w:id="1486971839">
          <w:marLeft w:val="994"/>
          <w:marRight w:val="0"/>
          <w:marTop w:val="0"/>
          <w:marBottom w:val="0"/>
          <w:divBdr>
            <w:top w:val="none" w:sz="0" w:space="0" w:color="auto"/>
            <w:left w:val="none" w:sz="0" w:space="0" w:color="auto"/>
            <w:bottom w:val="none" w:sz="0" w:space="0" w:color="auto"/>
            <w:right w:val="none" w:sz="0" w:space="0" w:color="auto"/>
          </w:divBdr>
        </w:div>
        <w:div w:id="1486971853">
          <w:marLeft w:val="994"/>
          <w:marRight w:val="0"/>
          <w:marTop w:val="0"/>
          <w:marBottom w:val="0"/>
          <w:divBdr>
            <w:top w:val="none" w:sz="0" w:space="0" w:color="auto"/>
            <w:left w:val="none" w:sz="0" w:space="0" w:color="auto"/>
            <w:bottom w:val="none" w:sz="0" w:space="0" w:color="auto"/>
            <w:right w:val="none" w:sz="0" w:space="0" w:color="auto"/>
          </w:divBdr>
        </w:div>
        <w:div w:id="1486971895">
          <w:marLeft w:val="274"/>
          <w:marRight w:val="0"/>
          <w:marTop w:val="0"/>
          <w:marBottom w:val="0"/>
          <w:divBdr>
            <w:top w:val="none" w:sz="0" w:space="0" w:color="auto"/>
            <w:left w:val="none" w:sz="0" w:space="0" w:color="auto"/>
            <w:bottom w:val="none" w:sz="0" w:space="0" w:color="auto"/>
            <w:right w:val="none" w:sz="0" w:space="0" w:color="auto"/>
          </w:divBdr>
        </w:div>
        <w:div w:id="1486971898">
          <w:marLeft w:val="274"/>
          <w:marRight w:val="0"/>
          <w:marTop w:val="0"/>
          <w:marBottom w:val="0"/>
          <w:divBdr>
            <w:top w:val="none" w:sz="0" w:space="0" w:color="auto"/>
            <w:left w:val="none" w:sz="0" w:space="0" w:color="auto"/>
            <w:bottom w:val="none" w:sz="0" w:space="0" w:color="auto"/>
            <w:right w:val="none" w:sz="0" w:space="0" w:color="auto"/>
          </w:divBdr>
        </w:div>
      </w:divsChild>
    </w:div>
    <w:div w:id="1486971842">
      <w:marLeft w:val="0"/>
      <w:marRight w:val="0"/>
      <w:marTop w:val="0"/>
      <w:marBottom w:val="0"/>
      <w:divBdr>
        <w:top w:val="none" w:sz="0" w:space="0" w:color="auto"/>
        <w:left w:val="none" w:sz="0" w:space="0" w:color="auto"/>
        <w:bottom w:val="none" w:sz="0" w:space="0" w:color="auto"/>
        <w:right w:val="none" w:sz="0" w:space="0" w:color="auto"/>
      </w:divBdr>
    </w:div>
    <w:div w:id="1486971844">
      <w:marLeft w:val="0"/>
      <w:marRight w:val="0"/>
      <w:marTop w:val="0"/>
      <w:marBottom w:val="0"/>
      <w:divBdr>
        <w:top w:val="none" w:sz="0" w:space="0" w:color="auto"/>
        <w:left w:val="none" w:sz="0" w:space="0" w:color="auto"/>
        <w:bottom w:val="none" w:sz="0" w:space="0" w:color="auto"/>
        <w:right w:val="none" w:sz="0" w:space="0" w:color="auto"/>
      </w:divBdr>
      <w:divsChild>
        <w:div w:id="1486971668">
          <w:marLeft w:val="979"/>
          <w:marRight w:val="0"/>
          <w:marTop w:val="77"/>
          <w:marBottom w:val="0"/>
          <w:divBdr>
            <w:top w:val="none" w:sz="0" w:space="0" w:color="auto"/>
            <w:left w:val="none" w:sz="0" w:space="0" w:color="auto"/>
            <w:bottom w:val="none" w:sz="0" w:space="0" w:color="auto"/>
            <w:right w:val="none" w:sz="0" w:space="0" w:color="auto"/>
          </w:divBdr>
        </w:div>
        <w:div w:id="1486971726">
          <w:marLeft w:val="979"/>
          <w:marRight w:val="0"/>
          <w:marTop w:val="77"/>
          <w:marBottom w:val="0"/>
          <w:divBdr>
            <w:top w:val="none" w:sz="0" w:space="0" w:color="auto"/>
            <w:left w:val="none" w:sz="0" w:space="0" w:color="auto"/>
            <w:bottom w:val="none" w:sz="0" w:space="0" w:color="auto"/>
            <w:right w:val="none" w:sz="0" w:space="0" w:color="auto"/>
          </w:divBdr>
        </w:div>
        <w:div w:id="1486971738">
          <w:marLeft w:val="288"/>
          <w:marRight w:val="0"/>
          <w:marTop w:val="160"/>
          <w:marBottom w:val="0"/>
          <w:divBdr>
            <w:top w:val="none" w:sz="0" w:space="0" w:color="auto"/>
            <w:left w:val="none" w:sz="0" w:space="0" w:color="auto"/>
            <w:bottom w:val="none" w:sz="0" w:space="0" w:color="auto"/>
            <w:right w:val="none" w:sz="0" w:space="0" w:color="auto"/>
          </w:divBdr>
        </w:div>
        <w:div w:id="1486971750">
          <w:marLeft w:val="288"/>
          <w:marRight w:val="0"/>
          <w:marTop w:val="160"/>
          <w:marBottom w:val="0"/>
          <w:divBdr>
            <w:top w:val="none" w:sz="0" w:space="0" w:color="auto"/>
            <w:left w:val="none" w:sz="0" w:space="0" w:color="auto"/>
            <w:bottom w:val="none" w:sz="0" w:space="0" w:color="auto"/>
            <w:right w:val="none" w:sz="0" w:space="0" w:color="auto"/>
          </w:divBdr>
        </w:div>
        <w:div w:id="1486971766">
          <w:marLeft w:val="979"/>
          <w:marRight w:val="0"/>
          <w:marTop w:val="77"/>
          <w:marBottom w:val="0"/>
          <w:divBdr>
            <w:top w:val="none" w:sz="0" w:space="0" w:color="auto"/>
            <w:left w:val="none" w:sz="0" w:space="0" w:color="auto"/>
            <w:bottom w:val="none" w:sz="0" w:space="0" w:color="auto"/>
            <w:right w:val="none" w:sz="0" w:space="0" w:color="auto"/>
          </w:divBdr>
        </w:div>
        <w:div w:id="1486971767">
          <w:marLeft w:val="979"/>
          <w:marRight w:val="0"/>
          <w:marTop w:val="77"/>
          <w:marBottom w:val="0"/>
          <w:divBdr>
            <w:top w:val="none" w:sz="0" w:space="0" w:color="auto"/>
            <w:left w:val="none" w:sz="0" w:space="0" w:color="auto"/>
            <w:bottom w:val="none" w:sz="0" w:space="0" w:color="auto"/>
            <w:right w:val="none" w:sz="0" w:space="0" w:color="auto"/>
          </w:divBdr>
        </w:div>
        <w:div w:id="1486971770">
          <w:marLeft w:val="979"/>
          <w:marRight w:val="0"/>
          <w:marTop w:val="77"/>
          <w:marBottom w:val="0"/>
          <w:divBdr>
            <w:top w:val="none" w:sz="0" w:space="0" w:color="auto"/>
            <w:left w:val="none" w:sz="0" w:space="0" w:color="auto"/>
            <w:bottom w:val="none" w:sz="0" w:space="0" w:color="auto"/>
            <w:right w:val="none" w:sz="0" w:space="0" w:color="auto"/>
          </w:divBdr>
        </w:div>
        <w:div w:id="1486971771">
          <w:marLeft w:val="288"/>
          <w:marRight w:val="0"/>
          <w:marTop w:val="160"/>
          <w:marBottom w:val="0"/>
          <w:divBdr>
            <w:top w:val="none" w:sz="0" w:space="0" w:color="auto"/>
            <w:left w:val="none" w:sz="0" w:space="0" w:color="auto"/>
            <w:bottom w:val="none" w:sz="0" w:space="0" w:color="auto"/>
            <w:right w:val="none" w:sz="0" w:space="0" w:color="auto"/>
          </w:divBdr>
        </w:div>
        <w:div w:id="1486971786">
          <w:marLeft w:val="979"/>
          <w:marRight w:val="0"/>
          <w:marTop w:val="77"/>
          <w:marBottom w:val="0"/>
          <w:divBdr>
            <w:top w:val="none" w:sz="0" w:space="0" w:color="auto"/>
            <w:left w:val="none" w:sz="0" w:space="0" w:color="auto"/>
            <w:bottom w:val="none" w:sz="0" w:space="0" w:color="auto"/>
            <w:right w:val="none" w:sz="0" w:space="0" w:color="auto"/>
          </w:divBdr>
        </w:div>
        <w:div w:id="1486971800">
          <w:marLeft w:val="288"/>
          <w:marRight w:val="0"/>
          <w:marTop w:val="86"/>
          <w:marBottom w:val="0"/>
          <w:divBdr>
            <w:top w:val="none" w:sz="0" w:space="0" w:color="auto"/>
            <w:left w:val="none" w:sz="0" w:space="0" w:color="auto"/>
            <w:bottom w:val="none" w:sz="0" w:space="0" w:color="auto"/>
            <w:right w:val="none" w:sz="0" w:space="0" w:color="auto"/>
          </w:divBdr>
        </w:div>
        <w:div w:id="1486971840">
          <w:marLeft w:val="979"/>
          <w:marRight w:val="0"/>
          <w:marTop w:val="77"/>
          <w:marBottom w:val="0"/>
          <w:divBdr>
            <w:top w:val="none" w:sz="0" w:space="0" w:color="auto"/>
            <w:left w:val="none" w:sz="0" w:space="0" w:color="auto"/>
            <w:bottom w:val="none" w:sz="0" w:space="0" w:color="auto"/>
            <w:right w:val="none" w:sz="0" w:space="0" w:color="auto"/>
          </w:divBdr>
        </w:div>
        <w:div w:id="1486971865">
          <w:marLeft w:val="979"/>
          <w:marRight w:val="0"/>
          <w:marTop w:val="77"/>
          <w:marBottom w:val="0"/>
          <w:divBdr>
            <w:top w:val="none" w:sz="0" w:space="0" w:color="auto"/>
            <w:left w:val="none" w:sz="0" w:space="0" w:color="auto"/>
            <w:bottom w:val="none" w:sz="0" w:space="0" w:color="auto"/>
            <w:right w:val="none" w:sz="0" w:space="0" w:color="auto"/>
          </w:divBdr>
        </w:div>
        <w:div w:id="1486971880">
          <w:marLeft w:val="288"/>
          <w:marRight w:val="0"/>
          <w:marTop w:val="160"/>
          <w:marBottom w:val="0"/>
          <w:divBdr>
            <w:top w:val="none" w:sz="0" w:space="0" w:color="auto"/>
            <w:left w:val="none" w:sz="0" w:space="0" w:color="auto"/>
            <w:bottom w:val="none" w:sz="0" w:space="0" w:color="auto"/>
            <w:right w:val="none" w:sz="0" w:space="0" w:color="auto"/>
          </w:divBdr>
        </w:div>
        <w:div w:id="1486971881">
          <w:marLeft w:val="288"/>
          <w:marRight w:val="0"/>
          <w:marTop w:val="160"/>
          <w:marBottom w:val="0"/>
          <w:divBdr>
            <w:top w:val="none" w:sz="0" w:space="0" w:color="auto"/>
            <w:left w:val="none" w:sz="0" w:space="0" w:color="auto"/>
            <w:bottom w:val="none" w:sz="0" w:space="0" w:color="auto"/>
            <w:right w:val="none" w:sz="0" w:space="0" w:color="auto"/>
          </w:divBdr>
        </w:div>
      </w:divsChild>
    </w:div>
    <w:div w:id="1486971850">
      <w:marLeft w:val="0"/>
      <w:marRight w:val="0"/>
      <w:marTop w:val="0"/>
      <w:marBottom w:val="0"/>
      <w:divBdr>
        <w:top w:val="none" w:sz="0" w:space="0" w:color="auto"/>
        <w:left w:val="none" w:sz="0" w:space="0" w:color="auto"/>
        <w:bottom w:val="none" w:sz="0" w:space="0" w:color="auto"/>
        <w:right w:val="none" w:sz="0" w:space="0" w:color="auto"/>
      </w:divBdr>
    </w:div>
    <w:div w:id="1486971851">
      <w:marLeft w:val="0"/>
      <w:marRight w:val="0"/>
      <w:marTop w:val="0"/>
      <w:marBottom w:val="0"/>
      <w:divBdr>
        <w:top w:val="none" w:sz="0" w:space="0" w:color="auto"/>
        <w:left w:val="none" w:sz="0" w:space="0" w:color="auto"/>
        <w:bottom w:val="none" w:sz="0" w:space="0" w:color="auto"/>
        <w:right w:val="none" w:sz="0" w:space="0" w:color="auto"/>
      </w:divBdr>
    </w:div>
    <w:div w:id="1486971852">
      <w:marLeft w:val="0"/>
      <w:marRight w:val="0"/>
      <w:marTop w:val="0"/>
      <w:marBottom w:val="0"/>
      <w:divBdr>
        <w:top w:val="none" w:sz="0" w:space="0" w:color="auto"/>
        <w:left w:val="none" w:sz="0" w:space="0" w:color="auto"/>
        <w:bottom w:val="none" w:sz="0" w:space="0" w:color="auto"/>
        <w:right w:val="none" w:sz="0" w:space="0" w:color="auto"/>
      </w:divBdr>
      <w:divsChild>
        <w:div w:id="1486971688">
          <w:marLeft w:val="994"/>
          <w:marRight w:val="0"/>
          <w:marTop w:val="0"/>
          <w:marBottom w:val="0"/>
          <w:divBdr>
            <w:top w:val="none" w:sz="0" w:space="0" w:color="auto"/>
            <w:left w:val="none" w:sz="0" w:space="0" w:color="auto"/>
            <w:bottom w:val="none" w:sz="0" w:space="0" w:color="auto"/>
            <w:right w:val="none" w:sz="0" w:space="0" w:color="auto"/>
          </w:divBdr>
        </w:div>
        <w:div w:id="1486971791">
          <w:marLeft w:val="994"/>
          <w:marRight w:val="0"/>
          <w:marTop w:val="0"/>
          <w:marBottom w:val="0"/>
          <w:divBdr>
            <w:top w:val="none" w:sz="0" w:space="0" w:color="auto"/>
            <w:left w:val="none" w:sz="0" w:space="0" w:color="auto"/>
            <w:bottom w:val="none" w:sz="0" w:space="0" w:color="auto"/>
            <w:right w:val="none" w:sz="0" w:space="0" w:color="auto"/>
          </w:divBdr>
        </w:div>
        <w:div w:id="1486971798">
          <w:marLeft w:val="994"/>
          <w:marRight w:val="0"/>
          <w:marTop w:val="0"/>
          <w:marBottom w:val="0"/>
          <w:divBdr>
            <w:top w:val="none" w:sz="0" w:space="0" w:color="auto"/>
            <w:left w:val="none" w:sz="0" w:space="0" w:color="auto"/>
            <w:bottom w:val="none" w:sz="0" w:space="0" w:color="auto"/>
            <w:right w:val="none" w:sz="0" w:space="0" w:color="auto"/>
          </w:divBdr>
        </w:div>
        <w:div w:id="1486971847">
          <w:marLeft w:val="994"/>
          <w:marRight w:val="0"/>
          <w:marTop w:val="0"/>
          <w:marBottom w:val="0"/>
          <w:divBdr>
            <w:top w:val="none" w:sz="0" w:space="0" w:color="auto"/>
            <w:left w:val="none" w:sz="0" w:space="0" w:color="auto"/>
            <w:bottom w:val="none" w:sz="0" w:space="0" w:color="auto"/>
            <w:right w:val="none" w:sz="0" w:space="0" w:color="auto"/>
          </w:divBdr>
        </w:div>
        <w:div w:id="1486971873">
          <w:marLeft w:val="994"/>
          <w:marRight w:val="0"/>
          <w:marTop w:val="0"/>
          <w:marBottom w:val="0"/>
          <w:divBdr>
            <w:top w:val="none" w:sz="0" w:space="0" w:color="auto"/>
            <w:left w:val="none" w:sz="0" w:space="0" w:color="auto"/>
            <w:bottom w:val="none" w:sz="0" w:space="0" w:color="auto"/>
            <w:right w:val="none" w:sz="0" w:space="0" w:color="auto"/>
          </w:divBdr>
        </w:div>
      </w:divsChild>
    </w:div>
    <w:div w:id="1486971854">
      <w:marLeft w:val="0"/>
      <w:marRight w:val="0"/>
      <w:marTop w:val="0"/>
      <w:marBottom w:val="0"/>
      <w:divBdr>
        <w:top w:val="none" w:sz="0" w:space="0" w:color="auto"/>
        <w:left w:val="none" w:sz="0" w:space="0" w:color="auto"/>
        <w:bottom w:val="none" w:sz="0" w:space="0" w:color="auto"/>
        <w:right w:val="none" w:sz="0" w:space="0" w:color="auto"/>
      </w:divBdr>
    </w:div>
    <w:div w:id="1486971856">
      <w:marLeft w:val="0"/>
      <w:marRight w:val="0"/>
      <w:marTop w:val="0"/>
      <w:marBottom w:val="0"/>
      <w:divBdr>
        <w:top w:val="none" w:sz="0" w:space="0" w:color="auto"/>
        <w:left w:val="none" w:sz="0" w:space="0" w:color="auto"/>
        <w:bottom w:val="none" w:sz="0" w:space="0" w:color="auto"/>
        <w:right w:val="none" w:sz="0" w:space="0" w:color="auto"/>
      </w:divBdr>
    </w:div>
    <w:div w:id="1486971857">
      <w:marLeft w:val="0"/>
      <w:marRight w:val="0"/>
      <w:marTop w:val="0"/>
      <w:marBottom w:val="0"/>
      <w:divBdr>
        <w:top w:val="none" w:sz="0" w:space="0" w:color="auto"/>
        <w:left w:val="none" w:sz="0" w:space="0" w:color="auto"/>
        <w:bottom w:val="none" w:sz="0" w:space="0" w:color="auto"/>
        <w:right w:val="none" w:sz="0" w:space="0" w:color="auto"/>
      </w:divBdr>
    </w:div>
    <w:div w:id="1486971858">
      <w:marLeft w:val="0"/>
      <w:marRight w:val="0"/>
      <w:marTop w:val="0"/>
      <w:marBottom w:val="0"/>
      <w:divBdr>
        <w:top w:val="none" w:sz="0" w:space="0" w:color="auto"/>
        <w:left w:val="none" w:sz="0" w:space="0" w:color="auto"/>
        <w:bottom w:val="none" w:sz="0" w:space="0" w:color="auto"/>
        <w:right w:val="none" w:sz="0" w:space="0" w:color="auto"/>
      </w:divBdr>
    </w:div>
    <w:div w:id="1486971862">
      <w:marLeft w:val="0"/>
      <w:marRight w:val="0"/>
      <w:marTop w:val="0"/>
      <w:marBottom w:val="0"/>
      <w:divBdr>
        <w:top w:val="none" w:sz="0" w:space="0" w:color="auto"/>
        <w:left w:val="none" w:sz="0" w:space="0" w:color="auto"/>
        <w:bottom w:val="none" w:sz="0" w:space="0" w:color="auto"/>
        <w:right w:val="none" w:sz="0" w:space="0" w:color="auto"/>
      </w:divBdr>
    </w:div>
    <w:div w:id="1486971866">
      <w:marLeft w:val="0"/>
      <w:marRight w:val="0"/>
      <w:marTop w:val="0"/>
      <w:marBottom w:val="0"/>
      <w:divBdr>
        <w:top w:val="none" w:sz="0" w:space="0" w:color="auto"/>
        <w:left w:val="none" w:sz="0" w:space="0" w:color="auto"/>
        <w:bottom w:val="none" w:sz="0" w:space="0" w:color="auto"/>
        <w:right w:val="none" w:sz="0" w:space="0" w:color="auto"/>
      </w:divBdr>
    </w:div>
    <w:div w:id="1486971869">
      <w:marLeft w:val="0"/>
      <w:marRight w:val="0"/>
      <w:marTop w:val="0"/>
      <w:marBottom w:val="0"/>
      <w:divBdr>
        <w:top w:val="none" w:sz="0" w:space="0" w:color="auto"/>
        <w:left w:val="none" w:sz="0" w:space="0" w:color="auto"/>
        <w:bottom w:val="none" w:sz="0" w:space="0" w:color="auto"/>
        <w:right w:val="none" w:sz="0" w:space="0" w:color="auto"/>
      </w:divBdr>
      <w:divsChild>
        <w:div w:id="1486971665">
          <w:marLeft w:val="1166"/>
          <w:marRight w:val="0"/>
          <w:marTop w:val="67"/>
          <w:marBottom w:val="0"/>
          <w:divBdr>
            <w:top w:val="none" w:sz="0" w:space="0" w:color="auto"/>
            <w:left w:val="none" w:sz="0" w:space="0" w:color="auto"/>
            <w:bottom w:val="none" w:sz="0" w:space="0" w:color="auto"/>
            <w:right w:val="none" w:sz="0" w:space="0" w:color="auto"/>
          </w:divBdr>
        </w:div>
        <w:div w:id="1486971676">
          <w:marLeft w:val="1800"/>
          <w:marRight w:val="0"/>
          <w:marTop w:val="67"/>
          <w:marBottom w:val="0"/>
          <w:divBdr>
            <w:top w:val="none" w:sz="0" w:space="0" w:color="auto"/>
            <w:left w:val="none" w:sz="0" w:space="0" w:color="auto"/>
            <w:bottom w:val="none" w:sz="0" w:space="0" w:color="auto"/>
            <w:right w:val="none" w:sz="0" w:space="0" w:color="auto"/>
          </w:divBdr>
        </w:div>
        <w:div w:id="1486971692">
          <w:marLeft w:val="547"/>
          <w:marRight w:val="0"/>
          <w:marTop w:val="86"/>
          <w:marBottom w:val="0"/>
          <w:divBdr>
            <w:top w:val="none" w:sz="0" w:space="0" w:color="auto"/>
            <w:left w:val="none" w:sz="0" w:space="0" w:color="auto"/>
            <w:bottom w:val="none" w:sz="0" w:space="0" w:color="auto"/>
            <w:right w:val="none" w:sz="0" w:space="0" w:color="auto"/>
          </w:divBdr>
        </w:div>
        <w:div w:id="1486971773">
          <w:marLeft w:val="1166"/>
          <w:marRight w:val="0"/>
          <w:marTop w:val="67"/>
          <w:marBottom w:val="0"/>
          <w:divBdr>
            <w:top w:val="none" w:sz="0" w:space="0" w:color="auto"/>
            <w:left w:val="none" w:sz="0" w:space="0" w:color="auto"/>
            <w:bottom w:val="none" w:sz="0" w:space="0" w:color="auto"/>
            <w:right w:val="none" w:sz="0" w:space="0" w:color="auto"/>
          </w:divBdr>
        </w:div>
        <w:div w:id="1486971775">
          <w:marLeft w:val="1166"/>
          <w:marRight w:val="0"/>
          <w:marTop w:val="67"/>
          <w:marBottom w:val="0"/>
          <w:divBdr>
            <w:top w:val="none" w:sz="0" w:space="0" w:color="auto"/>
            <w:left w:val="none" w:sz="0" w:space="0" w:color="auto"/>
            <w:bottom w:val="none" w:sz="0" w:space="0" w:color="auto"/>
            <w:right w:val="none" w:sz="0" w:space="0" w:color="auto"/>
          </w:divBdr>
        </w:div>
        <w:div w:id="1486971789">
          <w:marLeft w:val="1800"/>
          <w:marRight w:val="0"/>
          <w:marTop w:val="67"/>
          <w:marBottom w:val="0"/>
          <w:divBdr>
            <w:top w:val="none" w:sz="0" w:space="0" w:color="auto"/>
            <w:left w:val="none" w:sz="0" w:space="0" w:color="auto"/>
            <w:bottom w:val="none" w:sz="0" w:space="0" w:color="auto"/>
            <w:right w:val="none" w:sz="0" w:space="0" w:color="auto"/>
          </w:divBdr>
        </w:div>
        <w:div w:id="1486971819">
          <w:marLeft w:val="1800"/>
          <w:marRight w:val="0"/>
          <w:marTop w:val="67"/>
          <w:marBottom w:val="0"/>
          <w:divBdr>
            <w:top w:val="none" w:sz="0" w:space="0" w:color="auto"/>
            <w:left w:val="none" w:sz="0" w:space="0" w:color="auto"/>
            <w:bottom w:val="none" w:sz="0" w:space="0" w:color="auto"/>
            <w:right w:val="none" w:sz="0" w:space="0" w:color="auto"/>
          </w:divBdr>
        </w:div>
        <w:div w:id="1486971825">
          <w:marLeft w:val="1166"/>
          <w:marRight w:val="0"/>
          <w:marTop w:val="67"/>
          <w:marBottom w:val="0"/>
          <w:divBdr>
            <w:top w:val="none" w:sz="0" w:space="0" w:color="auto"/>
            <w:left w:val="none" w:sz="0" w:space="0" w:color="auto"/>
            <w:bottom w:val="none" w:sz="0" w:space="0" w:color="auto"/>
            <w:right w:val="none" w:sz="0" w:space="0" w:color="auto"/>
          </w:divBdr>
        </w:div>
        <w:div w:id="1486971827">
          <w:marLeft w:val="1800"/>
          <w:marRight w:val="0"/>
          <w:marTop w:val="67"/>
          <w:marBottom w:val="0"/>
          <w:divBdr>
            <w:top w:val="none" w:sz="0" w:space="0" w:color="auto"/>
            <w:left w:val="none" w:sz="0" w:space="0" w:color="auto"/>
            <w:bottom w:val="none" w:sz="0" w:space="0" w:color="auto"/>
            <w:right w:val="none" w:sz="0" w:space="0" w:color="auto"/>
          </w:divBdr>
        </w:div>
        <w:div w:id="1486971837">
          <w:marLeft w:val="547"/>
          <w:marRight w:val="0"/>
          <w:marTop w:val="86"/>
          <w:marBottom w:val="0"/>
          <w:divBdr>
            <w:top w:val="none" w:sz="0" w:space="0" w:color="auto"/>
            <w:left w:val="none" w:sz="0" w:space="0" w:color="auto"/>
            <w:bottom w:val="none" w:sz="0" w:space="0" w:color="auto"/>
            <w:right w:val="none" w:sz="0" w:space="0" w:color="auto"/>
          </w:divBdr>
        </w:div>
        <w:div w:id="1486971874">
          <w:marLeft w:val="1800"/>
          <w:marRight w:val="0"/>
          <w:marTop w:val="67"/>
          <w:marBottom w:val="0"/>
          <w:divBdr>
            <w:top w:val="none" w:sz="0" w:space="0" w:color="auto"/>
            <w:left w:val="none" w:sz="0" w:space="0" w:color="auto"/>
            <w:bottom w:val="none" w:sz="0" w:space="0" w:color="auto"/>
            <w:right w:val="none" w:sz="0" w:space="0" w:color="auto"/>
          </w:divBdr>
        </w:div>
      </w:divsChild>
    </w:div>
    <w:div w:id="1486971870">
      <w:marLeft w:val="0"/>
      <w:marRight w:val="0"/>
      <w:marTop w:val="0"/>
      <w:marBottom w:val="0"/>
      <w:divBdr>
        <w:top w:val="none" w:sz="0" w:space="0" w:color="auto"/>
        <w:left w:val="none" w:sz="0" w:space="0" w:color="auto"/>
        <w:bottom w:val="none" w:sz="0" w:space="0" w:color="auto"/>
        <w:right w:val="none" w:sz="0" w:space="0" w:color="auto"/>
      </w:divBdr>
    </w:div>
    <w:div w:id="1486971875">
      <w:marLeft w:val="0"/>
      <w:marRight w:val="0"/>
      <w:marTop w:val="0"/>
      <w:marBottom w:val="0"/>
      <w:divBdr>
        <w:top w:val="none" w:sz="0" w:space="0" w:color="auto"/>
        <w:left w:val="none" w:sz="0" w:space="0" w:color="auto"/>
        <w:bottom w:val="none" w:sz="0" w:space="0" w:color="auto"/>
        <w:right w:val="none" w:sz="0" w:space="0" w:color="auto"/>
      </w:divBdr>
    </w:div>
    <w:div w:id="1486971877">
      <w:marLeft w:val="0"/>
      <w:marRight w:val="0"/>
      <w:marTop w:val="0"/>
      <w:marBottom w:val="0"/>
      <w:divBdr>
        <w:top w:val="none" w:sz="0" w:space="0" w:color="auto"/>
        <w:left w:val="none" w:sz="0" w:space="0" w:color="auto"/>
        <w:bottom w:val="none" w:sz="0" w:space="0" w:color="auto"/>
        <w:right w:val="none" w:sz="0" w:space="0" w:color="auto"/>
      </w:divBdr>
    </w:div>
    <w:div w:id="1486971878">
      <w:marLeft w:val="0"/>
      <w:marRight w:val="0"/>
      <w:marTop w:val="0"/>
      <w:marBottom w:val="0"/>
      <w:divBdr>
        <w:top w:val="none" w:sz="0" w:space="0" w:color="auto"/>
        <w:left w:val="none" w:sz="0" w:space="0" w:color="auto"/>
        <w:bottom w:val="none" w:sz="0" w:space="0" w:color="auto"/>
        <w:right w:val="none" w:sz="0" w:space="0" w:color="auto"/>
      </w:divBdr>
    </w:div>
    <w:div w:id="1486971879">
      <w:marLeft w:val="0"/>
      <w:marRight w:val="0"/>
      <w:marTop w:val="0"/>
      <w:marBottom w:val="0"/>
      <w:divBdr>
        <w:top w:val="none" w:sz="0" w:space="0" w:color="auto"/>
        <w:left w:val="none" w:sz="0" w:space="0" w:color="auto"/>
        <w:bottom w:val="none" w:sz="0" w:space="0" w:color="auto"/>
        <w:right w:val="none" w:sz="0" w:space="0" w:color="auto"/>
      </w:divBdr>
      <w:divsChild>
        <w:div w:id="1486971666">
          <w:marLeft w:val="288"/>
          <w:marRight w:val="0"/>
          <w:marTop w:val="160"/>
          <w:marBottom w:val="0"/>
          <w:divBdr>
            <w:top w:val="none" w:sz="0" w:space="0" w:color="auto"/>
            <w:left w:val="none" w:sz="0" w:space="0" w:color="auto"/>
            <w:bottom w:val="none" w:sz="0" w:space="0" w:color="auto"/>
            <w:right w:val="none" w:sz="0" w:space="0" w:color="auto"/>
          </w:divBdr>
        </w:div>
        <w:div w:id="1486971667">
          <w:marLeft w:val="288"/>
          <w:marRight w:val="0"/>
          <w:marTop w:val="160"/>
          <w:marBottom w:val="0"/>
          <w:divBdr>
            <w:top w:val="none" w:sz="0" w:space="0" w:color="auto"/>
            <w:left w:val="none" w:sz="0" w:space="0" w:color="auto"/>
            <w:bottom w:val="none" w:sz="0" w:space="0" w:color="auto"/>
            <w:right w:val="none" w:sz="0" w:space="0" w:color="auto"/>
          </w:divBdr>
        </w:div>
        <w:div w:id="1486971674">
          <w:marLeft w:val="979"/>
          <w:marRight w:val="0"/>
          <w:marTop w:val="77"/>
          <w:marBottom w:val="0"/>
          <w:divBdr>
            <w:top w:val="none" w:sz="0" w:space="0" w:color="auto"/>
            <w:left w:val="none" w:sz="0" w:space="0" w:color="auto"/>
            <w:bottom w:val="none" w:sz="0" w:space="0" w:color="auto"/>
            <w:right w:val="none" w:sz="0" w:space="0" w:color="auto"/>
          </w:divBdr>
        </w:div>
        <w:div w:id="1486971681">
          <w:marLeft w:val="979"/>
          <w:marRight w:val="0"/>
          <w:marTop w:val="77"/>
          <w:marBottom w:val="0"/>
          <w:divBdr>
            <w:top w:val="none" w:sz="0" w:space="0" w:color="auto"/>
            <w:left w:val="none" w:sz="0" w:space="0" w:color="auto"/>
            <w:bottom w:val="none" w:sz="0" w:space="0" w:color="auto"/>
            <w:right w:val="none" w:sz="0" w:space="0" w:color="auto"/>
          </w:divBdr>
        </w:div>
        <w:div w:id="1486971690">
          <w:marLeft w:val="979"/>
          <w:marRight w:val="0"/>
          <w:marTop w:val="77"/>
          <w:marBottom w:val="0"/>
          <w:divBdr>
            <w:top w:val="none" w:sz="0" w:space="0" w:color="auto"/>
            <w:left w:val="none" w:sz="0" w:space="0" w:color="auto"/>
            <w:bottom w:val="none" w:sz="0" w:space="0" w:color="auto"/>
            <w:right w:val="none" w:sz="0" w:space="0" w:color="auto"/>
          </w:divBdr>
        </w:div>
        <w:div w:id="1486971704">
          <w:marLeft w:val="288"/>
          <w:marRight w:val="0"/>
          <w:marTop w:val="160"/>
          <w:marBottom w:val="0"/>
          <w:divBdr>
            <w:top w:val="none" w:sz="0" w:space="0" w:color="auto"/>
            <w:left w:val="none" w:sz="0" w:space="0" w:color="auto"/>
            <w:bottom w:val="none" w:sz="0" w:space="0" w:color="auto"/>
            <w:right w:val="none" w:sz="0" w:space="0" w:color="auto"/>
          </w:divBdr>
        </w:div>
        <w:div w:id="1486971714">
          <w:marLeft w:val="979"/>
          <w:marRight w:val="0"/>
          <w:marTop w:val="77"/>
          <w:marBottom w:val="0"/>
          <w:divBdr>
            <w:top w:val="none" w:sz="0" w:space="0" w:color="auto"/>
            <w:left w:val="none" w:sz="0" w:space="0" w:color="auto"/>
            <w:bottom w:val="none" w:sz="0" w:space="0" w:color="auto"/>
            <w:right w:val="none" w:sz="0" w:space="0" w:color="auto"/>
          </w:divBdr>
        </w:div>
        <w:div w:id="1486971780">
          <w:marLeft w:val="288"/>
          <w:marRight w:val="0"/>
          <w:marTop w:val="160"/>
          <w:marBottom w:val="0"/>
          <w:divBdr>
            <w:top w:val="none" w:sz="0" w:space="0" w:color="auto"/>
            <w:left w:val="none" w:sz="0" w:space="0" w:color="auto"/>
            <w:bottom w:val="none" w:sz="0" w:space="0" w:color="auto"/>
            <w:right w:val="none" w:sz="0" w:space="0" w:color="auto"/>
          </w:divBdr>
        </w:div>
        <w:div w:id="1486971794">
          <w:marLeft w:val="979"/>
          <w:marRight w:val="0"/>
          <w:marTop w:val="77"/>
          <w:marBottom w:val="0"/>
          <w:divBdr>
            <w:top w:val="none" w:sz="0" w:space="0" w:color="auto"/>
            <w:left w:val="none" w:sz="0" w:space="0" w:color="auto"/>
            <w:bottom w:val="none" w:sz="0" w:space="0" w:color="auto"/>
            <w:right w:val="none" w:sz="0" w:space="0" w:color="auto"/>
          </w:divBdr>
        </w:div>
        <w:div w:id="1486971828">
          <w:marLeft w:val="979"/>
          <w:marRight w:val="0"/>
          <w:marTop w:val="77"/>
          <w:marBottom w:val="0"/>
          <w:divBdr>
            <w:top w:val="none" w:sz="0" w:space="0" w:color="auto"/>
            <w:left w:val="none" w:sz="0" w:space="0" w:color="auto"/>
            <w:bottom w:val="none" w:sz="0" w:space="0" w:color="auto"/>
            <w:right w:val="none" w:sz="0" w:space="0" w:color="auto"/>
          </w:divBdr>
        </w:div>
        <w:div w:id="1486971845">
          <w:marLeft w:val="979"/>
          <w:marRight w:val="0"/>
          <w:marTop w:val="77"/>
          <w:marBottom w:val="0"/>
          <w:divBdr>
            <w:top w:val="none" w:sz="0" w:space="0" w:color="auto"/>
            <w:left w:val="none" w:sz="0" w:space="0" w:color="auto"/>
            <w:bottom w:val="none" w:sz="0" w:space="0" w:color="auto"/>
            <w:right w:val="none" w:sz="0" w:space="0" w:color="auto"/>
          </w:divBdr>
        </w:div>
        <w:div w:id="1486971864">
          <w:marLeft w:val="979"/>
          <w:marRight w:val="0"/>
          <w:marTop w:val="77"/>
          <w:marBottom w:val="0"/>
          <w:divBdr>
            <w:top w:val="none" w:sz="0" w:space="0" w:color="auto"/>
            <w:left w:val="none" w:sz="0" w:space="0" w:color="auto"/>
            <w:bottom w:val="none" w:sz="0" w:space="0" w:color="auto"/>
            <w:right w:val="none" w:sz="0" w:space="0" w:color="auto"/>
          </w:divBdr>
        </w:div>
        <w:div w:id="1486971871">
          <w:marLeft w:val="288"/>
          <w:marRight w:val="0"/>
          <w:marTop w:val="86"/>
          <w:marBottom w:val="0"/>
          <w:divBdr>
            <w:top w:val="none" w:sz="0" w:space="0" w:color="auto"/>
            <w:left w:val="none" w:sz="0" w:space="0" w:color="auto"/>
            <w:bottom w:val="none" w:sz="0" w:space="0" w:color="auto"/>
            <w:right w:val="none" w:sz="0" w:space="0" w:color="auto"/>
          </w:divBdr>
        </w:div>
        <w:div w:id="1486971890">
          <w:marLeft w:val="288"/>
          <w:marRight w:val="0"/>
          <w:marTop w:val="160"/>
          <w:marBottom w:val="0"/>
          <w:divBdr>
            <w:top w:val="none" w:sz="0" w:space="0" w:color="auto"/>
            <w:left w:val="none" w:sz="0" w:space="0" w:color="auto"/>
            <w:bottom w:val="none" w:sz="0" w:space="0" w:color="auto"/>
            <w:right w:val="none" w:sz="0" w:space="0" w:color="auto"/>
          </w:divBdr>
        </w:div>
      </w:divsChild>
    </w:div>
    <w:div w:id="1486971882">
      <w:marLeft w:val="0"/>
      <w:marRight w:val="0"/>
      <w:marTop w:val="0"/>
      <w:marBottom w:val="0"/>
      <w:divBdr>
        <w:top w:val="none" w:sz="0" w:space="0" w:color="auto"/>
        <w:left w:val="none" w:sz="0" w:space="0" w:color="auto"/>
        <w:bottom w:val="none" w:sz="0" w:space="0" w:color="auto"/>
        <w:right w:val="none" w:sz="0" w:space="0" w:color="auto"/>
      </w:divBdr>
    </w:div>
    <w:div w:id="1486971887">
      <w:marLeft w:val="0"/>
      <w:marRight w:val="0"/>
      <w:marTop w:val="0"/>
      <w:marBottom w:val="0"/>
      <w:divBdr>
        <w:top w:val="none" w:sz="0" w:space="0" w:color="auto"/>
        <w:left w:val="none" w:sz="0" w:space="0" w:color="auto"/>
        <w:bottom w:val="none" w:sz="0" w:space="0" w:color="auto"/>
        <w:right w:val="none" w:sz="0" w:space="0" w:color="auto"/>
      </w:divBdr>
    </w:div>
    <w:div w:id="1486971888">
      <w:marLeft w:val="0"/>
      <w:marRight w:val="0"/>
      <w:marTop w:val="0"/>
      <w:marBottom w:val="0"/>
      <w:divBdr>
        <w:top w:val="none" w:sz="0" w:space="0" w:color="auto"/>
        <w:left w:val="none" w:sz="0" w:space="0" w:color="auto"/>
        <w:bottom w:val="none" w:sz="0" w:space="0" w:color="auto"/>
        <w:right w:val="none" w:sz="0" w:space="0" w:color="auto"/>
      </w:divBdr>
    </w:div>
    <w:div w:id="1486971889">
      <w:marLeft w:val="0"/>
      <w:marRight w:val="0"/>
      <w:marTop w:val="0"/>
      <w:marBottom w:val="0"/>
      <w:divBdr>
        <w:top w:val="none" w:sz="0" w:space="0" w:color="auto"/>
        <w:left w:val="none" w:sz="0" w:space="0" w:color="auto"/>
        <w:bottom w:val="none" w:sz="0" w:space="0" w:color="auto"/>
        <w:right w:val="none" w:sz="0" w:space="0" w:color="auto"/>
      </w:divBdr>
    </w:div>
    <w:div w:id="1486971891">
      <w:marLeft w:val="0"/>
      <w:marRight w:val="0"/>
      <w:marTop w:val="0"/>
      <w:marBottom w:val="0"/>
      <w:divBdr>
        <w:top w:val="none" w:sz="0" w:space="0" w:color="auto"/>
        <w:left w:val="none" w:sz="0" w:space="0" w:color="auto"/>
        <w:bottom w:val="none" w:sz="0" w:space="0" w:color="auto"/>
        <w:right w:val="none" w:sz="0" w:space="0" w:color="auto"/>
      </w:divBdr>
    </w:div>
    <w:div w:id="1486971893">
      <w:marLeft w:val="0"/>
      <w:marRight w:val="0"/>
      <w:marTop w:val="0"/>
      <w:marBottom w:val="0"/>
      <w:divBdr>
        <w:top w:val="none" w:sz="0" w:space="0" w:color="auto"/>
        <w:left w:val="none" w:sz="0" w:space="0" w:color="auto"/>
        <w:bottom w:val="none" w:sz="0" w:space="0" w:color="auto"/>
        <w:right w:val="none" w:sz="0" w:space="0" w:color="auto"/>
      </w:divBdr>
    </w:div>
    <w:div w:id="1486971896">
      <w:marLeft w:val="0"/>
      <w:marRight w:val="0"/>
      <w:marTop w:val="0"/>
      <w:marBottom w:val="0"/>
      <w:divBdr>
        <w:top w:val="none" w:sz="0" w:space="0" w:color="auto"/>
        <w:left w:val="none" w:sz="0" w:space="0" w:color="auto"/>
        <w:bottom w:val="none" w:sz="0" w:space="0" w:color="auto"/>
        <w:right w:val="none" w:sz="0" w:space="0" w:color="auto"/>
      </w:divBdr>
    </w:div>
    <w:div w:id="1486971897">
      <w:marLeft w:val="0"/>
      <w:marRight w:val="0"/>
      <w:marTop w:val="0"/>
      <w:marBottom w:val="0"/>
      <w:divBdr>
        <w:top w:val="none" w:sz="0" w:space="0" w:color="auto"/>
        <w:left w:val="none" w:sz="0" w:space="0" w:color="auto"/>
        <w:bottom w:val="none" w:sz="0" w:space="0" w:color="auto"/>
        <w:right w:val="none" w:sz="0" w:space="0" w:color="auto"/>
      </w:divBdr>
    </w:div>
    <w:div w:id="1486971899">
      <w:marLeft w:val="0"/>
      <w:marRight w:val="0"/>
      <w:marTop w:val="0"/>
      <w:marBottom w:val="0"/>
      <w:divBdr>
        <w:top w:val="none" w:sz="0" w:space="0" w:color="auto"/>
        <w:left w:val="none" w:sz="0" w:space="0" w:color="auto"/>
        <w:bottom w:val="none" w:sz="0" w:space="0" w:color="auto"/>
        <w:right w:val="none" w:sz="0" w:space="0" w:color="auto"/>
      </w:divBdr>
    </w:div>
    <w:div w:id="1486971902">
      <w:marLeft w:val="0"/>
      <w:marRight w:val="0"/>
      <w:marTop w:val="0"/>
      <w:marBottom w:val="0"/>
      <w:divBdr>
        <w:top w:val="none" w:sz="0" w:space="0" w:color="auto"/>
        <w:left w:val="none" w:sz="0" w:space="0" w:color="auto"/>
        <w:bottom w:val="none" w:sz="0" w:space="0" w:color="auto"/>
        <w:right w:val="none" w:sz="0" w:space="0" w:color="auto"/>
      </w:divBdr>
    </w:div>
    <w:div w:id="1486971907">
      <w:marLeft w:val="0"/>
      <w:marRight w:val="0"/>
      <w:marTop w:val="0"/>
      <w:marBottom w:val="0"/>
      <w:divBdr>
        <w:top w:val="none" w:sz="0" w:space="0" w:color="auto"/>
        <w:left w:val="none" w:sz="0" w:space="0" w:color="auto"/>
        <w:bottom w:val="none" w:sz="0" w:space="0" w:color="auto"/>
        <w:right w:val="none" w:sz="0" w:space="0" w:color="auto"/>
      </w:divBdr>
    </w:div>
    <w:div w:id="1486971908">
      <w:marLeft w:val="0"/>
      <w:marRight w:val="0"/>
      <w:marTop w:val="0"/>
      <w:marBottom w:val="0"/>
      <w:divBdr>
        <w:top w:val="none" w:sz="0" w:space="0" w:color="auto"/>
        <w:left w:val="none" w:sz="0" w:space="0" w:color="auto"/>
        <w:bottom w:val="none" w:sz="0" w:space="0" w:color="auto"/>
        <w:right w:val="none" w:sz="0" w:space="0" w:color="auto"/>
      </w:divBdr>
    </w:div>
    <w:div w:id="1486971909">
      <w:marLeft w:val="0"/>
      <w:marRight w:val="0"/>
      <w:marTop w:val="0"/>
      <w:marBottom w:val="0"/>
      <w:divBdr>
        <w:top w:val="none" w:sz="0" w:space="0" w:color="auto"/>
        <w:left w:val="none" w:sz="0" w:space="0" w:color="auto"/>
        <w:bottom w:val="none" w:sz="0" w:space="0" w:color="auto"/>
        <w:right w:val="none" w:sz="0" w:space="0" w:color="auto"/>
      </w:divBdr>
    </w:div>
    <w:div w:id="1486971911">
      <w:marLeft w:val="0"/>
      <w:marRight w:val="0"/>
      <w:marTop w:val="0"/>
      <w:marBottom w:val="0"/>
      <w:divBdr>
        <w:top w:val="none" w:sz="0" w:space="0" w:color="auto"/>
        <w:left w:val="none" w:sz="0" w:space="0" w:color="auto"/>
        <w:bottom w:val="none" w:sz="0" w:space="0" w:color="auto"/>
        <w:right w:val="none" w:sz="0" w:space="0" w:color="auto"/>
      </w:divBdr>
    </w:div>
    <w:div w:id="1486971913">
      <w:marLeft w:val="0"/>
      <w:marRight w:val="0"/>
      <w:marTop w:val="0"/>
      <w:marBottom w:val="0"/>
      <w:divBdr>
        <w:top w:val="none" w:sz="0" w:space="0" w:color="auto"/>
        <w:left w:val="none" w:sz="0" w:space="0" w:color="auto"/>
        <w:bottom w:val="none" w:sz="0" w:space="0" w:color="auto"/>
        <w:right w:val="none" w:sz="0" w:space="0" w:color="auto"/>
      </w:divBdr>
    </w:div>
    <w:div w:id="1486971916">
      <w:marLeft w:val="0"/>
      <w:marRight w:val="0"/>
      <w:marTop w:val="0"/>
      <w:marBottom w:val="0"/>
      <w:divBdr>
        <w:top w:val="none" w:sz="0" w:space="0" w:color="auto"/>
        <w:left w:val="none" w:sz="0" w:space="0" w:color="auto"/>
        <w:bottom w:val="none" w:sz="0" w:space="0" w:color="auto"/>
        <w:right w:val="none" w:sz="0" w:space="0" w:color="auto"/>
      </w:divBdr>
    </w:div>
    <w:div w:id="1486971917">
      <w:marLeft w:val="0"/>
      <w:marRight w:val="0"/>
      <w:marTop w:val="0"/>
      <w:marBottom w:val="0"/>
      <w:divBdr>
        <w:top w:val="none" w:sz="0" w:space="0" w:color="auto"/>
        <w:left w:val="none" w:sz="0" w:space="0" w:color="auto"/>
        <w:bottom w:val="none" w:sz="0" w:space="0" w:color="auto"/>
        <w:right w:val="none" w:sz="0" w:space="0" w:color="auto"/>
      </w:divBdr>
    </w:div>
    <w:div w:id="1486971919">
      <w:marLeft w:val="0"/>
      <w:marRight w:val="0"/>
      <w:marTop w:val="0"/>
      <w:marBottom w:val="0"/>
      <w:divBdr>
        <w:top w:val="none" w:sz="0" w:space="0" w:color="auto"/>
        <w:left w:val="none" w:sz="0" w:space="0" w:color="auto"/>
        <w:bottom w:val="none" w:sz="0" w:space="0" w:color="auto"/>
        <w:right w:val="none" w:sz="0" w:space="0" w:color="auto"/>
      </w:divBdr>
    </w:div>
    <w:div w:id="1491561415">
      <w:bodyDiv w:val="1"/>
      <w:marLeft w:val="0"/>
      <w:marRight w:val="0"/>
      <w:marTop w:val="0"/>
      <w:marBottom w:val="0"/>
      <w:divBdr>
        <w:top w:val="none" w:sz="0" w:space="0" w:color="auto"/>
        <w:left w:val="none" w:sz="0" w:space="0" w:color="auto"/>
        <w:bottom w:val="none" w:sz="0" w:space="0" w:color="auto"/>
        <w:right w:val="none" w:sz="0" w:space="0" w:color="auto"/>
      </w:divBdr>
    </w:div>
    <w:div w:id="1507208818">
      <w:bodyDiv w:val="1"/>
      <w:marLeft w:val="0"/>
      <w:marRight w:val="0"/>
      <w:marTop w:val="0"/>
      <w:marBottom w:val="0"/>
      <w:divBdr>
        <w:top w:val="none" w:sz="0" w:space="0" w:color="auto"/>
        <w:left w:val="none" w:sz="0" w:space="0" w:color="auto"/>
        <w:bottom w:val="none" w:sz="0" w:space="0" w:color="auto"/>
        <w:right w:val="none" w:sz="0" w:space="0" w:color="auto"/>
      </w:divBdr>
    </w:div>
    <w:div w:id="1537813780">
      <w:bodyDiv w:val="1"/>
      <w:marLeft w:val="0"/>
      <w:marRight w:val="0"/>
      <w:marTop w:val="0"/>
      <w:marBottom w:val="0"/>
      <w:divBdr>
        <w:top w:val="none" w:sz="0" w:space="0" w:color="auto"/>
        <w:left w:val="none" w:sz="0" w:space="0" w:color="auto"/>
        <w:bottom w:val="none" w:sz="0" w:space="0" w:color="auto"/>
        <w:right w:val="none" w:sz="0" w:space="0" w:color="auto"/>
      </w:divBdr>
    </w:div>
    <w:div w:id="1542474253">
      <w:bodyDiv w:val="1"/>
      <w:marLeft w:val="0"/>
      <w:marRight w:val="0"/>
      <w:marTop w:val="0"/>
      <w:marBottom w:val="0"/>
      <w:divBdr>
        <w:top w:val="none" w:sz="0" w:space="0" w:color="auto"/>
        <w:left w:val="none" w:sz="0" w:space="0" w:color="auto"/>
        <w:bottom w:val="none" w:sz="0" w:space="0" w:color="auto"/>
        <w:right w:val="none" w:sz="0" w:space="0" w:color="auto"/>
      </w:divBdr>
    </w:div>
    <w:div w:id="1545678907">
      <w:bodyDiv w:val="1"/>
      <w:marLeft w:val="0"/>
      <w:marRight w:val="0"/>
      <w:marTop w:val="0"/>
      <w:marBottom w:val="0"/>
      <w:divBdr>
        <w:top w:val="none" w:sz="0" w:space="0" w:color="auto"/>
        <w:left w:val="none" w:sz="0" w:space="0" w:color="auto"/>
        <w:bottom w:val="none" w:sz="0" w:space="0" w:color="auto"/>
        <w:right w:val="none" w:sz="0" w:space="0" w:color="auto"/>
      </w:divBdr>
    </w:div>
    <w:div w:id="1548755193">
      <w:bodyDiv w:val="1"/>
      <w:marLeft w:val="0"/>
      <w:marRight w:val="0"/>
      <w:marTop w:val="0"/>
      <w:marBottom w:val="0"/>
      <w:divBdr>
        <w:top w:val="none" w:sz="0" w:space="0" w:color="auto"/>
        <w:left w:val="none" w:sz="0" w:space="0" w:color="auto"/>
        <w:bottom w:val="none" w:sz="0" w:space="0" w:color="auto"/>
        <w:right w:val="none" w:sz="0" w:space="0" w:color="auto"/>
      </w:divBdr>
    </w:div>
    <w:div w:id="1550654397">
      <w:bodyDiv w:val="1"/>
      <w:marLeft w:val="0"/>
      <w:marRight w:val="0"/>
      <w:marTop w:val="0"/>
      <w:marBottom w:val="0"/>
      <w:divBdr>
        <w:top w:val="none" w:sz="0" w:space="0" w:color="auto"/>
        <w:left w:val="none" w:sz="0" w:space="0" w:color="auto"/>
        <w:bottom w:val="none" w:sz="0" w:space="0" w:color="auto"/>
        <w:right w:val="none" w:sz="0" w:space="0" w:color="auto"/>
      </w:divBdr>
    </w:div>
    <w:div w:id="1551914719">
      <w:bodyDiv w:val="1"/>
      <w:marLeft w:val="0"/>
      <w:marRight w:val="0"/>
      <w:marTop w:val="0"/>
      <w:marBottom w:val="0"/>
      <w:divBdr>
        <w:top w:val="none" w:sz="0" w:space="0" w:color="auto"/>
        <w:left w:val="none" w:sz="0" w:space="0" w:color="auto"/>
        <w:bottom w:val="none" w:sz="0" w:space="0" w:color="auto"/>
        <w:right w:val="none" w:sz="0" w:space="0" w:color="auto"/>
      </w:divBdr>
    </w:div>
    <w:div w:id="1569533501">
      <w:bodyDiv w:val="1"/>
      <w:marLeft w:val="0"/>
      <w:marRight w:val="0"/>
      <w:marTop w:val="0"/>
      <w:marBottom w:val="0"/>
      <w:divBdr>
        <w:top w:val="none" w:sz="0" w:space="0" w:color="auto"/>
        <w:left w:val="none" w:sz="0" w:space="0" w:color="auto"/>
        <w:bottom w:val="none" w:sz="0" w:space="0" w:color="auto"/>
        <w:right w:val="none" w:sz="0" w:space="0" w:color="auto"/>
      </w:divBdr>
      <w:divsChild>
        <w:div w:id="2045330805">
          <w:marLeft w:val="576"/>
          <w:marRight w:val="0"/>
          <w:marTop w:val="120"/>
          <w:marBottom w:val="60"/>
          <w:divBdr>
            <w:top w:val="none" w:sz="0" w:space="0" w:color="auto"/>
            <w:left w:val="none" w:sz="0" w:space="0" w:color="auto"/>
            <w:bottom w:val="none" w:sz="0" w:space="0" w:color="auto"/>
            <w:right w:val="none" w:sz="0" w:space="0" w:color="auto"/>
          </w:divBdr>
        </w:div>
        <w:div w:id="485777984">
          <w:marLeft w:val="576"/>
          <w:marRight w:val="0"/>
          <w:marTop w:val="120"/>
          <w:marBottom w:val="60"/>
          <w:divBdr>
            <w:top w:val="none" w:sz="0" w:space="0" w:color="auto"/>
            <w:left w:val="none" w:sz="0" w:space="0" w:color="auto"/>
            <w:bottom w:val="none" w:sz="0" w:space="0" w:color="auto"/>
            <w:right w:val="none" w:sz="0" w:space="0" w:color="auto"/>
          </w:divBdr>
        </w:div>
        <w:div w:id="283855589">
          <w:marLeft w:val="576"/>
          <w:marRight w:val="0"/>
          <w:marTop w:val="120"/>
          <w:marBottom w:val="60"/>
          <w:divBdr>
            <w:top w:val="none" w:sz="0" w:space="0" w:color="auto"/>
            <w:left w:val="none" w:sz="0" w:space="0" w:color="auto"/>
            <w:bottom w:val="none" w:sz="0" w:space="0" w:color="auto"/>
            <w:right w:val="none" w:sz="0" w:space="0" w:color="auto"/>
          </w:divBdr>
        </w:div>
        <w:div w:id="1376661659">
          <w:marLeft w:val="576"/>
          <w:marRight w:val="0"/>
          <w:marTop w:val="120"/>
          <w:marBottom w:val="60"/>
          <w:divBdr>
            <w:top w:val="none" w:sz="0" w:space="0" w:color="auto"/>
            <w:left w:val="none" w:sz="0" w:space="0" w:color="auto"/>
            <w:bottom w:val="none" w:sz="0" w:space="0" w:color="auto"/>
            <w:right w:val="none" w:sz="0" w:space="0" w:color="auto"/>
          </w:divBdr>
        </w:div>
        <w:div w:id="1999115309">
          <w:marLeft w:val="576"/>
          <w:marRight w:val="0"/>
          <w:marTop w:val="120"/>
          <w:marBottom w:val="60"/>
          <w:divBdr>
            <w:top w:val="none" w:sz="0" w:space="0" w:color="auto"/>
            <w:left w:val="none" w:sz="0" w:space="0" w:color="auto"/>
            <w:bottom w:val="none" w:sz="0" w:space="0" w:color="auto"/>
            <w:right w:val="none" w:sz="0" w:space="0" w:color="auto"/>
          </w:divBdr>
        </w:div>
        <w:div w:id="488862480">
          <w:marLeft w:val="576"/>
          <w:marRight w:val="0"/>
          <w:marTop w:val="120"/>
          <w:marBottom w:val="60"/>
          <w:divBdr>
            <w:top w:val="none" w:sz="0" w:space="0" w:color="auto"/>
            <w:left w:val="none" w:sz="0" w:space="0" w:color="auto"/>
            <w:bottom w:val="none" w:sz="0" w:space="0" w:color="auto"/>
            <w:right w:val="none" w:sz="0" w:space="0" w:color="auto"/>
          </w:divBdr>
        </w:div>
        <w:div w:id="473108233">
          <w:marLeft w:val="576"/>
          <w:marRight w:val="0"/>
          <w:marTop w:val="120"/>
          <w:marBottom w:val="60"/>
          <w:divBdr>
            <w:top w:val="none" w:sz="0" w:space="0" w:color="auto"/>
            <w:left w:val="none" w:sz="0" w:space="0" w:color="auto"/>
            <w:bottom w:val="none" w:sz="0" w:space="0" w:color="auto"/>
            <w:right w:val="none" w:sz="0" w:space="0" w:color="auto"/>
          </w:divBdr>
        </w:div>
      </w:divsChild>
    </w:div>
    <w:div w:id="1570920756">
      <w:bodyDiv w:val="1"/>
      <w:marLeft w:val="0"/>
      <w:marRight w:val="0"/>
      <w:marTop w:val="0"/>
      <w:marBottom w:val="0"/>
      <w:divBdr>
        <w:top w:val="none" w:sz="0" w:space="0" w:color="auto"/>
        <w:left w:val="none" w:sz="0" w:space="0" w:color="auto"/>
        <w:bottom w:val="none" w:sz="0" w:space="0" w:color="auto"/>
        <w:right w:val="none" w:sz="0" w:space="0" w:color="auto"/>
      </w:divBdr>
    </w:div>
    <w:div w:id="1583027829">
      <w:bodyDiv w:val="1"/>
      <w:marLeft w:val="0"/>
      <w:marRight w:val="0"/>
      <w:marTop w:val="0"/>
      <w:marBottom w:val="0"/>
      <w:divBdr>
        <w:top w:val="none" w:sz="0" w:space="0" w:color="auto"/>
        <w:left w:val="none" w:sz="0" w:space="0" w:color="auto"/>
        <w:bottom w:val="none" w:sz="0" w:space="0" w:color="auto"/>
        <w:right w:val="none" w:sz="0" w:space="0" w:color="auto"/>
      </w:divBdr>
      <w:divsChild>
        <w:div w:id="448739341">
          <w:marLeft w:val="576"/>
          <w:marRight w:val="0"/>
          <w:marTop w:val="120"/>
          <w:marBottom w:val="60"/>
          <w:divBdr>
            <w:top w:val="none" w:sz="0" w:space="0" w:color="auto"/>
            <w:left w:val="none" w:sz="0" w:space="0" w:color="auto"/>
            <w:bottom w:val="none" w:sz="0" w:space="0" w:color="auto"/>
            <w:right w:val="none" w:sz="0" w:space="0" w:color="auto"/>
          </w:divBdr>
        </w:div>
      </w:divsChild>
    </w:div>
    <w:div w:id="1598630837">
      <w:bodyDiv w:val="1"/>
      <w:marLeft w:val="0"/>
      <w:marRight w:val="0"/>
      <w:marTop w:val="0"/>
      <w:marBottom w:val="0"/>
      <w:divBdr>
        <w:top w:val="none" w:sz="0" w:space="0" w:color="auto"/>
        <w:left w:val="none" w:sz="0" w:space="0" w:color="auto"/>
        <w:bottom w:val="none" w:sz="0" w:space="0" w:color="auto"/>
        <w:right w:val="none" w:sz="0" w:space="0" w:color="auto"/>
      </w:divBdr>
    </w:div>
    <w:div w:id="1602758986">
      <w:bodyDiv w:val="1"/>
      <w:marLeft w:val="0"/>
      <w:marRight w:val="0"/>
      <w:marTop w:val="0"/>
      <w:marBottom w:val="0"/>
      <w:divBdr>
        <w:top w:val="none" w:sz="0" w:space="0" w:color="auto"/>
        <w:left w:val="none" w:sz="0" w:space="0" w:color="auto"/>
        <w:bottom w:val="none" w:sz="0" w:space="0" w:color="auto"/>
        <w:right w:val="none" w:sz="0" w:space="0" w:color="auto"/>
      </w:divBdr>
    </w:div>
    <w:div w:id="1619027625">
      <w:bodyDiv w:val="1"/>
      <w:marLeft w:val="0"/>
      <w:marRight w:val="0"/>
      <w:marTop w:val="0"/>
      <w:marBottom w:val="0"/>
      <w:divBdr>
        <w:top w:val="none" w:sz="0" w:space="0" w:color="auto"/>
        <w:left w:val="none" w:sz="0" w:space="0" w:color="auto"/>
        <w:bottom w:val="none" w:sz="0" w:space="0" w:color="auto"/>
        <w:right w:val="none" w:sz="0" w:space="0" w:color="auto"/>
      </w:divBdr>
      <w:divsChild>
        <w:div w:id="220136513">
          <w:marLeft w:val="994"/>
          <w:marRight w:val="0"/>
          <w:marTop w:val="0"/>
          <w:marBottom w:val="0"/>
          <w:divBdr>
            <w:top w:val="none" w:sz="0" w:space="0" w:color="auto"/>
            <w:left w:val="none" w:sz="0" w:space="0" w:color="auto"/>
            <w:bottom w:val="none" w:sz="0" w:space="0" w:color="auto"/>
            <w:right w:val="none" w:sz="0" w:space="0" w:color="auto"/>
          </w:divBdr>
        </w:div>
        <w:div w:id="1558711118">
          <w:marLeft w:val="994"/>
          <w:marRight w:val="0"/>
          <w:marTop w:val="0"/>
          <w:marBottom w:val="0"/>
          <w:divBdr>
            <w:top w:val="none" w:sz="0" w:space="0" w:color="auto"/>
            <w:left w:val="none" w:sz="0" w:space="0" w:color="auto"/>
            <w:bottom w:val="none" w:sz="0" w:space="0" w:color="auto"/>
            <w:right w:val="none" w:sz="0" w:space="0" w:color="auto"/>
          </w:divBdr>
        </w:div>
        <w:div w:id="1569607655">
          <w:marLeft w:val="994"/>
          <w:marRight w:val="0"/>
          <w:marTop w:val="0"/>
          <w:marBottom w:val="0"/>
          <w:divBdr>
            <w:top w:val="none" w:sz="0" w:space="0" w:color="auto"/>
            <w:left w:val="none" w:sz="0" w:space="0" w:color="auto"/>
            <w:bottom w:val="none" w:sz="0" w:space="0" w:color="auto"/>
            <w:right w:val="none" w:sz="0" w:space="0" w:color="auto"/>
          </w:divBdr>
        </w:div>
        <w:div w:id="1607956604">
          <w:marLeft w:val="994"/>
          <w:marRight w:val="0"/>
          <w:marTop w:val="0"/>
          <w:marBottom w:val="0"/>
          <w:divBdr>
            <w:top w:val="none" w:sz="0" w:space="0" w:color="auto"/>
            <w:left w:val="none" w:sz="0" w:space="0" w:color="auto"/>
            <w:bottom w:val="none" w:sz="0" w:space="0" w:color="auto"/>
            <w:right w:val="none" w:sz="0" w:space="0" w:color="auto"/>
          </w:divBdr>
        </w:div>
        <w:div w:id="1702434157">
          <w:marLeft w:val="994"/>
          <w:marRight w:val="0"/>
          <w:marTop w:val="0"/>
          <w:marBottom w:val="0"/>
          <w:divBdr>
            <w:top w:val="none" w:sz="0" w:space="0" w:color="auto"/>
            <w:left w:val="none" w:sz="0" w:space="0" w:color="auto"/>
            <w:bottom w:val="none" w:sz="0" w:space="0" w:color="auto"/>
            <w:right w:val="none" w:sz="0" w:space="0" w:color="auto"/>
          </w:divBdr>
        </w:div>
        <w:div w:id="2101026495">
          <w:marLeft w:val="274"/>
          <w:marRight w:val="0"/>
          <w:marTop w:val="0"/>
          <w:marBottom w:val="0"/>
          <w:divBdr>
            <w:top w:val="none" w:sz="0" w:space="0" w:color="auto"/>
            <w:left w:val="none" w:sz="0" w:space="0" w:color="auto"/>
            <w:bottom w:val="none" w:sz="0" w:space="0" w:color="auto"/>
            <w:right w:val="none" w:sz="0" w:space="0" w:color="auto"/>
          </w:divBdr>
        </w:div>
        <w:div w:id="2123913039">
          <w:marLeft w:val="274"/>
          <w:marRight w:val="0"/>
          <w:marTop w:val="0"/>
          <w:marBottom w:val="0"/>
          <w:divBdr>
            <w:top w:val="none" w:sz="0" w:space="0" w:color="auto"/>
            <w:left w:val="none" w:sz="0" w:space="0" w:color="auto"/>
            <w:bottom w:val="none" w:sz="0" w:space="0" w:color="auto"/>
            <w:right w:val="none" w:sz="0" w:space="0" w:color="auto"/>
          </w:divBdr>
        </w:div>
      </w:divsChild>
    </w:div>
    <w:div w:id="1620718445">
      <w:bodyDiv w:val="1"/>
      <w:marLeft w:val="0"/>
      <w:marRight w:val="0"/>
      <w:marTop w:val="0"/>
      <w:marBottom w:val="0"/>
      <w:divBdr>
        <w:top w:val="none" w:sz="0" w:space="0" w:color="auto"/>
        <w:left w:val="none" w:sz="0" w:space="0" w:color="auto"/>
        <w:bottom w:val="none" w:sz="0" w:space="0" w:color="auto"/>
        <w:right w:val="none" w:sz="0" w:space="0" w:color="auto"/>
      </w:divBdr>
    </w:div>
    <w:div w:id="1636794297">
      <w:bodyDiv w:val="1"/>
      <w:marLeft w:val="0"/>
      <w:marRight w:val="0"/>
      <w:marTop w:val="0"/>
      <w:marBottom w:val="0"/>
      <w:divBdr>
        <w:top w:val="none" w:sz="0" w:space="0" w:color="auto"/>
        <w:left w:val="none" w:sz="0" w:space="0" w:color="auto"/>
        <w:bottom w:val="none" w:sz="0" w:space="0" w:color="auto"/>
        <w:right w:val="none" w:sz="0" w:space="0" w:color="auto"/>
      </w:divBdr>
      <w:divsChild>
        <w:div w:id="68621026">
          <w:marLeft w:val="979"/>
          <w:marRight w:val="0"/>
          <w:marTop w:val="77"/>
          <w:marBottom w:val="0"/>
          <w:divBdr>
            <w:top w:val="none" w:sz="0" w:space="0" w:color="auto"/>
            <w:left w:val="none" w:sz="0" w:space="0" w:color="auto"/>
            <w:bottom w:val="none" w:sz="0" w:space="0" w:color="auto"/>
            <w:right w:val="none" w:sz="0" w:space="0" w:color="auto"/>
          </w:divBdr>
        </w:div>
        <w:div w:id="625695490">
          <w:marLeft w:val="979"/>
          <w:marRight w:val="0"/>
          <w:marTop w:val="77"/>
          <w:marBottom w:val="0"/>
          <w:divBdr>
            <w:top w:val="none" w:sz="0" w:space="0" w:color="auto"/>
            <w:left w:val="none" w:sz="0" w:space="0" w:color="auto"/>
            <w:bottom w:val="none" w:sz="0" w:space="0" w:color="auto"/>
            <w:right w:val="none" w:sz="0" w:space="0" w:color="auto"/>
          </w:divBdr>
        </w:div>
        <w:div w:id="770903623">
          <w:marLeft w:val="288"/>
          <w:marRight w:val="0"/>
          <w:marTop w:val="160"/>
          <w:marBottom w:val="0"/>
          <w:divBdr>
            <w:top w:val="none" w:sz="0" w:space="0" w:color="auto"/>
            <w:left w:val="none" w:sz="0" w:space="0" w:color="auto"/>
            <w:bottom w:val="none" w:sz="0" w:space="0" w:color="auto"/>
            <w:right w:val="none" w:sz="0" w:space="0" w:color="auto"/>
          </w:divBdr>
        </w:div>
        <w:div w:id="907810777">
          <w:marLeft w:val="288"/>
          <w:marRight w:val="0"/>
          <w:marTop w:val="160"/>
          <w:marBottom w:val="0"/>
          <w:divBdr>
            <w:top w:val="none" w:sz="0" w:space="0" w:color="auto"/>
            <w:left w:val="none" w:sz="0" w:space="0" w:color="auto"/>
            <w:bottom w:val="none" w:sz="0" w:space="0" w:color="auto"/>
            <w:right w:val="none" w:sz="0" w:space="0" w:color="auto"/>
          </w:divBdr>
        </w:div>
        <w:div w:id="1043095233">
          <w:marLeft w:val="979"/>
          <w:marRight w:val="0"/>
          <w:marTop w:val="77"/>
          <w:marBottom w:val="0"/>
          <w:divBdr>
            <w:top w:val="none" w:sz="0" w:space="0" w:color="auto"/>
            <w:left w:val="none" w:sz="0" w:space="0" w:color="auto"/>
            <w:bottom w:val="none" w:sz="0" w:space="0" w:color="auto"/>
            <w:right w:val="none" w:sz="0" w:space="0" w:color="auto"/>
          </w:divBdr>
        </w:div>
        <w:div w:id="1043484843">
          <w:marLeft w:val="979"/>
          <w:marRight w:val="0"/>
          <w:marTop w:val="77"/>
          <w:marBottom w:val="0"/>
          <w:divBdr>
            <w:top w:val="none" w:sz="0" w:space="0" w:color="auto"/>
            <w:left w:val="none" w:sz="0" w:space="0" w:color="auto"/>
            <w:bottom w:val="none" w:sz="0" w:space="0" w:color="auto"/>
            <w:right w:val="none" w:sz="0" w:space="0" w:color="auto"/>
          </w:divBdr>
        </w:div>
        <w:div w:id="1052000235">
          <w:marLeft w:val="979"/>
          <w:marRight w:val="0"/>
          <w:marTop w:val="77"/>
          <w:marBottom w:val="0"/>
          <w:divBdr>
            <w:top w:val="none" w:sz="0" w:space="0" w:color="auto"/>
            <w:left w:val="none" w:sz="0" w:space="0" w:color="auto"/>
            <w:bottom w:val="none" w:sz="0" w:space="0" w:color="auto"/>
            <w:right w:val="none" w:sz="0" w:space="0" w:color="auto"/>
          </w:divBdr>
        </w:div>
        <w:div w:id="1055471375">
          <w:marLeft w:val="288"/>
          <w:marRight w:val="0"/>
          <w:marTop w:val="160"/>
          <w:marBottom w:val="0"/>
          <w:divBdr>
            <w:top w:val="none" w:sz="0" w:space="0" w:color="auto"/>
            <w:left w:val="none" w:sz="0" w:space="0" w:color="auto"/>
            <w:bottom w:val="none" w:sz="0" w:space="0" w:color="auto"/>
            <w:right w:val="none" w:sz="0" w:space="0" w:color="auto"/>
          </w:divBdr>
        </w:div>
        <w:div w:id="1160002125">
          <w:marLeft w:val="979"/>
          <w:marRight w:val="0"/>
          <w:marTop w:val="77"/>
          <w:marBottom w:val="0"/>
          <w:divBdr>
            <w:top w:val="none" w:sz="0" w:space="0" w:color="auto"/>
            <w:left w:val="none" w:sz="0" w:space="0" w:color="auto"/>
            <w:bottom w:val="none" w:sz="0" w:space="0" w:color="auto"/>
            <w:right w:val="none" w:sz="0" w:space="0" w:color="auto"/>
          </w:divBdr>
        </w:div>
        <w:div w:id="1287587101">
          <w:marLeft w:val="288"/>
          <w:marRight w:val="0"/>
          <w:marTop w:val="86"/>
          <w:marBottom w:val="0"/>
          <w:divBdr>
            <w:top w:val="none" w:sz="0" w:space="0" w:color="auto"/>
            <w:left w:val="none" w:sz="0" w:space="0" w:color="auto"/>
            <w:bottom w:val="none" w:sz="0" w:space="0" w:color="auto"/>
            <w:right w:val="none" w:sz="0" w:space="0" w:color="auto"/>
          </w:divBdr>
        </w:div>
        <w:div w:id="1609653488">
          <w:marLeft w:val="979"/>
          <w:marRight w:val="0"/>
          <w:marTop w:val="77"/>
          <w:marBottom w:val="0"/>
          <w:divBdr>
            <w:top w:val="none" w:sz="0" w:space="0" w:color="auto"/>
            <w:left w:val="none" w:sz="0" w:space="0" w:color="auto"/>
            <w:bottom w:val="none" w:sz="0" w:space="0" w:color="auto"/>
            <w:right w:val="none" w:sz="0" w:space="0" w:color="auto"/>
          </w:divBdr>
        </w:div>
        <w:div w:id="1812558808">
          <w:marLeft w:val="979"/>
          <w:marRight w:val="0"/>
          <w:marTop w:val="77"/>
          <w:marBottom w:val="0"/>
          <w:divBdr>
            <w:top w:val="none" w:sz="0" w:space="0" w:color="auto"/>
            <w:left w:val="none" w:sz="0" w:space="0" w:color="auto"/>
            <w:bottom w:val="none" w:sz="0" w:space="0" w:color="auto"/>
            <w:right w:val="none" w:sz="0" w:space="0" w:color="auto"/>
          </w:divBdr>
        </w:div>
        <w:div w:id="1972666038">
          <w:marLeft w:val="288"/>
          <w:marRight w:val="0"/>
          <w:marTop w:val="160"/>
          <w:marBottom w:val="0"/>
          <w:divBdr>
            <w:top w:val="none" w:sz="0" w:space="0" w:color="auto"/>
            <w:left w:val="none" w:sz="0" w:space="0" w:color="auto"/>
            <w:bottom w:val="none" w:sz="0" w:space="0" w:color="auto"/>
            <w:right w:val="none" w:sz="0" w:space="0" w:color="auto"/>
          </w:divBdr>
        </w:div>
        <w:div w:id="1981884480">
          <w:marLeft w:val="288"/>
          <w:marRight w:val="0"/>
          <w:marTop w:val="160"/>
          <w:marBottom w:val="0"/>
          <w:divBdr>
            <w:top w:val="none" w:sz="0" w:space="0" w:color="auto"/>
            <w:left w:val="none" w:sz="0" w:space="0" w:color="auto"/>
            <w:bottom w:val="none" w:sz="0" w:space="0" w:color="auto"/>
            <w:right w:val="none" w:sz="0" w:space="0" w:color="auto"/>
          </w:divBdr>
        </w:div>
      </w:divsChild>
    </w:div>
    <w:div w:id="1636986804">
      <w:bodyDiv w:val="1"/>
      <w:marLeft w:val="0"/>
      <w:marRight w:val="0"/>
      <w:marTop w:val="0"/>
      <w:marBottom w:val="0"/>
      <w:divBdr>
        <w:top w:val="none" w:sz="0" w:space="0" w:color="auto"/>
        <w:left w:val="none" w:sz="0" w:space="0" w:color="auto"/>
        <w:bottom w:val="none" w:sz="0" w:space="0" w:color="auto"/>
        <w:right w:val="none" w:sz="0" w:space="0" w:color="auto"/>
      </w:divBdr>
      <w:divsChild>
        <w:div w:id="1247376555">
          <w:marLeft w:val="0"/>
          <w:marRight w:val="0"/>
          <w:marTop w:val="0"/>
          <w:marBottom w:val="0"/>
          <w:divBdr>
            <w:top w:val="none" w:sz="0" w:space="0" w:color="auto"/>
            <w:left w:val="none" w:sz="0" w:space="0" w:color="auto"/>
            <w:bottom w:val="none" w:sz="0" w:space="0" w:color="auto"/>
            <w:right w:val="none" w:sz="0" w:space="0" w:color="auto"/>
          </w:divBdr>
          <w:divsChild>
            <w:div w:id="844053633">
              <w:marLeft w:val="0"/>
              <w:marRight w:val="0"/>
              <w:marTop w:val="0"/>
              <w:marBottom w:val="0"/>
              <w:divBdr>
                <w:top w:val="none" w:sz="0" w:space="0" w:color="auto"/>
                <w:left w:val="none" w:sz="0" w:space="0" w:color="auto"/>
                <w:bottom w:val="none" w:sz="0" w:space="0" w:color="auto"/>
                <w:right w:val="none" w:sz="0" w:space="0" w:color="auto"/>
              </w:divBdr>
              <w:divsChild>
                <w:div w:id="931398767">
                  <w:marLeft w:val="0"/>
                  <w:marRight w:val="0"/>
                  <w:marTop w:val="0"/>
                  <w:marBottom w:val="0"/>
                  <w:divBdr>
                    <w:top w:val="none" w:sz="0" w:space="0" w:color="auto"/>
                    <w:left w:val="none" w:sz="0" w:space="0" w:color="auto"/>
                    <w:bottom w:val="none" w:sz="0" w:space="0" w:color="auto"/>
                    <w:right w:val="none" w:sz="0" w:space="0" w:color="auto"/>
                  </w:divBdr>
                  <w:divsChild>
                    <w:div w:id="359549875">
                      <w:marLeft w:val="0"/>
                      <w:marRight w:val="0"/>
                      <w:marTop w:val="0"/>
                      <w:marBottom w:val="0"/>
                      <w:divBdr>
                        <w:top w:val="none" w:sz="0" w:space="0" w:color="auto"/>
                        <w:left w:val="none" w:sz="0" w:space="0" w:color="auto"/>
                        <w:bottom w:val="none" w:sz="0" w:space="0" w:color="auto"/>
                        <w:right w:val="none" w:sz="0" w:space="0" w:color="auto"/>
                      </w:divBdr>
                      <w:divsChild>
                        <w:div w:id="868565064">
                          <w:marLeft w:val="0"/>
                          <w:marRight w:val="0"/>
                          <w:marTop w:val="0"/>
                          <w:marBottom w:val="0"/>
                          <w:divBdr>
                            <w:top w:val="none" w:sz="0" w:space="0" w:color="auto"/>
                            <w:left w:val="none" w:sz="0" w:space="0" w:color="auto"/>
                            <w:bottom w:val="none" w:sz="0" w:space="0" w:color="auto"/>
                            <w:right w:val="none" w:sz="0" w:space="0" w:color="auto"/>
                          </w:divBdr>
                          <w:divsChild>
                            <w:div w:id="269824562">
                              <w:marLeft w:val="0"/>
                              <w:marRight w:val="0"/>
                              <w:marTop w:val="0"/>
                              <w:marBottom w:val="0"/>
                              <w:divBdr>
                                <w:top w:val="none" w:sz="0" w:space="0" w:color="auto"/>
                                <w:left w:val="none" w:sz="0" w:space="0" w:color="auto"/>
                                <w:bottom w:val="none" w:sz="0" w:space="0" w:color="auto"/>
                                <w:right w:val="none" w:sz="0" w:space="0" w:color="auto"/>
                              </w:divBdr>
                              <w:divsChild>
                                <w:div w:id="1404838991">
                                  <w:marLeft w:val="0"/>
                                  <w:marRight w:val="0"/>
                                  <w:marTop w:val="0"/>
                                  <w:marBottom w:val="0"/>
                                  <w:divBdr>
                                    <w:top w:val="none" w:sz="0" w:space="0" w:color="auto"/>
                                    <w:left w:val="none" w:sz="0" w:space="0" w:color="auto"/>
                                    <w:bottom w:val="none" w:sz="0" w:space="0" w:color="auto"/>
                                    <w:right w:val="none" w:sz="0" w:space="0" w:color="auto"/>
                                  </w:divBdr>
                                  <w:divsChild>
                                    <w:div w:id="2066372232">
                                      <w:marLeft w:val="0"/>
                                      <w:marRight w:val="0"/>
                                      <w:marTop w:val="0"/>
                                      <w:marBottom w:val="0"/>
                                      <w:divBdr>
                                        <w:top w:val="none" w:sz="0" w:space="0" w:color="auto"/>
                                        <w:left w:val="none" w:sz="0" w:space="0" w:color="auto"/>
                                        <w:bottom w:val="none" w:sz="0" w:space="0" w:color="auto"/>
                                        <w:right w:val="none" w:sz="0" w:space="0" w:color="auto"/>
                                      </w:divBdr>
                                      <w:divsChild>
                                        <w:div w:id="2026855854">
                                          <w:marLeft w:val="0"/>
                                          <w:marRight w:val="0"/>
                                          <w:marTop w:val="0"/>
                                          <w:marBottom w:val="0"/>
                                          <w:divBdr>
                                            <w:top w:val="none" w:sz="0" w:space="0" w:color="auto"/>
                                            <w:left w:val="none" w:sz="0" w:space="0" w:color="auto"/>
                                            <w:bottom w:val="none" w:sz="0" w:space="0" w:color="auto"/>
                                            <w:right w:val="none" w:sz="0" w:space="0" w:color="auto"/>
                                          </w:divBdr>
                                          <w:divsChild>
                                            <w:div w:id="1097408437">
                                              <w:marLeft w:val="0"/>
                                              <w:marRight w:val="0"/>
                                              <w:marTop w:val="0"/>
                                              <w:marBottom w:val="0"/>
                                              <w:divBdr>
                                                <w:top w:val="none" w:sz="0" w:space="0" w:color="auto"/>
                                                <w:left w:val="none" w:sz="0" w:space="0" w:color="auto"/>
                                                <w:bottom w:val="none" w:sz="0" w:space="0" w:color="auto"/>
                                                <w:right w:val="none" w:sz="0" w:space="0" w:color="auto"/>
                                              </w:divBdr>
                                              <w:divsChild>
                                                <w:div w:id="934676682">
                                                  <w:marLeft w:val="0"/>
                                                  <w:marRight w:val="0"/>
                                                  <w:marTop w:val="0"/>
                                                  <w:marBottom w:val="0"/>
                                                  <w:divBdr>
                                                    <w:top w:val="none" w:sz="0" w:space="0" w:color="auto"/>
                                                    <w:left w:val="none" w:sz="0" w:space="0" w:color="auto"/>
                                                    <w:bottom w:val="none" w:sz="0" w:space="0" w:color="auto"/>
                                                    <w:right w:val="none" w:sz="0" w:space="0" w:color="auto"/>
                                                  </w:divBdr>
                                                  <w:divsChild>
                                                    <w:div w:id="1154184165">
                                                      <w:marLeft w:val="0"/>
                                                      <w:marRight w:val="0"/>
                                                      <w:marTop w:val="0"/>
                                                      <w:marBottom w:val="0"/>
                                                      <w:divBdr>
                                                        <w:top w:val="single" w:sz="6" w:space="0" w:color="ABABAB"/>
                                                        <w:left w:val="single" w:sz="6" w:space="0" w:color="ABABAB"/>
                                                        <w:bottom w:val="none" w:sz="0" w:space="0" w:color="auto"/>
                                                        <w:right w:val="single" w:sz="6" w:space="0" w:color="ABABAB"/>
                                                      </w:divBdr>
                                                      <w:divsChild>
                                                        <w:div w:id="79957768">
                                                          <w:marLeft w:val="0"/>
                                                          <w:marRight w:val="0"/>
                                                          <w:marTop w:val="0"/>
                                                          <w:marBottom w:val="0"/>
                                                          <w:divBdr>
                                                            <w:top w:val="none" w:sz="0" w:space="0" w:color="auto"/>
                                                            <w:left w:val="none" w:sz="0" w:space="0" w:color="auto"/>
                                                            <w:bottom w:val="none" w:sz="0" w:space="0" w:color="auto"/>
                                                            <w:right w:val="none" w:sz="0" w:space="0" w:color="auto"/>
                                                          </w:divBdr>
                                                          <w:divsChild>
                                                            <w:div w:id="565452625">
                                                              <w:marLeft w:val="0"/>
                                                              <w:marRight w:val="0"/>
                                                              <w:marTop w:val="0"/>
                                                              <w:marBottom w:val="0"/>
                                                              <w:divBdr>
                                                                <w:top w:val="none" w:sz="0" w:space="0" w:color="auto"/>
                                                                <w:left w:val="none" w:sz="0" w:space="0" w:color="auto"/>
                                                                <w:bottom w:val="none" w:sz="0" w:space="0" w:color="auto"/>
                                                                <w:right w:val="none" w:sz="0" w:space="0" w:color="auto"/>
                                                              </w:divBdr>
                                                              <w:divsChild>
                                                                <w:div w:id="1803766316">
                                                                  <w:marLeft w:val="0"/>
                                                                  <w:marRight w:val="0"/>
                                                                  <w:marTop w:val="0"/>
                                                                  <w:marBottom w:val="0"/>
                                                                  <w:divBdr>
                                                                    <w:top w:val="none" w:sz="0" w:space="0" w:color="auto"/>
                                                                    <w:left w:val="none" w:sz="0" w:space="0" w:color="auto"/>
                                                                    <w:bottom w:val="none" w:sz="0" w:space="0" w:color="auto"/>
                                                                    <w:right w:val="none" w:sz="0" w:space="0" w:color="auto"/>
                                                                  </w:divBdr>
                                                                  <w:divsChild>
                                                                    <w:div w:id="252714376">
                                                                      <w:marLeft w:val="0"/>
                                                                      <w:marRight w:val="0"/>
                                                                      <w:marTop w:val="0"/>
                                                                      <w:marBottom w:val="0"/>
                                                                      <w:divBdr>
                                                                        <w:top w:val="none" w:sz="0" w:space="0" w:color="auto"/>
                                                                        <w:left w:val="none" w:sz="0" w:space="0" w:color="auto"/>
                                                                        <w:bottom w:val="none" w:sz="0" w:space="0" w:color="auto"/>
                                                                        <w:right w:val="none" w:sz="0" w:space="0" w:color="auto"/>
                                                                      </w:divBdr>
                                                                      <w:divsChild>
                                                                        <w:div w:id="1692416438">
                                                                          <w:marLeft w:val="-75"/>
                                                                          <w:marRight w:val="0"/>
                                                                          <w:marTop w:val="30"/>
                                                                          <w:marBottom w:val="30"/>
                                                                          <w:divBdr>
                                                                            <w:top w:val="none" w:sz="0" w:space="0" w:color="auto"/>
                                                                            <w:left w:val="none" w:sz="0" w:space="0" w:color="auto"/>
                                                                            <w:bottom w:val="none" w:sz="0" w:space="0" w:color="auto"/>
                                                                            <w:right w:val="none" w:sz="0" w:space="0" w:color="auto"/>
                                                                          </w:divBdr>
                                                                          <w:divsChild>
                                                                            <w:div w:id="1197156473">
                                                                              <w:marLeft w:val="0"/>
                                                                              <w:marRight w:val="0"/>
                                                                              <w:marTop w:val="0"/>
                                                                              <w:marBottom w:val="0"/>
                                                                              <w:divBdr>
                                                                                <w:top w:val="none" w:sz="0" w:space="0" w:color="auto"/>
                                                                                <w:left w:val="none" w:sz="0" w:space="0" w:color="auto"/>
                                                                                <w:bottom w:val="none" w:sz="0" w:space="0" w:color="auto"/>
                                                                                <w:right w:val="none" w:sz="0" w:space="0" w:color="auto"/>
                                                                              </w:divBdr>
                                                                              <w:divsChild>
                                                                                <w:div w:id="528564260">
                                                                                  <w:marLeft w:val="0"/>
                                                                                  <w:marRight w:val="0"/>
                                                                                  <w:marTop w:val="0"/>
                                                                                  <w:marBottom w:val="0"/>
                                                                                  <w:divBdr>
                                                                                    <w:top w:val="none" w:sz="0" w:space="0" w:color="auto"/>
                                                                                    <w:left w:val="none" w:sz="0" w:space="0" w:color="auto"/>
                                                                                    <w:bottom w:val="none" w:sz="0" w:space="0" w:color="auto"/>
                                                                                    <w:right w:val="none" w:sz="0" w:space="0" w:color="auto"/>
                                                                                  </w:divBdr>
                                                                                  <w:divsChild>
                                                                                    <w:div w:id="1674644538">
                                                                                      <w:marLeft w:val="0"/>
                                                                                      <w:marRight w:val="0"/>
                                                                                      <w:marTop w:val="0"/>
                                                                                      <w:marBottom w:val="0"/>
                                                                                      <w:divBdr>
                                                                                        <w:top w:val="none" w:sz="0" w:space="0" w:color="auto"/>
                                                                                        <w:left w:val="none" w:sz="0" w:space="0" w:color="auto"/>
                                                                                        <w:bottom w:val="none" w:sz="0" w:space="0" w:color="auto"/>
                                                                                        <w:right w:val="none" w:sz="0" w:space="0" w:color="auto"/>
                                                                                      </w:divBdr>
                                                                                      <w:divsChild>
                                                                                        <w:div w:id="946473410">
                                                                                          <w:marLeft w:val="0"/>
                                                                                          <w:marRight w:val="0"/>
                                                                                          <w:marTop w:val="0"/>
                                                                                          <w:marBottom w:val="0"/>
                                                                                          <w:divBdr>
                                                                                            <w:top w:val="none" w:sz="0" w:space="0" w:color="auto"/>
                                                                                            <w:left w:val="none" w:sz="0" w:space="0" w:color="auto"/>
                                                                                            <w:bottom w:val="none" w:sz="0" w:space="0" w:color="auto"/>
                                                                                            <w:right w:val="none" w:sz="0" w:space="0" w:color="auto"/>
                                                                                          </w:divBdr>
                                                                                          <w:divsChild>
                                                                                            <w:div w:id="776098606">
                                                                                              <w:marLeft w:val="0"/>
                                                                                              <w:marRight w:val="0"/>
                                                                                              <w:marTop w:val="0"/>
                                                                                              <w:marBottom w:val="0"/>
                                                                                              <w:divBdr>
                                                                                                <w:top w:val="none" w:sz="0" w:space="0" w:color="auto"/>
                                                                                                <w:left w:val="none" w:sz="0" w:space="0" w:color="auto"/>
                                                                                                <w:bottom w:val="none" w:sz="0" w:space="0" w:color="auto"/>
                                                                                                <w:right w:val="none" w:sz="0" w:space="0" w:color="auto"/>
                                                                                              </w:divBdr>
                                                                                              <w:divsChild>
                                                                                                <w:div w:id="1248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447080">
      <w:bodyDiv w:val="1"/>
      <w:marLeft w:val="0"/>
      <w:marRight w:val="0"/>
      <w:marTop w:val="0"/>
      <w:marBottom w:val="0"/>
      <w:divBdr>
        <w:top w:val="none" w:sz="0" w:space="0" w:color="auto"/>
        <w:left w:val="none" w:sz="0" w:space="0" w:color="auto"/>
        <w:bottom w:val="none" w:sz="0" w:space="0" w:color="auto"/>
        <w:right w:val="none" w:sz="0" w:space="0" w:color="auto"/>
      </w:divBdr>
    </w:div>
    <w:div w:id="1694381872">
      <w:bodyDiv w:val="1"/>
      <w:marLeft w:val="0"/>
      <w:marRight w:val="0"/>
      <w:marTop w:val="0"/>
      <w:marBottom w:val="0"/>
      <w:divBdr>
        <w:top w:val="none" w:sz="0" w:space="0" w:color="auto"/>
        <w:left w:val="none" w:sz="0" w:space="0" w:color="auto"/>
        <w:bottom w:val="none" w:sz="0" w:space="0" w:color="auto"/>
        <w:right w:val="none" w:sz="0" w:space="0" w:color="auto"/>
      </w:divBdr>
    </w:div>
    <w:div w:id="1694725118">
      <w:bodyDiv w:val="1"/>
      <w:marLeft w:val="0"/>
      <w:marRight w:val="0"/>
      <w:marTop w:val="0"/>
      <w:marBottom w:val="0"/>
      <w:divBdr>
        <w:top w:val="none" w:sz="0" w:space="0" w:color="auto"/>
        <w:left w:val="none" w:sz="0" w:space="0" w:color="auto"/>
        <w:bottom w:val="none" w:sz="0" w:space="0" w:color="auto"/>
        <w:right w:val="none" w:sz="0" w:space="0" w:color="auto"/>
      </w:divBdr>
    </w:div>
    <w:div w:id="1699963695">
      <w:bodyDiv w:val="1"/>
      <w:marLeft w:val="0"/>
      <w:marRight w:val="0"/>
      <w:marTop w:val="0"/>
      <w:marBottom w:val="0"/>
      <w:divBdr>
        <w:top w:val="none" w:sz="0" w:space="0" w:color="auto"/>
        <w:left w:val="none" w:sz="0" w:space="0" w:color="auto"/>
        <w:bottom w:val="none" w:sz="0" w:space="0" w:color="auto"/>
        <w:right w:val="none" w:sz="0" w:space="0" w:color="auto"/>
      </w:divBdr>
      <w:divsChild>
        <w:div w:id="242034846">
          <w:marLeft w:val="994"/>
          <w:marRight w:val="0"/>
          <w:marTop w:val="0"/>
          <w:marBottom w:val="0"/>
          <w:divBdr>
            <w:top w:val="none" w:sz="0" w:space="0" w:color="auto"/>
            <w:left w:val="none" w:sz="0" w:space="0" w:color="auto"/>
            <w:bottom w:val="none" w:sz="0" w:space="0" w:color="auto"/>
            <w:right w:val="none" w:sz="0" w:space="0" w:color="auto"/>
          </w:divBdr>
        </w:div>
        <w:div w:id="1191331878">
          <w:marLeft w:val="994"/>
          <w:marRight w:val="0"/>
          <w:marTop w:val="0"/>
          <w:marBottom w:val="0"/>
          <w:divBdr>
            <w:top w:val="none" w:sz="0" w:space="0" w:color="auto"/>
            <w:left w:val="none" w:sz="0" w:space="0" w:color="auto"/>
            <w:bottom w:val="none" w:sz="0" w:space="0" w:color="auto"/>
            <w:right w:val="none" w:sz="0" w:space="0" w:color="auto"/>
          </w:divBdr>
        </w:div>
        <w:div w:id="1271668211">
          <w:marLeft w:val="994"/>
          <w:marRight w:val="0"/>
          <w:marTop w:val="0"/>
          <w:marBottom w:val="0"/>
          <w:divBdr>
            <w:top w:val="none" w:sz="0" w:space="0" w:color="auto"/>
            <w:left w:val="none" w:sz="0" w:space="0" w:color="auto"/>
            <w:bottom w:val="none" w:sz="0" w:space="0" w:color="auto"/>
            <w:right w:val="none" w:sz="0" w:space="0" w:color="auto"/>
          </w:divBdr>
        </w:div>
        <w:div w:id="1661151554">
          <w:marLeft w:val="994"/>
          <w:marRight w:val="0"/>
          <w:marTop w:val="0"/>
          <w:marBottom w:val="0"/>
          <w:divBdr>
            <w:top w:val="none" w:sz="0" w:space="0" w:color="auto"/>
            <w:left w:val="none" w:sz="0" w:space="0" w:color="auto"/>
            <w:bottom w:val="none" w:sz="0" w:space="0" w:color="auto"/>
            <w:right w:val="none" w:sz="0" w:space="0" w:color="auto"/>
          </w:divBdr>
        </w:div>
        <w:div w:id="1869677074">
          <w:marLeft w:val="994"/>
          <w:marRight w:val="0"/>
          <w:marTop w:val="0"/>
          <w:marBottom w:val="0"/>
          <w:divBdr>
            <w:top w:val="none" w:sz="0" w:space="0" w:color="auto"/>
            <w:left w:val="none" w:sz="0" w:space="0" w:color="auto"/>
            <w:bottom w:val="none" w:sz="0" w:space="0" w:color="auto"/>
            <w:right w:val="none" w:sz="0" w:space="0" w:color="auto"/>
          </w:divBdr>
        </w:div>
      </w:divsChild>
    </w:div>
    <w:div w:id="1710061364">
      <w:bodyDiv w:val="1"/>
      <w:marLeft w:val="0"/>
      <w:marRight w:val="0"/>
      <w:marTop w:val="0"/>
      <w:marBottom w:val="0"/>
      <w:divBdr>
        <w:top w:val="none" w:sz="0" w:space="0" w:color="auto"/>
        <w:left w:val="none" w:sz="0" w:space="0" w:color="auto"/>
        <w:bottom w:val="none" w:sz="0" w:space="0" w:color="auto"/>
        <w:right w:val="none" w:sz="0" w:space="0" w:color="auto"/>
      </w:divBdr>
    </w:div>
    <w:div w:id="1725446023">
      <w:bodyDiv w:val="1"/>
      <w:marLeft w:val="0"/>
      <w:marRight w:val="0"/>
      <w:marTop w:val="0"/>
      <w:marBottom w:val="0"/>
      <w:divBdr>
        <w:top w:val="none" w:sz="0" w:space="0" w:color="auto"/>
        <w:left w:val="none" w:sz="0" w:space="0" w:color="auto"/>
        <w:bottom w:val="none" w:sz="0" w:space="0" w:color="auto"/>
        <w:right w:val="none" w:sz="0" w:space="0" w:color="auto"/>
      </w:divBdr>
    </w:div>
    <w:div w:id="1726752470">
      <w:bodyDiv w:val="1"/>
      <w:marLeft w:val="0"/>
      <w:marRight w:val="0"/>
      <w:marTop w:val="0"/>
      <w:marBottom w:val="0"/>
      <w:divBdr>
        <w:top w:val="none" w:sz="0" w:space="0" w:color="auto"/>
        <w:left w:val="none" w:sz="0" w:space="0" w:color="auto"/>
        <w:bottom w:val="none" w:sz="0" w:space="0" w:color="auto"/>
        <w:right w:val="none" w:sz="0" w:space="0" w:color="auto"/>
      </w:divBdr>
    </w:div>
    <w:div w:id="1744372459">
      <w:bodyDiv w:val="1"/>
      <w:marLeft w:val="0"/>
      <w:marRight w:val="0"/>
      <w:marTop w:val="0"/>
      <w:marBottom w:val="0"/>
      <w:divBdr>
        <w:top w:val="none" w:sz="0" w:space="0" w:color="auto"/>
        <w:left w:val="none" w:sz="0" w:space="0" w:color="auto"/>
        <w:bottom w:val="none" w:sz="0" w:space="0" w:color="auto"/>
        <w:right w:val="none" w:sz="0" w:space="0" w:color="auto"/>
      </w:divBdr>
    </w:div>
    <w:div w:id="1747140984">
      <w:bodyDiv w:val="1"/>
      <w:marLeft w:val="0"/>
      <w:marRight w:val="0"/>
      <w:marTop w:val="0"/>
      <w:marBottom w:val="0"/>
      <w:divBdr>
        <w:top w:val="none" w:sz="0" w:space="0" w:color="auto"/>
        <w:left w:val="none" w:sz="0" w:space="0" w:color="auto"/>
        <w:bottom w:val="none" w:sz="0" w:space="0" w:color="auto"/>
        <w:right w:val="none" w:sz="0" w:space="0" w:color="auto"/>
      </w:divBdr>
    </w:div>
    <w:div w:id="1762337400">
      <w:bodyDiv w:val="1"/>
      <w:marLeft w:val="0"/>
      <w:marRight w:val="0"/>
      <w:marTop w:val="0"/>
      <w:marBottom w:val="0"/>
      <w:divBdr>
        <w:top w:val="none" w:sz="0" w:space="0" w:color="auto"/>
        <w:left w:val="none" w:sz="0" w:space="0" w:color="auto"/>
        <w:bottom w:val="none" w:sz="0" w:space="0" w:color="auto"/>
        <w:right w:val="none" w:sz="0" w:space="0" w:color="auto"/>
      </w:divBdr>
    </w:div>
    <w:div w:id="1804542846">
      <w:bodyDiv w:val="1"/>
      <w:marLeft w:val="0"/>
      <w:marRight w:val="0"/>
      <w:marTop w:val="0"/>
      <w:marBottom w:val="0"/>
      <w:divBdr>
        <w:top w:val="none" w:sz="0" w:space="0" w:color="auto"/>
        <w:left w:val="none" w:sz="0" w:space="0" w:color="auto"/>
        <w:bottom w:val="none" w:sz="0" w:space="0" w:color="auto"/>
        <w:right w:val="none" w:sz="0" w:space="0" w:color="auto"/>
      </w:divBdr>
    </w:div>
    <w:div w:id="1814251430">
      <w:bodyDiv w:val="1"/>
      <w:marLeft w:val="0"/>
      <w:marRight w:val="0"/>
      <w:marTop w:val="0"/>
      <w:marBottom w:val="0"/>
      <w:divBdr>
        <w:top w:val="none" w:sz="0" w:space="0" w:color="auto"/>
        <w:left w:val="none" w:sz="0" w:space="0" w:color="auto"/>
        <w:bottom w:val="none" w:sz="0" w:space="0" w:color="auto"/>
        <w:right w:val="none" w:sz="0" w:space="0" w:color="auto"/>
      </w:divBdr>
    </w:div>
    <w:div w:id="1818299761">
      <w:bodyDiv w:val="1"/>
      <w:marLeft w:val="0"/>
      <w:marRight w:val="0"/>
      <w:marTop w:val="0"/>
      <w:marBottom w:val="0"/>
      <w:divBdr>
        <w:top w:val="none" w:sz="0" w:space="0" w:color="auto"/>
        <w:left w:val="none" w:sz="0" w:space="0" w:color="auto"/>
        <w:bottom w:val="none" w:sz="0" w:space="0" w:color="auto"/>
        <w:right w:val="none" w:sz="0" w:space="0" w:color="auto"/>
      </w:divBdr>
    </w:div>
    <w:div w:id="1849755979">
      <w:bodyDiv w:val="1"/>
      <w:marLeft w:val="0"/>
      <w:marRight w:val="0"/>
      <w:marTop w:val="0"/>
      <w:marBottom w:val="0"/>
      <w:divBdr>
        <w:top w:val="none" w:sz="0" w:space="0" w:color="auto"/>
        <w:left w:val="none" w:sz="0" w:space="0" w:color="auto"/>
        <w:bottom w:val="none" w:sz="0" w:space="0" w:color="auto"/>
        <w:right w:val="none" w:sz="0" w:space="0" w:color="auto"/>
      </w:divBdr>
      <w:divsChild>
        <w:div w:id="51851450">
          <w:marLeft w:val="1166"/>
          <w:marRight w:val="0"/>
          <w:marTop w:val="67"/>
          <w:marBottom w:val="0"/>
          <w:divBdr>
            <w:top w:val="none" w:sz="0" w:space="0" w:color="auto"/>
            <w:left w:val="none" w:sz="0" w:space="0" w:color="auto"/>
            <w:bottom w:val="none" w:sz="0" w:space="0" w:color="auto"/>
            <w:right w:val="none" w:sz="0" w:space="0" w:color="auto"/>
          </w:divBdr>
        </w:div>
        <w:div w:id="134763150">
          <w:marLeft w:val="1800"/>
          <w:marRight w:val="0"/>
          <w:marTop w:val="67"/>
          <w:marBottom w:val="0"/>
          <w:divBdr>
            <w:top w:val="none" w:sz="0" w:space="0" w:color="auto"/>
            <w:left w:val="none" w:sz="0" w:space="0" w:color="auto"/>
            <w:bottom w:val="none" w:sz="0" w:space="0" w:color="auto"/>
            <w:right w:val="none" w:sz="0" w:space="0" w:color="auto"/>
          </w:divBdr>
        </w:div>
        <w:div w:id="270091679">
          <w:marLeft w:val="547"/>
          <w:marRight w:val="0"/>
          <w:marTop w:val="86"/>
          <w:marBottom w:val="0"/>
          <w:divBdr>
            <w:top w:val="none" w:sz="0" w:space="0" w:color="auto"/>
            <w:left w:val="none" w:sz="0" w:space="0" w:color="auto"/>
            <w:bottom w:val="none" w:sz="0" w:space="0" w:color="auto"/>
            <w:right w:val="none" w:sz="0" w:space="0" w:color="auto"/>
          </w:divBdr>
        </w:div>
        <w:div w:id="1059398284">
          <w:marLeft w:val="1166"/>
          <w:marRight w:val="0"/>
          <w:marTop w:val="67"/>
          <w:marBottom w:val="0"/>
          <w:divBdr>
            <w:top w:val="none" w:sz="0" w:space="0" w:color="auto"/>
            <w:left w:val="none" w:sz="0" w:space="0" w:color="auto"/>
            <w:bottom w:val="none" w:sz="0" w:space="0" w:color="auto"/>
            <w:right w:val="none" w:sz="0" w:space="0" w:color="auto"/>
          </w:divBdr>
        </w:div>
        <w:div w:id="1068113412">
          <w:marLeft w:val="1166"/>
          <w:marRight w:val="0"/>
          <w:marTop w:val="67"/>
          <w:marBottom w:val="0"/>
          <w:divBdr>
            <w:top w:val="none" w:sz="0" w:space="0" w:color="auto"/>
            <w:left w:val="none" w:sz="0" w:space="0" w:color="auto"/>
            <w:bottom w:val="none" w:sz="0" w:space="0" w:color="auto"/>
            <w:right w:val="none" w:sz="0" w:space="0" w:color="auto"/>
          </w:divBdr>
        </w:div>
        <w:div w:id="1189373675">
          <w:marLeft w:val="1800"/>
          <w:marRight w:val="0"/>
          <w:marTop w:val="67"/>
          <w:marBottom w:val="0"/>
          <w:divBdr>
            <w:top w:val="none" w:sz="0" w:space="0" w:color="auto"/>
            <w:left w:val="none" w:sz="0" w:space="0" w:color="auto"/>
            <w:bottom w:val="none" w:sz="0" w:space="0" w:color="auto"/>
            <w:right w:val="none" w:sz="0" w:space="0" w:color="auto"/>
          </w:divBdr>
        </w:div>
        <w:div w:id="1472138476">
          <w:marLeft w:val="1800"/>
          <w:marRight w:val="0"/>
          <w:marTop w:val="67"/>
          <w:marBottom w:val="0"/>
          <w:divBdr>
            <w:top w:val="none" w:sz="0" w:space="0" w:color="auto"/>
            <w:left w:val="none" w:sz="0" w:space="0" w:color="auto"/>
            <w:bottom w:val="none" w:sz="0" w:space="0" w:color="auto"/>
            <w:right w:val="none" w:sz="0" w:space="0" w:color="auto"/>
          </w:divBdr>
        </w:div>
        <w:div w:id="1507675365">
          <w:marLeft w:val="1166"/>
          <w:marRight w:val="0"/>
          <w:marTop w:val="67"/>
          <w:marBottom w:val="0"/>
          <w:divBdr>
            <w:top w:val="none" w:sz="0" w:space="0" w:color="auto"/>
            <w:left w:val="none" w:sz="0" w:space="0" w:color="auto"/>
            <w:bottom w:val="none" w:sz="0" w:space="0" w:color="auto"/>
            <w:right w:val="none" w:sz="0" w:space="0" w:color="auto"/>
          </w:divBdr>
        </w:div>
        <w:div w:id="1521122011">
          <w:marLeft w:val="1800"/>
          <w:marRight w:val="0"/>
          <w:marTop w:val="67"/>
          <w:marBottom w:val="0"/>
          <w:divBdr>
            <w:top w:val="none" w:sz="0" w:space="0" w:color="auto"/>
            <w:left w:val="none" w:sz="0" w:space="0" w:color="auto"/>
            <w:bottom w:val="none" w:sz="0" w:space="0" w:color="auto"/>
            <w:right w:val="none" w:sz="0" w:space="0" w:color="auto"/>
          </w:divBdr>
        </w:div>
        <w:div w:id="1594971346">
          <w:marLeft w:val="547"/>
          <w:marRight w:val="0"/>
          <w:marTop w:val="86"/>
          <w:marBottom w:val="0"/>
          <w:divBdr>
            <w:top w:val="none" w:sz="0" w:space="0" w:color="auto"/>
            <w:left w:val="none" w:sz="0" w:space="0" w:color="auto"/>
            <w:bottom w:val="none" w:sz="0" w:space="0" w:color="auto"/>
            <w:right w:val="none" w:sz="0" w:space="0" w:color="auto"/>
          </w:divBdr>
        </w:div>
        <w:div w:id="1876767082">
          <w:marLeft w:val="1800"/>
          <w:marRight w:val="0"/>
          <w:marTop w:val="67"/>
          <w:marBottom w:val="0"/>
          <w:divBdr>
            <w:top w:val="none" w:sz="0" w:space="0" w:color="auto"/>
            <w:left w:val="none" w:sz="0" w:space="0" w:color="auto"/>
            <w:bottom w:val="none" w:sz="0" w:space="0" w:color="auto"/>
            <w:right w:val="none" w:sz="0" w:space="0" w:color="auto"/>
          </w:divBdr>
        </w:div>
      </w:divsChild>
    </w:div>
    <w:div w:id="1861972710">
      <w:bodyDiv w:val="1"/>
      <w:marLeft w:val="0"/>
      <w:marRight w:val="0"/>
      <w:marTop w:val="0"/>
      <w:marBottom w:val="0"/>
      <w:divBdr>
        <w:top w:val="none" w:sz="0" w:space="0" w:color="auto"/>
        <w:left w:val="none" w:sz="0" w:space="0" w:color="auto"/>
        <w:bottom w:val="none" w:sz="0" w:space="0" w:color="auto"/>
        <w:right w:val="none" w:sz="0" w:space="0" w:color="auto"/>
      </w:divBdr>
    </w:div>
    <w:div w:id="1864660873">
      <w:bodyDiv w:val="1"/>
      <w:marLeft w:val="0"/>
      <w:marRight w:val="0"/>
      <w:marTop w:val="0"/>
      <w:marBottom w:val="0"/>
      <w:divBdr>
        <w:top w:val="none" w:sz="0" w:space="0" w:color="auto"/>
        <w:left w:val="none" w:sz="0" w:space="0" w:color="auto"/>
        <w:bottom w:val="none" w:sz="0" w:space="0" w:color="auto"/>
        <w:right w:val="none" w:sz="0" w:space="0" w:color="auto"/>
      </w:divBdr>
    </w:div>
    <w:div w:id="1873223378">
      <w:bodyDiv w:val="1"/>
      <w:marLeft w:val="0"/>
      <w:marRight w:val="0"/>
      <w:marTop w:val="0"/>
      <w:marBottom w:val="0"/>
      <w:divBdr>
        <w:top w:val="none" w:sz="0" w:space="0" w:color="auto"/>
        <w:left w:val="none" w:sz="0" w:space="0" w:color="auto"/>
        <w:bottom w:val="none" w:sz="0" w:space="0" w:color="auto"/>
        <w:right w:val="none" w:sz="0" w:space="0" w:color="auto"/>
      </w:divBdr>
    </w:div>
    <w:div w:id="1883857941">
      <w:bodyDiv w:val="1"/>
      <w:marLeft w:val="0"/>
      <w:marRight w:val="0"/>
      <w:marTop w:val="0"/>
      <w:marBottom w:val="0"/>
      <w:divBdr>
        <w:top w:val="none" w:sz="0" w:space="0" w:color="auto"/>
        <w:left w:val="none" w:sz="0" w:space="0" w:color="auto"/>
        <w:bottom w:val="none" w:sz="0" w:space="0" w:color="auto"/>
        <w:right w:val="none" w:sz="0" w:space="0" w:color="auto"/>
      </w:divBdr>
      <w:divsChild>
        <w:div w:id="1971325172">
          <w:marLeft w:val="576"/>
          <w:marRight w:val="0"/>
          <w:marTop w:val="120"/>
          <w:marBottom w:val="60"/>
          <w:divBdr>
            <w:top w:val="none" w:sz="0" w:space="0" w:color="auto"/>
            <w:left w:val="none" w:sz="0" w:space="0" w:color="auto"/>
            <w:bottom w:val="none" w:sz="0" w:space="0" w:color="auto"/>
            <w:right w:val="none" w:sz="0" w:space="0" w:color="auto"/>
          </w:divBdr>
        </w:div>
      </w:divsChild>
    </w:div>
    <w:div w:id="1886211968">
      <w:bodyDiv w:val="1"/>
      <w:marLeft w:val="0"/>
      <w:marRight w:val="0"/>
      <w:marTop w:val="0"/>
      <w:marBottom w:val="0"/>
      <w:divBdr>
        <w:top w:val="none" w:sz="0" w:space="0" w:color="auto"/>
        <w:left w:val="none" w:sz="0" w:space="0" w:color="auto"/>
        <w:bottom w:val="none" w:sz="0" w:space="0" w:color="auto"/>
        <w:right w:val="none" w:sz="0" w:space="0" w:color="auto"/>
      </w:divBdr>
    </w:div>
    <w:div w:id="1908689147">
      <w:bodyDiv w:val="1"/>
      <w:marLeft w:val="0"/>
      <w:marRight w:val="0"/>
      <w:marTop w:val="0"/>
      <w:marBottom w:val="0"/>
      <w:divBdr>
        <w:top w:val="none" w:sz="0" w:space="0" w:color="auto"/>
        <w:left w:val="none" w:sz="0" w:space="0" w:color="auto"/>
        <w:bottom w:val="none" w:sz="0" w:space="0" w:color="auto"/>
        <w:right w:val="none" w:sz="0" w:space="0" w:color="auto"/>
      </w:divBdr>
    </w:div>
    <w:div w:id="1928153418">
      <w:bodyDiv w:val="1"/>
      <w:marLeft w:val="0"/>
      <w:marRight w:val="0"/>
      <w:marTop w:val="0"/>
      <w:marBottom w:val="0"/>
      <w:divBdr>
        <w:top w:val="none" w:sz="0" w:space="0" w:color="auto"/>
        <w:left w:val="none" w:sz="0" w:space="0" w:color="auto"/>
        <w:bottom w:val="none" w:sz="0" w:space="0" w:color="auto"/>
        <w:right w:val="none" w:sz="0" w:space="0" w:color="auto"/>
      </w:divBdr>
    </w:div>
    <w:div w:id="1928951884">
      <w:bodyDiv w:val="1"/>
      <w:marLeft w:val="0"/>
      <w:marRight w:val="0"/>
      <w:marTop w:val="0"/>
      <w:marBottom w:val="0"/>
      <w:divBdr>
        <w:top w:val="none" w:sz="0" w:space="0" w:color="auto"/>
        <w:left w:val="none" w:sz="0" w:space="0" w:color="auto"/>
        <w:bottom w:val="none" w:sz="0" w:space="0" w:color="auto"/>
        <w:right w:val="none" w:sz="0" w:space="0" w:color="auto"/>
      </w:divBdr>
      <w:divsChild>
        <w:div w:id="56784800">
          <w:marLeft w:val="288"/>
          <w:marRight w:val="0"/>
          <w:marTop w:val="160"/>
          <w:marBottom w:val="0"/>
          <w:divBdr>
            <w:top w:val="none" w:sz="0" w:space="0" w:color="auto"/>
            <w:left w:val="none" w:sz="0" w:space="0" w:color="auto"/>
            <w:bottom w:val="none" w:sz="0" w:space="0" w:color="auto"/>
            <w:right w:val="none" w:sz="0" w:space="0" w:color="auto"/>
          </w:divBdr>
        </w:div>
        <w:div w:id="67575547">
          <w:marLeft w:val="288"/>
          <w:marRight w:val="0"/>
          <w:marTop w:val="160"/>
          <w:marBottom w:val="0"/>
          <w:divBdr>
            <w:top w:val="none" w:sz="0" w:space="0" w:color="auto"/>
            <w:left w:val="none" w:sz="0" w:space="0" w:color="auto"/>
            <w:bottom w:val="none" w:sz="0" w:space="0" w:color="auto"/>
            <w:right w:val="none" w:sz="0" w:space="0" w:color="auto"/>
          </w:divBdr>
        </w:div>
        <w:div w:id="102967816">
          <w:marLeft w:val="979"/>
          <w:marRight w:val="0"/>
          <w:marTop w:val="77"/>
          <w:marBottom w:val="0"/>
          <w:divBdr>
            <w:top w:val="none" w:sz="0" w:space="0" w:color="auto"/>
            <w:left w:val="none" w:sz="0" w:space="0" w:color="auto"/>
            <w:bottom w:val="none" w:sz="0" w:space="0" w:color="auto"/>
            <w:right w:val="none" w:sz="0" w:space="0" w:color="auto"/>
          </w:divBdr>
        </w:div>
        <w:div w:id="186255989">
          <w:marLeft w:val="979"/>
          <w:marRight w:val="0"/>
          <w:marTop w:val="77"/>
          <w:marBottom w:val="0"/>
          <w:divBdr>
            <w:top w:val="none" w:sz="0" w:space="0" w:color="auto"/>
            <w:left w:val="none" w:sz="0" w:space="0" w:color="auto"/>
            <w:bottom w:val="none" w:sz="0" w:space="0" w:color="auto"/>
            <w:right w:val="none" w:sz="0" w:space="0" w:color="auto"/>
          </w:divBdr>
        </w:div>
        <w:div w:id="261770008">
          <w:marLeft w:val="979"/>
          <w:marRight w:val="0"/>
          <w:marTop w:val="77"/>
          <w:marBottom w:val="0"/>
          <w:divBdr>
            <w:top w:val="none" w:sz="0" w:space="0" w:color="auto"/>
            <w:left w:val="none" w:sz="0" w:space="0" w:color="auto"/>
            <w:bottom w:val="none" w:sz="0" w:space="0" w:color="auto"/>
            <w:right w:val="none" w:sz="0" w:space="0" w:color="auto"/>
          </w:divBdr>
        </w:div>
        <w:div w:id="369573342">
          <w:marLeft w:val="288"/>
          <w:marRight w:val="0"/>
          <w:marTop w:val="160"/>
          <w:marBottom w:val="0"/>
          <w:divBdr>
            <w:top w:val="none" w:sz="0" w:space="0" w:color="auto"/>
            <w:left w:val="none" w:sz="0" w:space="0" w:color="auto"/>
            <w:bottom w:val="none" w:sz="0" w:space="0" w:color="auto"/>
            <w:right w:val="none" w:sz="0" w:space="0" w:color="auto"/>
          </w:divBdr>
        </w:div>
        <w:div w:id="490683015">
          <w:marLeft w:val="979"/>
          <w:marRight w:val="0"/>
          <w:marTop w:val="77"/>
          <w:marBottom w:val="0"/>
          <w:divBdr>
            <w:top w:val="none" w:sz="0" w:space="0" w:color="auto"/>
            <w:left w:val="none" w:sz="0" w:space="0" w:color="auto"/>
            <w:bottom w:val="none" w:sz="0" w:space="0" w:color="auto"/>
            <w:right w:val="none" w:sz="0" w:space="0" w:color="auto"/>
          </w:divBdr>
        </w:div>
        <w:div w:id="1115321526">
          <w:marLeft w:val="288"/>
          <w:marRight w:val="0"/>
          <w:marTop w:val="160"/>
          <w:marBottom w:val="0"/>
          <w:divBdr>
            <w:top w:val="none" w:sz="0" w:space="0" w:color="auto"/>
            <w:left w:val="none" w:sz="0" w:space="0" w:color="auto"/>
            <w:bottom w:val="none" w:sz="0" w:space="0" w:color="auto"/>
            <w:right w:val="none" w:sz="0" w:space="0" w:color="auto"/>
          </w:divBdr>
        </w:div>
        <w:div w:id="1240754786">
          <w:marLeft w:val="979"/>
          <w:marRight w:val="0"/>
          <w:marTop w:val="77"/>
          <w:marBottom w:val="0"/>
          <w:divBdr>
            <w:top w:val="none" w:sz="0" w:space="0" w:color="auto"/>
            <w:left w:val="none" w:sz="0" w:space="0" w:color="auto"/>
            <w:bottom w:val="none" w:sz="0" w:space="0" w:color="auto"/>
            <w:right w:val="none" w:sz="0" w:space="0" w:color="auto"/>
          </w:divBdr>
        </w:div>
        <w:div w:id="1529636388">
          <w:marLeft w:val="979"/>
          <w:marRight w:val="0"/>
          <w:marTop w:val="77"/>
          <w:marBottom w:val="0"/>
          <w:divBdr>
            <w:top w:val="none" w:sz="0" w:space="0" w:color="auto"/>
            <w:left w:val="none" w:sz="0" w:space="0" w:color="auto"/>
            <w:bottom w:val="none" w:sz="0" w:space="0" w:color="auto"/>
            <w:right w:val="none" w:sz="0" w:space="0" w:color="auto"/>
          </w:divBdr>
        </w:div>
        <w:div w:id="1653487420">
          <w:marLeft w:val="979"/>
          <w:marRight w:val="0"/>
          <w:marTop w:val="77"/>
          <w:marBottom w:val="0"/>
          <w:divBdr>
            <w:top w:val="none" w:sz="0" w:space="0" w:color="auto"/>
            <w:left w:val="none" w:sz="0" w:space="0" w:color="auto"/>
            <w:bottom w:val="none" w:sz="0" w:space="0" w:color="auto"/>
            <w:right w:val="none" w:sz="0" w:space="0" w:color="auto"/>
          </w:divBdr>
        </w:div>
        <w:div w:id="1792047893">
          <w:marLeft w:val="979"/>
          <w:marRight w:val="0"/>
          <w:marTop w:val="77"/>
          <w:marBottom w:val="0"/>
          <w:divBdr>
            <w:top w:val="none" w:sz="0" w:space="0" w:color="auto"/>
            <w:left w:val="none" w:sz="0" w:space="0" w:color="auto"/>
            <w:bottom w:val="none" w:sz="0" w:space="0" w:color="auto"/>
            <w:right w:val="none" w:sz="0" w:space="0" w:color="auto"/>
          </w:divBdr>
        </w:div>
        <w:div w:id="1862696442">
          <w:marLeft w:val="288"/>
          <w:marRight w:val="0"/>
          <w:marTop w:val="86"/>
          <w:marBottom w:val="0"/>
          <w:divBdr>
            <w:top w:val="none" w:sz="0" w:space="0" w:color="auto"/>
            <w:left w:val="none" w:sz="0" w:space="0" w:color="auto"/>
            <w:bottom w:val="none" w:sz="0" w:space="0" w:color="auto"/>
            <w:right w:val="none" w:sz="0" w:space="0" w:color="auto"/>
          </w:divBdr>
        </w:div>
        <w:div w:id="2060665022">
          <w:marLeft w:val="288"/>
          <w:marRight w:val="0"/>
          <w:marTop w:val="160"/>
          <w:marBottom w:val="0"/>
          <w:divBdr>
            <w:top w:val="none" w:sz="0" w:space="0" w:color="auto"/>
            <w:left w:val="none" w:sz="0" w:space="0" w:color="auto"/>
            <w:bottom w:val="none" w:sz="0" w:space="0" w:color="auto"/>
            <w:right w:val="none" w:sz="0" w:space="0" w:color="auto"/>
          </w:divBdr>
        </w:div>
      </w:divsChild>
    </w:div>
    <w:div w:id="1950311803">
      <w:bodyDiv w:val="1"/>
      <w:marLeft w:val="0"/>
      <w:marRight w:val="0"/>
      <w:marTop w:val="0"/>
      <w:marBottom w:val="0"/>
      <w:divBdr>
        <w:top w:val="none" w:sz="0" w:space="0" w:color="auto"/>
        <w:left w:val="none" w:sz="0" w:space="0" w:color="auto"/>
        <w:bottom w:val="none" w:sz="0" w:space="0" w:color="auto"/>
        <w:right w:val="none" w:sz="0" w:space="0" w:color="auto"/>
      </w:divBdr>
      <w:divsChild>
        <w:div w:id="1098015967">
          <w:marLeft w:val="0"/>
          <w:marRight w:val="0"/>
          <w:marTop w:val="0"/>
          <w:marBottom w:val="0"/>
          <w:divBdr>
            <w:top w:val="none" w:sz="0" w:space="0" w:color="auto"/>
            <w:left w:val="none" w:sz="0" w:space="0" w:color="auto"/>
            <w:bottom w:val="none" w:sz="0" w:space="0" w:color="auto"/>
            <w:right w:val="none" w:sz="0" w:space="0" w:color="auto"/>
          </w:divBdr>
          <w:divsChild>
            <w:div w:id="55395094">
              <w:marLeft w:val="0"/>
              <w:marRight w:val="0"/>
              <w:marTop w:val="0"/>
              <w:marBottom w:val="0"/>
              <w:divBdr>
                <w:top w:val="none" w:sz="0" w:space="0" w:color="auto"/>
                <w:left w:val="none" w:sz="0" w:space="0" w:color="auto"/>
                <w:bottom w:val="none" w:sz="0" w:space="0" w:color="auto"/>
                <w:right w:val="none" w:sz="0" w:space="0" w:color="auto"/>
              </w:divBdr>
              <w:divsChild>
                <w:div w:id="194196560">
                  <w:marLeft w:val="0"/>
                  <w:marRight w:val="0"/>
                  <w:marTop w:val="0"/>
                  <w:marBottom w:val="0"/>
                  <w:divBdr>
                    <w:top w:val="none" w:sz="0" w:space="0" w:color="auto"/>
                    <w:left w:val="none" w:sz="0" w:space="0" w:color="auto"/>
                    <w:bottom w:val="none" w:sz="0" w:space="0" w:color="auto"/>
                    <w:right w:val="none" w:sz="0" w:space="0" w:color="auto"/>
                  </w:divBdr>
                  <w:divsChild>
                    <w:div w:id="1464231196">
                      <w:marLeft w:val="0"/>
                      <w:marRight w:val="0"/>
                      <w:marTop w:val="0"/>
                      <w:marBottom w:val="0"/>
                      <w:divBdr>
                        <w:top w:val="none" w:sz="0" w:space="0" w:color="auto"/>
                        <w:left w:val="none" w:sz="0" w:space="0" w:color="auto"/>
                        <w:bottom w:val="none" w:sz="0" w:space="0" w:color="auto"/>
                        <w:right w:val="none" w:sz="0" w:space="0" w:color="auto"/>
                      </w:divBdr>
                      <w:divsChild>
                        <w:div w:id="471022925">
                          <w:marLeft w:val="0"/>
                          <w:marRight w:val="0"/>
                          <w:marTop w:val="0"/>
                          <w:marBottom w:val="0"/>
                          <w:divBdr>
                            <w:top w:val="none" w:sz="0" w:space="0" w:color="auto"/>
                            <w:left w:val="none" w:sz="0" w:space="0" w:color="auto"/>
                            <w:bottom w:val="none" w:sz="0" w:space="0" w:color="auto"/>
                            <w:right w:val="none" w:sz="0" w:space="0" w:color="auto"/>
                          </w:divBdr>
                          <w:divsChild>
                            <w:div w:id="20671670">
                              <w:marLeft w:val="0"/>
                              <w:marRight w:val="0"/>
                              <w:marTop w:val="0"/>
                              <w:marBottom w:val="0"/>
                              <w:divBdr>
                                <w:top w:val="none" w:sz="0" w:space="0" w:color="auto"/>
                                <w:left w:val="none" w:sz="0" w:space="0" w:color="auto"/>
                                <w:bottom w:val="none" w:sz="0" w:space="0" w:color="auto"/>
                                <w:right w:val="none" w:sz="0" w:space="0" w:color="auto"/>
                              </w:divBdr>
                              <w:divsChild>
                                <w:div w:id="854462465">
                                  <w:marLeft w:val="0"/>
                                  <w:marRight w:val="0"/>
                                  <w:marTop w:val="0"/>
                                  <w:marBottom w:val="0"/>
                                  <w:divBdr>
                                    <w:top w:val="none" w:sz="0" w:space="0" w:color="auto"/>
                                    <w:left w:val="none" w:sz="0" w:space="0" w:color="auto"/>
                                    <w:bottom w:val="none" w:sz="0" w:space="0" w:color="auto"/>
                                    <w:right w:val="none" w:sz="0" w:space="0" w:color="auto"/>
                                  </w:divBdr>
                                  <w:divsChild>
                                    <w:div w:id="260455573">
                                      <w:marLeft w:val="0"/>
                                      <w:marRight w:val="0"/>
                                      <w:marTop w:val="0"/>
                                      <w:marBottom w:val="0"/>
                                      <w:divBdr>
                                        <w:top w:val="none" w:sz="0" w:space="0" w:color="auto"/>
                                        <w:left w:val="none" w:sz="0" w:space="0" w:color="auto"/>
                                        <w:bottom w:val="none" w:sz="0" w:space="0" w:color="auto"/>
                                        <w:right w:val="none" w:sz="0" w:space="0" w:color="auto"/>
                                      </w:divBdr>
                                      <w:divsChild>
                                        <w:div w:id="420831209">
                                          <w:marLeft w:val="0"/>
                                          <w:marRight w:val="0"/>
                                          <w:marTop w:val="0"/>
                                          <w:marBottom w:val="0"/>
                                          <w:divBdr>
                                            <w:top w:val="none" w:sz="0" w:space="0" w:color="auto"/>
                                            <w:left w:val="none" w:sz="0" w:space="0" w:color="auto"/>
                                            <w:bottom w:val="none" w:sz="0" w:space="0" w:color="auto"/>
                                            <w:right w:val="none" w:sz="0" w:space="0" w:color="auto"/>
                                          </w:divBdr>
                                          <w:divsChild>
                                            <w:div w:id="1130712163">
                                              <w:marLeft w:val="0"/>
                                              <w:marRight w:val="0"/>
                                              <w:marTop w:val="0"/>
                                              <w:marBottom w:val="0"/>
                                              <w:divBdr>
                                                <w:top w:val="none" w:sz="0" w:space="0" w:color="auto"/>
                                                <w:left w:val="none" w:sz="0" w:space="0" w:color="auto"/>
                                                <w:bottom w:val="none" w:sz="0" w:space="0" w:color="auto"/>
                                                <w:right w:val="none" w:sz="0" w:space="0" w:color="auto"/>
                                              </w:divBdr>
                                              <w:divsChild>
                                                <w:div w:id="622855430">
                                                  <w:marLeft w:val="0"/>
                                                  <w:marRight w:val="0"/>
                                                  <w:marTop w:val="0"/>
                                                  <w:marBottom w:val="0"/>
                                                  <w:divBdr>
                                                    <w:top w:val="none" w:sz="0" w:space="0" w:color="auto"/>
                                                    <w:left w:val="none" w:sz="0" w:space="0" w:color="auto"/>
                                                    <w:bottom w:val="none" w:sz="0" w:space="0" w:color="auto"/>
                                                    <w:right w:val="none" w:sz="0" w:space="0" w:color="auto"/>
                                                  </w:divBdr>
                                                  <w:divsChild>
                                                    <w:div w:id="1417283362">
                                                      <w:marLeft w:val="0"/>
                                                      <w:marRight w:val="0"/>
                                                      <w:marTop w:val="0"/>
                                                      <w:marBottom w:val="0"/>
                                                      <w:divBdr>
                                                        <w:top w:val="single" w:sz="6" w:space="0" w:color="ABABAB"/>
                                                        <w:left w:val="single" w:sz="6" w:space="0" w:color="ABABAB"/>
                                                        <w:bottom w:val="none" w:sz="0" w:space="0" w:color="auto"/>
                                                        <w:right w:val="single" w:sz="6" w:space="0" w:color="ABABAB"/>
                                                      </w:divBdr>
                                                      <w:divsChild>
                                                        <w:div w:id="141780878">
                                                          <w:marLeft w:val="0"/>
                                                          <w:marRight w:val="0"/>
                                                          <w:marTop w:val="0"/>
                                                          <w:marBottom w:val="0"/>
                                                          <w:divBdr>
                                                            <w:top w:val="none" w:sz="0" w:space="0" w:color="auto"/>
                                                            <w:left w:val="none" w:sz="0" w:space="0" w:color="auto"/>
                                                            <w:bottom w:val="none" w:sz="0" w:space="0" w:color="auto"/>
                                                            <w:right w:val="none" w:sz="0" w:space="0" w:color="auto"/>
                                                          </w:divBdr>
                                                          <w:divsChild>
                                                            <w:div w:id="373236715">
                                                              <w:marLeft w:val="0"/>
                                                              <w:marRight w:val="0"/>
                                                              <w:marTop w:val="0"/>
                                                              <w:marBottom w:val="0"/>
                                                              <w:divBdr>
                                                                <w:top w:val="none" w:sz="0" w:space="0" w:color="auto"/>
                                                                <w:left w:val="none" w:sz="0" w:space="0" w:color="auto"/>
                                                                <w:bottom w:val="none" w:sz="0" w:space="0" w:color="auto"/>
                                                                <w:right w:val="none" w:sz="0" w:space="0" w:color="auto"/>
                                                              </w:divBdr>
                                                              <w:divsChild>
                                                                <w:div w:id="1645310444">
                                                                  <w:marLeft w:val="0"/>
                                                                  <w:marRight w:val="0"/>
                                                                  <w:marTop w:val="0"/>
                                                                  <w:marBottom w:val="0"/>
                                                                  <w:divBdr>
                                                                    <w:top w:val="none" w:sz="0" w:space="0" w:color="auto"/>
                                                                    <w:left w:val="none" w:sz="0" w:space="0" w:color="auto"/>
                                                                    <w:bottom w:val="none" w:sz="0" w:space="0" w:color="auto"/>
                                                                    <w:right w:val="none" w:sz="0" w:space="0" w:color="auto"/>
                                                                  </w:divBdr>
                                                                  <w:divsChild>
                                                                    <w:div w:id="25107567">
                                                                      <w:marLeft w:val="0"/>
                                                                      <w:marRight w:val="0"/>
                                                                      <w:marTop w:val="0"/>
                                                                      <w:marBottom w:val="0"/>
                                                                      <w:divBdr>
                                                                        <w:top w:val="none" w:sz="0" w:space="0" w:color="auto"/>
                                                                        <w:left w:val="none" w:sz="0" w:space="0" w:color="auto"/>
                                                                        <w:bottom w:val="none" w:sz="0" w:space="0" w:color="auto"/>
                                                                        <w:right w:val="none" w:sz="0" w:space="0" w:color="auto"/>
                                                                      </w:divBdr>
                                                                      <w:divsChild>
                                                                        <w:div w:id="933249292">
                                                                          <w:marLeft w:val="-75"/>
                                                                          <w:marRight w:val="0"/>
                                                                          <w:marTop w:val="30"/>
                                                                          <w:marBottom w:val="30"/>
                                                                          <w:divBdr>
                                                                            <w:top w:val="none" w:sz="0" w:space="0" w:color="auto"/>
                                                                            <w:left w:val="none" w:sz="0" w:space="0" w:color="auto"/>
                                                                            <w:bottom w:val="none" w:sz="0" w:space="0" w:color="auto"/>
                                                                            <w:right w:val="none" w:sz="0" w:space="0" w:color="auto"/>
                                                                          </w:divBdr>
                                                                          <w:divsChild>
                                                                            <w:div w:id="1886872348">
                                                                              <w:marLeft w:val="0"/>
                                                                              <w:marRight w:val="0"/>
                                                                              <w:marTop w:val="0"/>
                                                                              <w:marBottom w:val="0"/>
                                                                              <w:divBdr>
                                                                                <w:top w:val="none" w:sz="0" w:space="0" w:color="auto"/>
                                                                                <w:left w:val="none" w:sz="0" w:space="0" w:color="auto"/>
                                                                                <w:bottom w:val="none" w:sz="0" w:space="0" w:color="auto"/>
                                                                                <w:right w:val="none" w:sz="0" w:space="0" w:color="auto"/>
                                                                              </w:divBdr>
                                                                              <w:divsChild>
                                                                                <w:div w:id="1184201149">
                                                                                  <w:marLeft w:val="0"/>
                                                                                  <w:marRight w:val="0"/>
                                                                                  <w:marTop w:val="0"/>
                                                                                  <w:marBottom w:val="0"/>
                                                                                  <w:divBdr>
                                                                                    <w:top w:val="none" w:sz="0" w:space="0" w:color="auto"/>
                                                                                    <w:left w:val="none" w:sz="0" w:space="0" w:color="auto"/>
                                                                                    <w:bottom w:val="none" w:sz="0" w:space="0" w:color="auto"/>
                                                                                    <w:right w:val="none" w:sz="0" w:space="0" w:color="auto"/>
                                                                                  </w:divBdr>
                                                                                  <w:divsChild>
                                                                                    <w:div w:id="397215870">
                                                                                      <w:marLeft w:val="0"/>
                                                                                      <w:marRight w:val="0"/>
                                                                                      <w:marTop w:val="0"/>
                                                                                      <w:marBottom w:val="0"/>
                                                                                      <w:divBdr>
                                                                                        <w:top w:val="none" w:sz="0" w:space="0" w:color="auto"/>
                                                                                        <w:left w:val="none" w:sz="0" w:space="0" w:color="auto"/>
                                                                                        <w:bottom w:val="none" w:sz="0" w:space="0" w:color="auto"/>
                                                                                        <w:right w:val="none" w:sz="0" w:space="0" w:color="auto"/>
                                                                                      </w:divBdr>
                                                                                      <w:divsChild>
                                                                                        <w:div w:id="477965169">
                                                                                          <w:marLeft w:val="0"/>
                                                                                          <w:marRight w:val="0"/>
                                                                                          <w:marTop w:val="0"/>
                                                                                          <w:marBottom w:val="0"/>
                                                                                          <w:divBdr>
                                                                                            <w:top w:val="none" w:sz="0" w:space="0" w:color="auto"/>
                                                                                            <w:left w:val="none" w:sz="0" w:space="0" w:color="auto"/>
                                                                                            <w:bottom w:val="none" w:sz="0" w:space="0" w:color="auto"/>
                                                                                            <w:right w:val="none" w:sz="0" w:space="0" w:color="auto"/>
                                                                                          </w:divBdr>
                                                                                          <w:divsChild>
                                                                                            <w:div w:id="672537402">
                                                                                              <w:marLeft w:val="0"/>
                                                                                              <w:marRight w:val="0"/>
                                                                                              <w:marTop w:val="0"/>
                                                                                              <w:marBottom w:val="0"/>
                                                                                              <w:divBdr>
                                                                                                <w:top w:val="none" w:sz="0" w:space="0" w:color="auto"/>
                                                                                                <w:left w:val="none" w:sz="0" w:space="0" w:color="auto"/>
                                                                                                <w:bottom w:val="none" w:sz="0" w:space="0" w:color="auto"/>
                                                                                                <w:right w:val="none" w:sz="0" w:space="0" w:color="auto"/>
                                                                                              </w:divBdr>
                                                                                              <w:divsChild>
                                                                                                <w:div w:id="8693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458558">
      <w:marLeft w:val="0"/>
      <w:marRight w:val="0"/>
      <w:marTop w:val="0"/>
      <w:marBottom w:val="0"/>
      <w:divBdr>
        <w:top w:val="none" w:sz="0" w:space="0" w:color="auto"/>
        <w:left w:val="none" w:sz="0" w:space="0" w:color="auto"/>
        <w:bottom w:val="none" w:sz="0" w:space="0" w:color="auto"/>
        <w:right w:val="none" w:sz="0" w:space="0" w:color="auto"/>
      </w:divBdr>
    </w:div>
    <w:div w:id="1964458560">
      <w:marLeft w:val="0"/>
      <w:marRight w:val="0"/>
      <w:marTop w:val="0"/>
      <w:marBottom w:val="0"/>
      <w:divBdr>
        <w:top w:val="none" w:sz="0" w:space="0" w:color="auto"/>
        <w:left w:val="none" w:sz="0" w:space="0" w:color="auto"/>
        <w:bottom w:val="none" w:sz="0" w:space="0" w:color="auto"/>
        <w:right w:val="none" w:sz="0" w:space="0" w:color="auto"/>
      </w:divBdr>
      <w:divsChild>
        <w:div w:id="1964458593">
          <w:marLeft w:val="1166"/>
          <w:marRight w:val="0"/>
          <w:marTop w:val="77"/>
          <w:marBottom w:val="0"/>
          <w:divBdr>
            <w:top w:val="none" w:sz="0" w:space="0" w:color="auto"/>
            <w:left w:val="none" w:sz="0" w:space="0" w:color="auto"/>
            <w:bottom w:val="none" w:sz="0" w:space="0" w:color="auto"/>
            <w:right w:val="none" w:sz="0" w:space="0" w:color="auto"/>
          </w:divBdr>
        </w:div>
      </w:divsChild>
    </w:div>
    <w:div w:id="1964458563">
      <w:marLeft w:val="0"/>
      <w:marRight w:val="0"/>
      <w:marTop w:val="0"/>
      <w:marBottom w:val="0"/>
      <w:divBdr>
        <w:top w:val="none" w:sz="0" w:space="0" w:color="auto"/>
        <w:left w:val="none" w:sz="0" w:space="0" w:color="auto"/>
        <w:bottom w:val="none" w:sz="0" w:space="0" w:color="auto"/>
        <w:right w:val="none" w:sz="0" w:space="0" w:color="auto"/>
      </w:divBdr>
    </w:div>
    <w:div w:id="1964458566">
      <w:marLeft w:val="0"/>
      <w:marRight w:val="0"/>
      <w:marTop w:val="0"/>
      <w:marBottom w:val="0"/>
      <w:divBdr>
        <w:top w:val="none" w:sz="0" w:space="0" w:color="auto"/>
        <w:left w:val="none" w:sz="0" w:space="0" w:color="auto"/>
        <w:bottom w:val="none" w:sz="0" w:space="0" w:color="auto"/>
        <w:right w:val="none" w:sz="0" w:space="0" w:color="auto"/>
      </w:divBdr>
    </w:div>
    <w:div w:id="1964458567">
      <w:marLeft w:val="0"/>
      <w:marRight w:val="0"/>
      <w:marTop w:val="0"/>
      <w:marBottom w:val="0"/>
      <w:divBdr>
        <w:top w:val="none" w:sz="0" w:space="0" w:color="auto"/>
        <w:left w:val="none" w:sz="0" w:space="0" w:color="auto"/>
        <w:bottom w:val="none" w:sz="0" w:space="0" w:color="auto"/>
        <w:right w:val="none" w:sz="0" w:space="0" w:color="auto"/>
      </w:divBdr>
    </w:div>
    <w:div w:id="1964458568">
      <w:marLeft w:val="0"/>
      <w:marRight w:val="0"/>
      <w:marTop w:val="0"/>
      <w:marBottom w:val="0"/>
      <w:divBdr>
        <w:top w:val="none" w:sz="0" w:space="0" w:color="auto"/>
        <w:left w:val="none" w:sz="0" w:space="0" w:color="auto"/>
        <w:bottom w:val="none" w:sz="0" w:space="0" w:color="auto"/>
        <w:right w:val="none" w:sz="0" w:space="0" w:color="auto"/>
      </w:divBdr>
    </w:div>
    <w:div w:id="1964458571">
      <w:marLeft w:val="0"/>
      <w:marRight w:val="0"/>
      <w:marTop w:val="0"/>
      <w:marBottom w:val="0"/>
      <w:divBdr>
        <w:top w:val="none" w:sz="0" w:space="0" w:color="auto"/>
        <w:left w:val="none" w:sz="0" w:space="0" w:color="auto"/>
        <w:bottom w:val="none" w:sz="0" w:space="0" w:color="auto"/>
        <w:right w:val="none" w:sz="0" w:space="0" w:color="auto"/>
      </w:divBdr>
      <w:divsChild>
        <w:div w:id="1964458597">
          <w:marLeft w:val="0"/>
          <w:marRight w:val="0"/>
          <w:marTop w:val="86"/>
          <w:marBottom w:val="0"/>
          <w:divBdr>
            <w:top w:val="none" w:sz="0" w:space="0" w:color="auto"/>
            <w:left w:val="none" w:sz="0" w:space="0" w:color="auto"/>
            <w:bottom w:val="none" w:sz="0" w:space="0" w:color="auto"/>
            <w:right w:val="none" w:sz="0" w:space="0" w:color="auto"/>
          </w:divBdr>
        </w:div>
        <w:div w:id="1964458747">
          <w:marLeft w:val="0"/>
          <w:marRight w:val="0"/>
          <w:marTop w:val="86"/>
          <w:marBottom w:val="0"/>
          <w:divBdr>
            <w:top w:val="none" w:sz="0" w:space="0" w:color="auto"/>
            <w:left w:val="none" w:sz="0" w:space="0" w:color="auto"/>
            <w:bottom w:val="none" w:sz="0" w:space="0" w:color="auto"/>
            <w:right w:val="none" w:sz="0" w:space="0" w:color="auto"/>
          </w:divBdr>
        </w:div>
        <w:div w:id="1964458749">
          <w:marLeft w:val="0"/>
          <w:marRight w:val="0"/>
          <w:marTop w:val="86"/>
          <w:marBottom w:val="0"/>
          <w:divBdr>
            <w:top w:val="none" w:sz="0" w:space="0" w:color="auto"/>
            <w:left w:val="none" w:sz="0" w:space="0" w:color="auto"/>
            <w:bottom w:val="none" w:sz="0" w:space="0" w:color="auto"/>
            <w:right w:val="none" w:sz="0" w:space="0" w:color="auto"/>
          </w:divBdr>
        </w:div>
      </w:divsChild>
    </w:div>
    <w:div w:id="1964458575">
      <w:marLeft w:val="0"/>
      <w:marRight w:val="0"/>
      <w:marTop w:val="0"/>
      <w:marBottom w:val="0"/>
      <w:divBdr>
        <w:top w:val="none" w:sz="0" w:space="0" w:color="auto"/>
        <w:left w:val="none" w:sz="0" w:space="0" w:color="auto"/>
        <w:bottom w:val="none" w:sz="0" w:space="0" w:color="auto"/>
        <w:right w:val="none" w:sz="0" w:space="0" w:color="auto"/>
      </w:divBdr>
    </w:div>
    <w:div w:id="1964458579">
      <w:marLeft w:val="0"/>
      <w:marRight w:val="0"/>
      <w:marTop w:val="0"/>
      <w:marBottom w:val="0"/>
      <w:divBdr>
        <w:top w:val="none" w:sz="0" w:space="0" w:color="auto"/>
        <w:left w:val="none" w:sz="0" w:space="0" w:color="auto"/>
        <w:bottom w:val="none" w:sz="0" w:space="0" w:color="auto"/>
        <w:right w:val="none" w:sz="0" w:space="0" w:color="auto"/>
      </w:divBdr>
    </w:div>
    <w:div w:id="1964458581">
      <w:marLeft w:val="0"/>
      <w:marRight w:val="0"/>
      <w:marTop w:val="0"/>
      <w:marBottom w:val="0"/>
      <w:divBdr>
        <w:top w:val="none" w:sz="0" w:space="0" w:color="auto"/>
        <w:left w:val="none" w:sz="0" w:space="0" w:color="auto"/>
        <w:bottom w:val="none" w:sz="0" w:space="0" w:color="auto"/>
        <w:right w:val="none" w:sz="0" w:space="0" w:color="auto"/>
      </w:divBdr>
    </w:div>
    <w:div w:id="1964458582">
      <w:marLeft w:val="0"/>
      <w:marRight w:val="0"/>
      <w:marTop w:val="0"/>
      <w:marBottom w:val="0"/>
      <w:divBdr>
        <w:top w:val="none" w:sz="0" w:space="0" w:color="auto"/>
        <w:left w:val="none" w:sz="0" w:space="0" w:color="auto"/>
        <w:bottom w:val="none" w:sz="0" w:space="0" w:color="auto"/>
        <w:right w:val="none" w:sz="0" w:space="0" w:color="auto"/>
      </w:divBdr>
    </w:div>
    <w:div w:id="1964458583">
      <w:marLeft w:val="0"/>
      <w:marRight w:val="0"/>
      <w:marTop w:val="0"/>
      <w:marBottom w:val="0"/>
      <w:divBdr>
        <w:top w:val="none" w:sz="0" w:space="0" w:color="auto"/>
        <w:left w:val="none" w:sz="0" w:space="0" w:color="auto"/>
        <w:bottom w:val="none" w:sz="0" w:space="0" w:color="auto"/>
        <w:right w:val="none" w:sz="0" w:space="0" w:color="auto"/>
      </w:divBdr>
    </w:div>
    <w:div w:id="1964458584">
      <w:marLeft w:val="0"/>
      <w:marRight w:val="0"/>
      <w:marTop w:val="0"/>
      <w:marBottom w:val="0"/>
      <w:divBdr>
        <w:top w:val="none" w:sz="0" w:space="0" w:color="auto"/>
        <w:left w:val="none" w:sz="0" w:space="0" w:color="auto"/>
        <w:bottom w:val="none" w:sz="0" w:space="0" w:color="auto"/>
        <w:right w:val="none" w:sz="0" w:space="0" w:color="auto"/>
      </w:divBdr>
      <w:divsChild>
        <w:div w:id="1964458590">
          <w:marLeft w:val="835"/>
          <w:marRight w:val="0"/>
          <w:marTop w:val="60"/>
          <w:marBottom w:val="60"/>
          <w:divBdr>
            <w:top w:val="none" w:sz="0" w:space="0" w:color="auto"/>
            <w:left w:val="none" w:sz="0" w:space="0" w:color="auto"/>
            <w:bottom w:val="none" w:sz="0" w:space="0" w:color="auto"/>
            <w:right w:val="none" w:sz="0" w:space="0" w:color="auto"/>
          </w:divBdr>
        </w:div>
        <w:div w:id="1964458751">
          <w:marLeft w:val="835"/>
          <w:marRight w:val="0"/>
          <w:marTop w:val="60"/>
          <w:marBottom w:val="60"/>
          <w:divBdr>
            <w:top w:val="none" w:sz="0" w:space="0" w:color="auto"/>
            <w:left w:val="none" w:sz="0" w:space="0" w:color="auto"/>
            <w:bottom w:val="none" w:sz="0" w:space="0" w:color="auto"/>
            <w:right w:val="none" w:sz="0" w:space="0" w:color="auto"/>
          </w:divBdr>
        </w:div>
        <w:div w:id="1964458782">
          <w:marLeft w:val="835"/>
          <w:marRight w:val="0"/>
          <w:marTop w:val="60"/>
          <w:marBottom w:val="60"/>
          <w:divBdr>
            <w:top w:val="none" w:sz="0" w:space="0" w:color="auto"/>
            <w:left w:val="none" w:sz="0" w:space="0" w:color="auto"/>
            <w:bottom w:val="none" w:sz="0" w:space="0" w:color="auto"/>
            <w:right w:val="none" w:sz="0" w:space="0" w:color="auto"/>
          </w:divBdr>
        </w:div>
      </w:divsChild>
    </w:div>
    <w:div w:id="1964458585">
      <w:marLeft w:val="0"/>
      <w:marRight w:val="0"/>
      <w:marTop w:val="0"/>
      <w:marBottom w:val="0"/>
      <w:divBdr>
        <w:top w:val="none" w:sz="0" w:space="0" w:color="auto"/>
        <w:left w:val="none" w:sz="0" w:space="0" w:color="auto"/>
        <w:bottom w:val="none" w:sz="0" w:space="0" w:color="auto"/>
        <w:right w:val="none" w:sz="0" w:space="0" w:color="auto"/>
      </w:divBdr>
    </w:div>
    <w:div w:id="1964458587">
      <w:marLeft w:val="0"/>
      <w:marRight w:val="0"/>
      <w:marTop w:val="0"/>
      <w:marBottom w:val="0"/>
      <w:divBdr>
        <w:top w:val="none" w:sz="0" w:space="0" w:color="auto"/>
        <w:left w:val="none" w:sz="0" w:space="0" w:color="auto"/>
        <w:bottom w:val="none" w:sz="0" w:space="0" w:color="auto"/>
        <w:right w:val="none" w:sz="0" w:space="0" w:color="auto"/>
      </w:divBdr>
      <w:divsChild>
        <w:div w:id="1964458549">
          <w:marLeft w:val="0"/>
          <w:marRight w:val="0"/>
          <w:marTop w:val="86"/>
          <w:marBottom w:val="0"/>
          <w:divBdr>
            <w:top w:val="none" w:sz="0" w:space="0" w:color="auto"/>
            <w:left w:val="none" w:sz="0" w:space="0" w:color="auto"/>
            <w:bottom w:val="none" w:sz="0" w:space="0" w:color="auto"/>
            <w:right w:val="none" w:sz="0" w:space="0" w:color="auto"/>
          </w:divBdr>
        </w:div>
        <w:div w:id="1964458551">
          <w:marLeft w:val="562"/>
          <w:marRight w:val="0"/>
          <w:marTop w:val="120"/>
          <w:marBottom w:val="0"/>
          <w:divBdr>
            <w:top w:val="none" w:sz="0" w:space="0" w:color="auto"/>
            <w:left w:val="none" w:sz="0" w:space="0" w:color="auto"/>
            <w:bottom w:val="none" w:sz="0" w:space="0" w:color="auto"/>
            <w:right w:val="none" w:sz="0" w:space="0" w:color="auto"/>
          </w:divBdr>
        </w:div>
        <w:div w:id="1964458596">
          <w:marLeft w:val="0"/>
          <w:marRight w:val="0"/>
          <w:marTop w:val="86"/>
          <w:marBottom w:val="0"/>
          <w:divBdr>
            <w:top w:val="none" w:sz="0" w:space="0" w:color="auto"/>
            <w:left w:val="none" w:sz="0" w:space="0" w:color="auto"/>
            <w:bottom w:val="none" w:sz="0" w:space="0" w:color="auto"/>
            <w:right w:val="none" w:sz="0" w:space="0" w:color="auto"/>
          </w:divBdr>
        </w:div>
        <w:div w:id="1964458599">
          <w:marLeft w:val="0"/>
          <w:marRight w:val="0"/>
          <w:marTop w:val="86"/>
          <w:marBottom w:val="0"/>
          <w:divBdr>
            <w:top w:val="none" w:sz="0" w:space="0" w:color="auto"/>
            <w:left w:val="none" w:sz="0" w:space="0" w:color="auto"/>
            <w:bottom w:val="none" w:sz="0" w:space="0" w:color="auto"/>
            <w:right w:val="none" w:sz="0" w:space="0" w:color="auto"/>
          </w:divBdr>
        </w:div>
        <w:div w:id="1964458605">
          <w:marLeft w:val="562"/>
          <w:marRight w:val="0"/>
          <w:marTop w:val="120"/>
          <w:marBottom w:val="0"/>
          <w:divBdr>
            <w:top w:val="none" w:sz="0" w:space="0" w:color="auto"/>
            <w:left w:val="none" w:sz="0" w:space="0" w:color="auto"/>
            <w:bottom w:val="none" w:sz="0" w:space="0" w:color="auto"/>
            <w:right w:val="none" w:sz="0" w:space="0" w:color="auto"/>
          </w:divBdr>
        </w:div>
        <w:div w:id="1964458608">
          <w:marLeft w:val="562"/>
          <w:marRight w:val="0"/>
          <w:marTop w:val="120"/>
          <w:marBottom w:val="0"/>
          <w:divBdr>
            <w:top w:val="none" w:sz="0" w:space="0" w:color="auto"/>
            <w:left w:val="none" w:sz="0" w:space="0" w:color="auto"/>
            <w:bottom w:val="none" w:sz="0" w:space="0" w:color="auto"/>
            <w:right w:val="none" w:sz="0" w:space="0" w:color="auto"/>
          </w:divBdr>
        </w:div>
        <w:div w:id="1964458612">
          <w:marLeft w:val="562"/>
          <w:marRight w:val="0"/>
          <w:marTop w:val="0"/>
          <w:marBottom w:val="0"/>
          <w:divBdr>
            <w:top w:val="none" w:sz="0" w:space="0" w:color="auto"/>
            <w:left w:val="none" w:sz="0" w:space="0" w:color="auto"/>
            <w:bottom w:val="none" w:sz="0" w:space="0" w:color="auto"/>
            <w:right w:val="none" w:sz="0" w:space="0" w:color="auto"/>
          </w:divBdr>
        </w:div>
        <w:div w:id="1964458698">
          <w:marLeft w:val="562"/>
          <w:marRight w:val="0"/>
          <w:marTop w:val="120"/>
          <w:marBottom w:val="0"/>
          <w:divBdr>
            <w:top w:val="none" w:sz="0" w:space="0" w:color="auto"/>
            <w:left w:val="none" w:sz="0" w:space="0" w:color="auto"/>
            <w:bottom w:val="none" w:sz="0" w:space="0" w:color="auto"/>
            <w:right w:val="none" w:sz="0" w:space="0" w:color="auto"/>
          </w:divBdr>
        </w:div>
      </w:divsChild>
    </w:div>
    <w:div w:id="1964458591">
      <w:marLeft w:val="0"/>
      <w:marRight w:val="0"/>
      <w:marTop w:val="0"/>
      <w:marBottom w:val="0"/>
      <w:divBdr>
        <w:top w:val="none" w:sz="0" w:space="0" w:color="auto"/>
        <w:left w:val="none" w:sz="0" w:space="0" w:color="auto"/>
        <w:bottom w:val="none" w:sz="0" w:space="0" w:color="auto"/>
        <w:right w:val="none" w:sz="0" w:space="0" w:color="auto"/>
      </w:divBdr>
    </w:div>
    <w:div w:id="1964458603">
      <w:marLeft w:val="0"/>
      <w:marRight w:val="0"/>
      <w:marTop w:val="0"/>
      <w:marBottom w:val="0"/>
      <w:divBdr>
        <w:top w:val="none" w:sz="0" w:space="0" w:color="auto"/>
        <w:left w:val="none" w:sz="0" w:space="0" w:color="auto"/>
        <w:bottom w:val="none" w:sz="0" w:space="0" w:color="auto"/>
        <w:right w:val="none" w:sz="0" w:space="0" w:color="auto"/>
      </w:divBdr>
    </w:div>
    <w:div w:id="1964458617">
      <w:marLeft w:val="0"/>
      <w:marRight w:val="0"/>
      <w:marTop w:val="0"/>
      <w:marBottom w:val="0"/>
      <w:divBdr>
        <w:top w:val="none" w:sz="0" w:space="0" w:color="auto"/>
        <w:left w:val="none" w:sz="0" w:space="0" w:color="auto"/>
        <w:bottom w:val="none" w:sz="0" w:space="0" w:color="auto"/>
        <w:right w:val="none" w:sz="0" w:space="0" w:color="auto"/>
      </w:divBdr>
      <w:divsChild>
        <w:div w:id="1964458601">
          <w:marLeft w:val="979"/>
          <w:marRight w:val="0"/>
          <w:marTop w:val="77"/>
          <w:marBottom w:val="0"/>
          <w:divBdr>
            <w:top w:val="none" w:sz="0" w:space="0" w:color="auto"/>
            <w:left w:val="none" w:sz="0" w:space="0" w:color="auto"/>
            <w:bottom w:val="none" w:sz="0" w:space="0" w:color="auto"/>
            <w:right w:val="none" w:sz="0" w:space="0" w:color="auto"/>
          </w:divBdr>
        </w:div>
        <w:div w:id="1964458611">
          <w:marLeft w:val="288"/>
          <w:marRight w:val="0"/>
          <w:marTop w:val="160"/>
          <w:marBottom w:val="0"/>
          <w:divBdr>
            <w:top w:val="none" w:sz="0" w:space="0" w:color="auto"/>
            <w:left w:val="none" w:sz="0" w:space="0" w:color="auto"/>
            <w:bottom w:val="none" w:sz="0" w:space="0" w:color="auto"/>
            <w:right w:val="none" w:sz="0" w:space="0" w:color="auto"/>
          </w:divBdr>
        </w:div>
        <w:div w:id="1964458613">
          <w:marLeft w:val="979"/>
          <w:marRight w:val="0"/>
          <w:marTop w:val="77"/>
          <w:marBottom w:val="0"/>
          <w:divBdr>
            <w:top w:val="none" w:sz="0" w:space="0" w:color="auto"/>
            <w:left w:val="none" w:sz="0" w:space="0" w:color="auto"/>
            <w:bottom w:val="none" w:sz="0" w:space="0" w:color="auto"/>
            <w:right w:val="none" w:sz="0" w:space="0" w:color="auto"/>
          </w:divBdr>
        </w:div>
        <w:div w:id="1964458615">
          <w:marLeft w:val="288"/>
          <w:marRight w:val="0"/>
          <w:marTop w:val="160"/>
          <w:marBottom w:val="0"/>
          <w:divBdr>
            <w:top w:val="none" w:sz="0" w:space="0" w:color="auto"/>
            <w:left w:val="none" w:sz="0" w:space="0" w:color="auto"/>
            <w:bottom w:val="none" w:sz="0" w:space="0" w:color="auto"/>
            <w:right w:val="none" w:sz="0" w:space="0" w:color="auto"/>
          </w:divBdr>
        </w:div>
        <w:div w:id="1964458629">
          <w:marLeft w:val="288"/>
          <w:marRight w:val="0"/>
          <w:marTop w:val="160"/>
          <w:marBottom w:val="0"/>
          <w:divBdr>
            <w:top w:val="none" w:sz="0" w:space="0" w:color="auto"/>
            <w:left w:val="none" w:sz="0" w:space="0" w:color="auto"/>
            <w:bottom w:val="none" w:sz="0" w:space="0" w:color="auto"/>
            <w:right w:val="none" w:sz="0" w:space="0" w:color="auto"/>
          </w:divBdr>
        </w:div>
        <w:div w:id="1964458635">
          <w:marLeft w:val="979"/>
          <w:marRight w:val="0"/>
          <w:marTop w:val="77"/>
          <w:marBottom w:val="0"/>
          <w:divBdr>
            <w:top w:val="none" w:sz="0" w:space="0" w:color="auto"/>
            <w:left w:val="none" w:sz="0" w:space="0" w:color="auto"/>
            <w:bottom w:val="none" w:sz="0" w:space="0" w:color="auto"/>
            <w:right w:val="none" w:sz="0" w:space="0" w:color="auto"/>
          </w:divBdr>
        </w:div>
        <w:div w:id="1964458642">
          <w:marLeft w:val="288"/>
          <w:marRight w:val="0"/>
          <w:marTop w:val="160"/>
          <w:marBottom w:val="0"/>
          <w:divBdr>
            <w:top w:val="none" w:sz="0" w:space="0" w:color="auto"/>
            <w:left w:val="none" w:sz="0" w:space="0" w:color="auto"/>
            <w:bottom w:val="none" w:sz="0" w:space="0" w:color="auto"/>
            <w:right w:val="none" w:sz="0" w:space="0" w:color="auto"/>
          </w:divBdr>
        </w:div>
        <w:div w:id="1964458646">
          <w:marLeft w:val="979"/>
          <w:marRight w:val="0"/>
          <w:marTop w:val="77"/>
          <w:marBottom w:val="0"/>
          <w:divBdr>
            <w:top w:val="none" w:sz="0" w:space="0" w:color="auto"/>
            <w:left w:val="none" w:sz="0" w:space="0" w:color="auto"/>
            <w:bottom w:val="none" w:sz="0" w:space="0" w:color="auto"/>
            <w:right w:val="none" w:sz="0" w:space="0" w:color="auto"/>
          </w:divBdr>
        </w:div>
        <w:div w:id="1964458700">
          <w:marLeft w:val="288"/>
          <w:marRight w:val="0"/>
          <w:marTop w:val="160"/>
          <w:marBottom w:val="0"/>
          <w:divBdr>
            <w:top w:val="none" w:sz="0" w:space="0" w:color="auto"/>
            <w:left w:val="none" w:sz="0" w:space="0" w:color="auto"/>
            <w:bottom w:val="none" w:sz="0" w:space="0" w:color="auto"/>
            <w:right w:val="none" w:sz="0" w:space="0" w:color="auto"/>
          </w:divBdr>
        </w:div>
        <w:div w:id="1964458704">
          <w:marLeft w:val="979"/>
          <w:marRight w:val="0"/>
          <w:marTop w:val="77"/>
          <w:marBottom w:val="0"/>
          <w:divBdr>
            <w:top w:val="none" w:sz="0" w:space="0" w:color="auto"/>
            <w:left w:val="none" w:sz="0" w:space="0" w:color="auto"/>
            <w:bottom w:val="none" w:sz="0" w:space="0" w:color="auto"/>
            <w:right w:val="none" w:sz="0" w:space="0" w:color="auto"/>
          </w:divBdr>
        </w:div>
        <w:div w:id="1964458706">
          <w:marLeft w:val="979"/>
          <w:marRight w:val="0"/>
          <w:marTop w:val="77"/>
          <w:marBottom w:val="0"/>
          <w:divBdr>
            <w:top w:val="none" w:sz="0" w:space="0" w:color="auto"/>
            <w:left w:val="none" w:sz="0" w:space="0" w:color="auto"/>
            <w:bottom w:val="none" w:sz="0" w:space="0" w:color="auto"/>
            <w:right w:val="none" w:sz="0" w:space="0" w:color="auto"/>
          </w:divBdr>
        </w:div>
        <w:div w:id="1964458714">
          <w:marLeft w:val="979"/>
          <w:marRight w:val="0"/>
          <w:marTop w:val="77"/>
          <w:marBottom w:val="0"/>
          <w:divBdr>
            <w:top w:val="none" w:sz="0" w:space="0" w:color="auto"/>
            <w:left w:val="none" w:sz="0" w:space="0" w:color="auto"/>
            <w:bottom w:val="none" w:sz="0" w:space="0" w:color="auto"/>
            <w:right w:val="none" w:sz="0" w:space="0" w:color="auto"/>
          </w:divBdr>
        </w:div>
        <w:div w:id="1964458743">
          <w:marLeft w:val="979"/>
          <w:marRight w:val="0"/>
          <w:marTop w:val="77"/>
          <w:marBottom w:val="0"/>
          <w:divBdr>
            <w:top w:val="none" w:sz="0" w:space="0" w:color="auto"/>
            <w:left w:val="none" w:sz="0" w:space="0" w:color="auto"/>
            <w:bottom w:val="none" w:sz="0" w:space="0" w:color="auto"/>
            <w:right w:val="none" w:sz="0" w:space="0" w:color="auto"/>
          </w:divBdr>
        </w:div>
        <w:div w:id="1964458771">
          <w:marLeft w:val="288"/>
          <w:marRight w:val="0"/>
          <w:marTop w:val="86"/>
          <w:marBottom w:val="0"/>
          <w:divBdr>
            <w:top w:val="none" w:sz="0" w:space="0" w:color="auto"/>
            <w:left w:val="none" w:sz="0" w:space="0" w:color="auto"/>
            <w:bottom w:val="none" w:sz="0" w:space="0" w:color="auto"/>
            <w:right w:val="none" w:sz="0" w:space="0" w:color="auto"/>
          </w:divBdr>
        </w:div>
      </w:divsChild>
    </w:div>
    <w:div w:id="1964458619">
      <w:marLeft w:val="0"/>
      <w:marRight w:val="0"/>
      <w:marTop w:val="0"/>
      <w:marBottom w:val="0"/>
      <w:divBdr>
        <w:top w:val="none" w:sz="0" w:space="0" w:color="auto"/>
        <w:left w:val="none" w:sz="0" w:space="0" w:color="auto"/>
        <w:bottom w:val="none" w:sz="0" w:space="0" w:color="auto"/>
        <w:right w:val="none" w:sz="0" w:space="0" w:color="auto"/>
      </w:divBdr>
    </w:div>
    <w:div w:id="1964458622">
      <w:marLeft w:val="0"/>
      <w:marRight w:val="0"/>
      <w:marTop w:val="0"/>
      <w:marBottom w:val="0"/>
      <w:divBdr>
        <w:top w:val="none" w:sz="0" w:space="0" w:color="auto"/>
        <w:left w:val="none" w:sz="0" w:space="0" w:color="auto"/>
        <w:bottom w:val="none" w:sz="0" w:space="0" w:color="auto"/>
        <w:right w:val="none" w:sz="0" w:space="0" w:color="auto"/>
      </w:divBdr>
    </w:div>
    <w:div w:id="1964458624">
      <w:marLeft w:val="0"/>
      <w:marRight w:val="0"/>
      <w:marTop w:val="0"/>
      <w:marBottom w:val="0"/>
      <w:divBdr>
        <w:top w:val="none" w:sz="0" w:space="0" w:color="auto"/>
        <w:left w:val="none" w:sz="0" w:space="0" w:color="auto"/>
        <w:bottom w:val="none" w:sz="0" w:space="0" w:color="auto"/>
        <w:right w:val="none" w:sz="0" w:space="0" w:color="auto"/>
      </w:divBdr>
    </w:div>
    <w:div w:id="1964458628">
      <w:marLeft w:val="0"/>
      <w:marRight w:val="0"/>
      <w:marTop w:val="0"/>
      <w:marBottom w:val="0"/>
      <w:divBdr>
        <w:top w:val="none" w:sz="0" w:space="0" w:color="auto"/>
        <w:left w:val="none" w:sz="0" w:space="0" w:color="auto"/>
        <w:bottom w:val="none" w:sz="0" w:space="0" w:color="auto"/>
        <w:right w:val="none" w:sz="0" w:space="0" w:color="auto"/>
      </w:divBdr>
      <w:divsChild>
        <w:div w:id="1964458570">
          <w:marLeft w:val="547"/>
          <w:marRight w:val="0"/>
          <w:marTop w:val="77"/>
          <w:marBottom w:val="0"/>
          <w:divBdr>
            <w:top w:val="none" w:sz="0" w:space="0" w:color="auto"/>
            <w:left w:val="none" w:sz="0" w:space="0" w:color="auto"/>
            <w:bottom w:val="none" w:sz="0" w:space="0" w:color="auto"/>
            <w:right w:val="none" w:sz="0" w:space="0" w:color="auto"/>
          </w:divBdr>
        </w:div>
        <w:div w:id="1964458621">
          <w:marLeft w:val="547"/>
          <w:marRight w:val="0"/>
          <w:marTop w:val="0"/>
          <w:marBottom w:val="40"/>
          <w:divBdr>
            <w:top w:val="none" w:sz="0" w:space="0" w:color="auto"/>
            <w:left w:val="none" w:sz="0" w:space="0" w:color="auto"/>
            <w:bottom w:val="none" w:sz="0" w:space="0" w:color="auto"/>
            <w:right w:val="none" w:sz="0" w:space="0" w:color="auto"/>
          </w:divBdr>
        </w:div>
        <w:div w:id="1964458625">
          <w:marLeft w:val="547"/>
          <w:marRight w:val="0"/>
          <w:marTop w:val="0"/>
          <w:marBottom w:val="40"/>
          <w:divBdr>
            <w:top w:val="none" w:sz="0" w:space="0" w:color="auto"/>
            <w:left w:val="none" w:sz="0" w:space="0" w:color="auto"/>
            <w:bottom w:val="none" w:sz="0" w:space="0" w:color="auto"/>
            <w:right w:val="none" w:sz="0" w:space="0" w:color="auto"/>
          </w:divBdr>
        </w:div>
        <w:div w:id="1964458627">
          <w:marLeft w:val="547"/>
          <w:marRight w:val="0"/>
          <w:marTop w:val="0"/>
          <w:marBottom w:val="40"/>
          <w:divBdr>
            <w:top w:val="none" w:sz="0" w:space="0" w:color="auto"/>
            <w:left w:val="none" w:sz="0" w:space="0" w:color="auto"/>
            <w:bottom w:val="none" w:sz="0" w:space="0" w:color="auto"/>
            <w:right w:val="none" w:sz="0" w:space="0" w:color="auto"/>
          </w:divBdr>
        </w:div>
        <w:div w:id="1964458630">
          <w:marLeft w:val="547"/>
          <w:marRight w:val="0"/>
          <w:marTop w:val="0"/>
          <w:marBottom w:val="40"/>
          <w:divBdr>
            <w:top w:val="none" w:sz="0" w:space="0" w:color="auto"/>
            <w:left w:val="none" w:sz="0" w:space="0" w:color="auto"/>
            <w:bottom w:val="none" w:sz="0" w:space="0" w:color="auto"/>
            <w:right w:val="none" w:sz="0" w:space="0" w:color="auto"/>
          </w:divBdr>
        </w:div>
        <w:div w:id="1964458637">
          <w:marLeft w:val="547"/>
          <w:marRight w:val="0"/>
          <w:marTop w:val="0"/>
          <w:marBottom w:val="40"/>
          <w:divBdr>
            <w:top w:val="none" w:sz="0" w:space="0" w:color="auto"/>
            <w:left w:val="none" w:sz="0" w:space="0" w:color="auto"/>
            <w:bottom w:val="none" w:sz="0" w:space="0" w:color="auto"/>
            <w:right w:val="none" w:sz="0" w:space="0" w:color="auto"/>
          </w:divBdr>
        </w:div>
        <w:div w:id="1964458649">
          <w:marLeft w:val="547"/>
          <w:marRight w:val="0"/>
          <w:marTop w:val="77"/>
          <w:marBottom w:val="0"/>
          <w:divBdr>
            <w:top w:val="none" w:sz="0" w:space="0" w:color="auto"/>
            <w:left w:val="none" w:sz="0" w:space="0" w:color="auto"/>
            <w:bottom w:val="none" w:sz="0" w:space="0" w:color="auto"/>
            <w:right w:val="none" w:sz="0" w:space="0" w:color="auto"/>
          </w:divBdr>
        </w:div>
        <w:div w:id="1964458665">
          <w:marLeft w:val="547"/>
          <w:marRight w:val="0"/>
          <w:marTop w:val="0"/>
          <w:marBottom w:val="40"/>
          <w:divBdr>
            <w:top w:val="none" w:sz="0" w:space="0" w:color="auto"/>
            <w:left w:val="none" w:sz="0" w:space="0" w:color="auto"/>
            <w:bottom w:val="none" w:sz="0" w:space="0" w:color="auto"/>
            <w:right w:val="none" w:sz="0" w:space="0" w:color="auto"/>
          </w:divBdr>
        </w:div>
        <w:div w:id="1964458699">
          <w:marLeft w:val="547"/>
          <w:marRight w:val="0"/>
          <w:marTop w:val="0"/>
          <w:marBottom w:val="40"/>
          <w:divBdr>
            <w:top w:val="none" w:sz="0" w:space="0" w:color="auto"/>
            <w:left w:val="none" w:sz="0" w:space="0" w:color="auto"/>
            <w:bottom w:val="none" w:sz="0" w:space="0" w:color="auto"/>
            <w:right w:val="none" w:sz="0" w:space="0" w:color="auto"/>
          </w:divBdr>
        </w:div>
        <w:div w:id="1964458708">
          <w:marLeft w:val="547"/>
          <w:marRight w:val="0"/>
          <w:marTop w:val="0"/>
          <w:marBottom w:val="40"/>
          <w:divBdr>
            <w:top w:val="none" w:sz="0" w:space="0" w:color="auto"/>
            <w:left w:val="none" w:sz="0" w:space="0" w:color="auto"/>
            <w:bottom w:val="none" w:sz="0" w:space="0" w:color="auto"/>
            <w:right w:val="none" w:sz="0" w:space="0" w:color="auto"/>
          </w:divBdr>
        </w:div>
        <w:div w:id="1964458772">
          <w:marLeft w:val="547"/>
          <w:marRight w:val="0"/>
          <w:marTop w:val="0"/>
          <w:marBottom w:val="40"/>
          <w:divBdr>
            <w:top w:val="none" w:sz="0" w:space="0" w:color="auto"/>
            <w:left w:val="none" w:sz="0" w:space="0" w:color="auto"/>
            <w:bottom w:val="none" w:sz="0" w:space="0" w:color="auto"/>
            <w:right w:val="none" w:sz="0" w:space="0" w:color="auto"/>
          </w:divBdr>
        </w:div>
        <w:div w:id="1964458774">
          <w:marLeft w:val="547"/>
          <w:marRight w:val="0"/>
          <w:marTop w:val="77"/>
          <w:marBottom w:val="0"/>
          <w:divBdr>
            <w:top w:val="none" w:sz="0" w:space="0" w:color="auto"/>
            <w:left w:val="none" w:sz="0" w:space="0" w:color="auto"/>
            <w:bottom w:val="none" w:sz="0" w:space="0" w:color="auto"/>
            <w:right w:val="none" w:sz="0" w:space="0" w:color="auto"/>
          </w:divBdr>
        </w:div>
      </w:divsChild>
    </w:div>
    <w:div w:id="1964458631">
      <w:marLeft w:val="0"/>
      <w:marRight w:val="0"/>
      <w:marTop w:val="0"/>
      <w:marBottom w:val="0"/>
      <w:divBdr>
        <w:top w:val="none" w:sz="0" w:space="0" w:color="auto"/>
        <w:left w:val="none" w:sz="0" w:space="0" w:color="auto"/>
        <w:bottom w:val="none" w:sz="0" w:space="0" w:color="auto"/>
        <w:right w:val="none" w:sz="0" w:space="0" w:color="auto"/>
      </w:divBdr>
    </w:div>
    <w:div w:id="1964458633">
      <w:marLeft w:val="0"/>
      <w:marRight w:val="0"/>
      <w:marTop w:val="0"/>
      <w:marBottom w:val="0"/>
      <w:divBdr>
        <w:top w:val="none" w:sz="0" w:space="0" w:color="auto"/>
        <w:left w:val="none" w:sz="0" w:space="0" w:color="auto"/>
        <w:bottom w:val="none" w:sz="0" w:space="0" w:color="auto"/>
        <w:right w:val="none" w:sz="0" w:space="0" w:color="auto"/>
      </w:divBdr>
    </w:div>
    <w:div w:id="1964458634">
      <w:marLeft w:val="0"/>
      <w:marRight w:val="0"/>
      <w:marTop w:val="0"/>
      <w:marBottom w:val="0"/>
      <w:divBdr>
        <w:top w:val="none" w:sz="0" w:space="0" w:color="auto"/>
        <w:left w:val="none" w:sz="0" w:space="0" w:color="auto"/>
        <w:bottom w:val="none" w:sz="0" w:space="0" w:color="auto"/>
        <w:right w:val="none" w:sz="0" w:space="0" w:color="auto"/>
      </w:divBdr>
    </w:div>
    <w:div w:id="1964458636">
      <w:marLeft w:val="0"/>
      <w:marRight w:val="0"/>
      <w:marTop w:val="0"/>
      <w:marBottom w:val="0"/>
      <w:divBdr>
        <w:top w:val="none" w:sz="0" w:space="0" w:color="auto"/>
        <w:left w:val="none" w:sz="0" w:space="0" w:color="auto"/>
        <w:bottom w:val="none" w:sz="0" w:space="0" w:color="auto"/>
        <w:right w:val="none" w:sz="0" w:space="0" w:color="auto"/>
      </w:divBdr>
    </w:div>
    <w:div w:id="1964458639">
      <w:marLeft w:val="0"/>
      <w:marRight w:val="0"/>
      <w:marTop w:val="0"/>
      <w:marBottom w:val="0"/>
      <w:divBdr>
        <w:top w:val="none" w:sz="0" w:space="0" w:color="auto"/>
        <w:left w:val="none" w:sz="0" w:space="0" w:color="auto"/>
        <w:bottom w:val="none" w:sz="0" w:space="0" w:color="auto"/>
        <w:right w:val="none" w:sz="0" w:space="0" w:color="auto"/>
      </w:divBdr>
    </w:div>
    <w:div w:id="1964458641">
      <w:marLeft w:val="0"/>
      <w:marRight w:val="0"/>
      <w:marTop w:val="0"/>
      <w:marBottom w:val="0"/>
      <w:divBdr>
        <w:top w:val="none" w:sz="0" w:space="0" w:color="auto"/>
        <w:left w:val="none" w:sz="0" w:space="0" w:color="auto"/>
        <w:bottom w:val="none" w:sz="0" w:space="0" w:color="auto"/>
        <w:right w:val="none" w:sz="0" w:space="0" w:color="auto"/>
      </w:divBdr>
    </w:div>
    <w:div w:id="1964458643">
      <w:marLeft w:val="0"/>
      <w:marRight w:val="0"/>
      <w:marTop w:val="0"/>
      <w:marBottom w:val="0"/>
      <w:divBdr>
        <w:top w:val="none" w:sz="0" w:space="0" w:color="auto"/>
        <w:left w:val="none" w:sz="0" w:space="0" w:color="auto"/>
        <w:bottom w:val="none" w:sz="0" w:space="0" w:color="auto"/>
        <w:right w:val="none" w:sz="0" w:space="0" w:color="auto"/>
      </w:divBdr>
      <w:divsChild>
        <w:div w:id="1964458573">
          <w:marLeft w:val="547"/>
          <w:marRight w:val="0"/>
          <w:marTop w:val="96"/>
          <w:marBottom w:val="0"/>
          <w:divBdr>
            <w:top w:val="none" w:sz="0" w:space="0" w:color="auto"/>
            <w:left w:val="none" w:sz="0" w:space="0" w:color="auto"/>
            <w:bottom w:val="none" w:sz="0" w:space="0" w:color="auto"/>
            <w:right w:val="none" w:sz="0" w:space="0" w:color="auto"/>
          </w:divBdr>
        </w:div>
        <w:div w:id="1964458640">
          <w:marLeft w:val="547"/>
          <w:marRight w:val="0"/>
          <w:marTop w:val="96"/>
          <w:marBottom w:val="0"/>
          <w:divBdr>
            <w:top w:val="none" w:sz="0" w:space="0" w:color="auto"/>
            <w:left w:val="none" w:sz="0" w:space="0" w:color="auto"/>
            <w:bottom w:val="none" w:sz="0" w:space="0" w:color="auto"/>
            <w:right w:val="none" w:sz="0" w:space="0" w:color="auto"/>
          </w:divBdr>
        </w:div>
        <w:div w:id="1964458645">
          <w:marLeft w:val="547"/>
          <w:marRight w:val="0"/>
          <w:marTop w:val="96"/>
          <w:marBottom w:val="0"/>
          <w:divBdr>
            <w:top w:val="none" w:sz="0" w:space="0" w:color="auto"/>
            <w:left w:val="none" w:sz="0" w:space="0" w:color="auto"/>
            <w:bottom w:val="none" w:sz="0" w:space="0" w:color="auto"/>
            <w:right w:val="none" w:sz="0" w:space="0" w:color="auto"/>
          </w:divBdr>
        </w:div>
        <w:div w:id="1964458666">
          <w:marLeft w:val="547"/>
          <w:marRight w:val="0"/>
          <w:marTop w:val="96"/>
          <w:marBottom w:val="0"/>
          <w:divBdr>
            <w:top w:val="none" w:sz="0" w:space="0" w:color="auto"/>
            <w:left w:val="none" w:sz="0" w:space="0" w:color="auto"/>
            <w:bottom w:val="none" w:sz="0" w:space="0" w:color="auto"/>
            <w:right w:val="none" w:sz="0" w:space="0" w:color="auto"/>
          </w:divBdr>
        </w:div>
        <w:div w:id="1964458705">
          <w:marLeft w:val="547"/>
          <w:marRight w:val="0"/>
          <w:marTop w:val="96"/>
          <w:marBottom w:val="0"/>
          <w:divBdr>
            <w:top w:val="none" w:sz="0" w:space="0" w:color="auto"/>
            <w:left w:val="none" w:sz="0" w:space="0" w:color="auto"/>
            <w:bottom w:val="none" w:sz="0" w:space="0" w:color="auto"/>
            <w:right w:val="none" w:sz="0" w:space="0" w:color="auto"/>
          </w:divBdr>
        </w:div>
        <w:div w:id="1964458748">
          <w:marLeft w:val="547"/>
          <w:marRight w:val="0"/>
          <w:marTop w:val="96"/>
          <w:marBottom w:val="0"/>
          <w:divBdr>
            <w:top w:val="none" w:sz="0" w:space="0" w:color="auto"/>
            <w:left w:val="none" w:sz="0" w:space="0" w:color="auto"/>
            <w:bottom w:val="none" w:sz="0" w:space="0" w:color="auto"/>
            <w:right w:val="none" w:sz="0" w:space="0" w:color="auto"/>
          </w:divBdr>
        </w:div>
      </w:divsChild>
    </w:div>
    <w:div w:id="1964458647">
      <w:marLeft w:val="0"/>
      <w:marRight w:val="0"/>
      <w:marTop w:val="0"/>
      <w:marBottom w:val="0"/>
      <w:divBdr>
        <w:top w:val="none" w:sz="0" w:space="0" w:color="auto"/>
        <w:left w:val="none" w:sz="0" w:space="0" w:color="auto"/>
        <w:bottom w:val="none" w:sz="0" w:space="0" w:color="auto"/>
        <w:right w:val="none" w:sz="0" w:space="0" w:color="auto"/>
      </w:divBdr>
    </w:div>
    <w:div w:id="1964458648">
      <w:marLeft w:val="0"/>
      <w:marRight w:val="0"/>
      <w:marTop w:val="0"/>
      <w:marBottom w:val="0"/>
      <w:divBdr>
        <w:top w:val="none" w:sz="0" w:space="0" w:color="auto"/>
        <w:left w:val="none" w:sz="0" w:space="0" w:color="auto"/>
        <w:bottom w:val="none" w:sz="0" w:space="0" w:color="auto"/>
        <w:right w:val="none" w:sz="0" w:space="0" w:color="auto"/>
      </w:divBdr>
    </w:div>
    <w:div w:id="1964458650">
      <w:marLeft w:val="0"/>
      <w:marRight w:val="0"/>
      <w:marTop w:val="0"/>
      <w:marBottom w:val="0"/>
      <w:divBdr>
        <w:top w:val="none" w:sz="0" w:space="0" w:color="auto"/>
        <w:left w:val="none" w:sz="0" w:space="0" w:color="auto"/>
        <w:bottom w:val="none" w:sz="0" w:space="0" w:color="auto"/>
        <w:right w:val="none" w:sz="0" w:space="0" w:color="auto"/>
      </w:divBdr>
    </w:div>
    <w:div w:id="1964458651">
      <w:marLeft w:val="0"/>
      <w:marRight w:val="0"/>
      <w:marTop w:val="0"/>
      <w:marBottom w:val="0"/>
      <w:divBdr>
        <w:top w:val="none" w:sz="0" w:space="0" w:color="auto"/>
        <w:left w:val="none" w:sz="0" w:space="0" w:color="auto"/>
        <w:bottom w:val="none" w:sz="0" w:space="0" w:color="auto"/>
        <w:right w:val="none" w:sz="0" w:space="0" w:color="auto"/>
      </w:divBdr>
    </w:div>
    <w:div w:id="1964458653">
      <w:marLeft w:val="0"/>
      <w:marRight w:val="0"/>
      <w:marTop w:val="0"/>
      <w:marBottom w:val="0"/>
      <w:divBdr>
        <w:top w:val="none" w:sz="0" w:space="0" w:color="auto"/>
        <w:left w:val="none" w:sz="0" w:space="0" w:color="auto"/>
        <w:bottom w:val="none" w:sz="0" w:space="0" w:color="auto"/>
        <w:right w:val="none" w:sz="0" w:space="0" w:color="auto"/>
      </w:divBdr>
      <w:divsChild>
        <w:div w:id="1964458675">
          <w:marLeft w:val="1166"/>
          <w:marRight w:val="0"/>
          <w:marTop w:val="77"/>
          <w:marBottom w:val="0"/>
          <w:divBdr>
            <w:top w:val="none" w:sz="0" w:space="0" w:color="auto"/>
            <w:left w:val="none" w:sz="0" w:space="0" w:color="auto"/>
            <w:bottom w:val="none" w:sz="0" w:space="0" w:color="auto"/>
            <w:right w:val="none" w:sz="0" w:space="0" w:color="auto"/>
          </w:divBdr>
        </w:div>
        <w:div w:id="1964458680">
          <w:marLeft w:val="1166"/>
          <w:marRight w:val="0"/>
          <w:marTop w:val="77"/>
          <w:marBottom w:val="0"/>
          <w:divBdr>
            <w:top w:val="none" w:sz="0" w:space="0" w:color="auto"/>
            <w:left w:val="none" w:sz="0" w:space="0" w:color="auto"/>
            <w:bottom w:val="none" w:sz="0" w:space="0" w:color="auto"/>
            <w:right w:val="none" w:sz="0" w:space="0" w:color="auto"/>
          </w:divBdr>
        </w:div>
      </w:divsChild>
    </w:div>
    <w:div w:id="1964458656">
      <w:marLeft w:val="0"/>
      <w:marRight w:val="0"/>
      <w:marTop w:val="0"/>
      <w:marBottom w:val="0"/>
      <w:divBdr>
        <w:top w:val="none" w:sz="0" w:space="0" w:color="auto"/>
        <w:left w:val="none" w:sz="0" w:space="0" w:color="auto"/>
        <w:bottom w:val="none" w:sz="0" w:space="0" w:color="auto"/>
        <w:right w:val="none" w:sz="0" w:space="0" w:color="auto"/>
      </w:divBdr>
    </w:div>
    <w:div w:id="1964458657">
      <w:marLeft w:val="0"/>
      <w:marRight w:val="0"/>
      <w:marTop w:val="0"/>
      <w:marBottom w:val="0"/>
      <w:divBdr>
        <w:top w:val="none" w:sz="0" w:space="0" w:color="auto"/>
        <w:left w:val="none" w:sz="0" w:space="0" w:color="auto"/>
        <w:bottom w:val="none" w:sz="0" w:space="0" w:color="auto"/>
        <w:right w:val="none" w:sz="0" w:space="0" w:color="auto"/>
      </w:divBdr>
    </w:div>
    <w:div w:id="1964458660">
      <w:marLeft w:val="0"/>
      <w:marRight w:val="0"/>
      <w:marTop w:val="0"/>
      <w:marBottom w:val="0"/>
      <w:divBdr>
        <w:top w:val="none" w:sz="0" w:space="0" w:color="auto"/>
        <w:left w:val="none" w:sz="0" w:space="0" w:color="auto"/>
        <w:bottom w:val="none" w:sz="0" w:space="0" w:color="auto"/>
        <w:right w:val="none" w:sz="0" w:space="0" w:color="auto"/>
      </w:divBdr>
    </w:div>
    <w:div w:id="1964458662">
      <w:marLeft w:val="0"/>
      <w:marRight w:val="0"/>
      <w:marTop w:val="0"/>
      <w:marBottom w:val="0"/>
      <w:divBdr>
        <w:top w:val="none" w:sz="0" w:space="0" w:color="auto"/>
        <w:left w:val="none" w:sz="0" w:space="0" w:color="auto"/>
        <w:bottom w:val="none" w:sz="0" w:space="0" w:color="auto"/>
        <w:right w:val="none" w:sz="0" w:space="0" w:color="auto"/>
      </w:divBdr>
    </w:div>
    <w:div w:id="1964458667">
      <w:marLeft w:val="0"/>
      <w:marRight w:val="0"/>
      <w:marTop w:val="0"/>
      <w:marBottom w:val="0"/>
      <w:divBdr>
        <w:top w:val="none" w:sz="0" w:space="0" w:color="auto"/>
        <w:left w:val="none" w:sz="0" w:space="0" w:color="auto"/>
        <w:bottom w:val="none" w:sz="0" w:space="0" w:color="auto"/>
        <w:right w:val="none" w:sz="0" w:space="0" w:color="auto"/>
      </w:divBdr>
    </w:div>
    <w:div w:id="1964458669">
      <w:marLeft w:val="0"/>
      <w:marRight w:val="0"/>
      <w:marTop w:val="0"/>
      <w:marBottom w:val="0"/>
      <w:divBdr>
        <w:top w:val="none" w:sz="0" w:space="0" w:color="auto"/>
        <w:left w:val="none" w:sz="0" w:space="0" w:color="auto"/>
        <w:bottom w:val="none" w:sz="0" w:space="0" w:color="auto"/>
        <w:right w:val="none" w:sz="0" w:space="0" w:color="auto"/>
      </w:divBdr>
      <w:divsChild>
        <w:div w:id="1964458586">
          <w:marLeft w:val="1166"/>
          <w:marRight w:val="0"/>
          <w:marTop w:val="96"/>
          <w:marBottom w:val="0"/>
          <w:divBdr>
            <w:top w:val="none" w:sz="0" w:space="0" w:color="auto"/>
            <w:left w:val="none" w:sz="0" w:space="0" w:color="auto"/>
            <w:bottom w:val="none" w:sz="0" w:space="0" w:color="auto"/>
            <w:right w:val="none" w:sz="0" w:space="0" w:color="auto"/>
          </w:divBdr>
        </w:div>
        <w:div w:id="1964458616">
          <w:marLeft w:val="1166"/>
          <w:marRight w:val="0"/>
          <w:marTop w:val="96"/>
          <w:marBottom w:val="0"/>
          <w:divBdr>
            <w:top w:val="none" w:sz="0" w:space="0" w:color="auto"/>
            <w:left w:val="none" w:sz="0" w:space="0" w:color="auto"/>
            <w:bottom w:val="none" w:sz="0" w:space="0" w:color="auto"/>
            <w:right w:val="none" w:sz="0" w:space="0" w:color="auto"/>
          </w:divBdr>
        </w:div>
        <w:div w:id="1964458623">
          <w:marLeft w:val="1166"/>
          <w:marRight w:val="0"/>
          <w:marTop w:val="96"/>
          <w:marBottom w:val="0"/>
          <w:divBdr>
            <w:top w:val="none" w:sz="0" w:space="0" w:color="auto"/>
            <w:left w:val="none" w:sz="0" w:space="0" w:color="auto"/>
            <w:bottom w:val="none" w:sz="0" w:space="0" w:color="auto"/>
            <w:right w:val="none" w:sz="0" w:space="0" w:color="auto"/>
          </w:divBdr>
        </w:div>
        <w:div w:id="1964458632">
          <w:marLeft w:val="1166"/>
          <w:marRight w:val="0"/>
          <w:marTop w:val="96"/>
          <w:marBottom w:val="0"/>
          <w:divBdr>
            <w:top w:val="none" w:sz="0" w:space="0" w:color="auto"/>
            <w:left w:val="none" w:sz="0" w:space="0" w:color="auto"/>
            <w:bottom w:val="none" w:sz="0" w:space="0" w:color="auto"/>
            <w:right w:val="none" w:sz="0" w:space="0" w:color="auto"/>
          </w:divBdr>
        </w:div>
        <w:div w:id="1964458724">
          <w:marLeft w:val="1166"/>
          <w:marRight w:val="0"/>
          <w:marTop w:val="96"/>
          <w:marBottom w:val="0"/>
          <w:divBdr>
            <w:top w:val="none" w:sz="0" w:space="0" w:color="auto"/>
            <w:left w:val="none" w:sz="0" w:space="0" w:color="auto"/>
            <w:bottom w:val="none" w:sz="0" w:space="0" w:color="auto"/>
            <w:right w:val="none" w:sz="0" w:space="0" w:color="auto"/>
          </w:divBdr>
        </w:div>
      </w:divsChild>
    </w:div>
    <w:div w:id="1964458670">
      <w:marLeft w:val="0"/>
      <w:marRight w:val="0"/>
      <w:marTop w:val="0"/>
      <w:marBottom w:val="0"/>
      <w:divBdr>
        <w:top w:val="none" w:sz="0" w:space="0" w:color="auto"/>
        <w:left w:val="none" w:sz="0" w:space="0" w:color="auto"/>
        <w:bottom w:val="none" w:sz="0" w:space="0" w:color="auto"/>
        <w:right w:val="none" w:sz="0" w:space="0" w:color="auto"/>
      </w:divBdr>
    </w:div>
    <w:div w:id="1964458671">
      <w:marLeft w:val="0"/>
      <w:marRight w:val="0"/>
      <w:marTop w:val="0"/>
      <w:marBottom w:val="0"/>
      <w:divBdr>
        <w:top w:val="none" w:sz="0" w:space="0" w:color="auto"/>
        <w:left w:val="none" w:sz="0" w:space="0" w:color="auto"/>
        <w:bottom w:val="none" w:sz="0" w:space="0" w:color="auto"/>
        <w:right w:val="none" w:sz="0" w:space="0" w:color="auto"/>
      </w:divBdr>
    </w:div>
    <w:div w:id="1964458672">
      <w:marLeft w:val="0"/>
      <w:marRight w:val="0"/>
      <w:marTop w:val="0"/>
      <w:marBottom w:val="0"/>
      <w:divBdr>
        <w:top w:val="none" w:sz="0" w:space="0" w:color="auto"/>
        <w:left w:val="none" w:sz="0" w:space="0" w:color="auto"/>
        <w:bottom w:val="none" w:sz="0" w:space="0" w:color="auto"/>
        <w:right w:val="none" w:sz="0" w:space="0" w:color="auto"/>
      </w:divBdr>
    </w:div>
    <w:div w:id="1964458676">
      <w:marLeft w:val="0"/>
      <w:marRight w:val="0"/>
      <w:marTop w:val="0"/>
      <w:marBottom w:val="0"/>
      <w:divBdr>
        <w:top w:val="none" w:sz="0" w:space="0" w:color="auto"/>
        <w:left w:val="none" w:sz="0" w:space="0" w:color="auto"/>
        <w:bottom w:val="none" w:sz="0" w:space="0" w:color="auto"/>
        <w:right w:val="none" w:sz="0" w:space="0" w:color="auto"/>
      </w:divBdr>
      <w:divsChild>
        <w:div w:id="1964458552">
          <w:marLeft w:val="547"/>
          <w:marRight w:val="0"/>
          <w:marTop w:val="96"/>
          <w:marBottom w:val="120"/>
          <w:divBdr>
            <w:top w:val="none" w:sz="0" w:space="0" w:color="auto"/>
            <w:left w:val="none" w:sz="0" w:space="0" w:color="auto"/>
            <w:bottom w:val="none" w:sz="0" w:space="0" w:color="auto"/>
            <w:right w:val="none" w:sz="0" w:space="0" w:color="auto"/>
          </w:divBdr>
        </w:div>
        <w:div w:id="1964458588">
          <w:marLeft w:val="547"/>
          <w:marRight w:val="0"/>
          <w:marTop w:val="96"/>
          <w:marBottom w:val="120"/>
          <w:divBdr>
            <w:top w:val="none" w:sz="0" w:space="0" w:color="auto"/>
            <w:left w:val="none" w:sz="0" w:space="0" w:color="auto"/>
            <w:bottom w:val="none" w:sz="0" w:space="0" w:color="auto"/>
            <w:right w:val="none" w:sz="0" w:space="0" w:color="auto"/>
          </w:divBdr>
        </w:div>
        <w:div w:id="1964458594">
          <w:marLeft w:val="547"/>
          <w:marRight w:val="0"/>
          <w:marTop w:val="96"/>
          <w:marBottom w:val="120"/>
          <w:divBdr>
            <w:top w:val="none" w:sz="0" w:space="0" w:color="auto"/>
            <w:left w:val="none" w:sz="0" w:space="0" w:color="auto"/>
            <w:bottom w:val="none" w:sz="0" w:space="0" w:color="auto"/>
            <w:right w:val="none" w:sz="0" w:space="0" w:color="auto"/>
          </w:divBdr>
        </w:div>
        <w:div w:id="1964458595">
          <w:marLeft w:val="547"/>
          <w:marRight w:val="0"/>
          <w:marTop w:val="96"/>
          <w:marBottom w:val="120"/>
          <w:divBdr>
            <w:top w:val="none" w:sz="0" w:space="0" w:color="auto"/>
            <w:left w:val="none" w:sz="0" w:space="0" w:color="auto"/>
            <w:bottom w:val="none" w:sz="0" w:space="0" w:color="auto"/>
            <w:right w:val="none" w:sz="0" w:space="0" w:color="auto"/>
          </w:divBdr>
        </w:div>
        <w:div w:id="1964458604">
          <w:marLeft w:val="547"/>
          <w:marRight w:val="0"/>
          <w:marTop w:val="96"/>
          <w:marBottom w:val="120"/>
          <w:divBdr>
            <w:top w:val="none" w:sz="0" w:space="0" w:color="auto"/>
            <w:left w:val="none" w:sz="0" w:space="0" w:color="auto"/>
            <w:bottom w:val="none" w:sz="0" w:space="0" w:color="auto"/>
            <w:right w:val="none" w:sz="0" w:space="0" w:color="auto"/>
          </w:divBdr>
        </w:div>
        <w:div w:id="1964458618">
          <w:marLeft w:val="547"/>
          <w:marRight w:val="0"/>
          <w:marTop w:val="96"/>
          <w:marBottom w:val="120"/>
          <w:divBdr>
            <w:top w:val="none" w:sz="0" w:space="0" w:color="auto"/>
            <w:left w:val="none" w:sz="0" w:space="0" w:color="auto"/>
            <w:bottom w:val="none" w:sz="0" w:space="0" w:color="auto"/>
            <w:right w:val="none" w:sz="0" w:space="0" w:color="auto"/>
          </w:divBdr>
        </w:div>
        <w:div w:id="1964458726">
          <w:marLeft w:val="547"/>
          <w:marRight w:val="0"/>
          <w:marTop w:val="96"/>
          <w:marBottom w:val="120"/>
          <w:divBdr>
            <w:top w:val="none" w:sz="0" w:space="0" w:color="auto"/>
            <w:left w:val="none" w:sz="0" w:space="0" w:color="auto"/>
            <w:bottom w:val="none" w:sz="0" w:space="0" w:color="auto"/>
            <w:right w:val="none" w:sz="0" w:space="0" w:color="auto"/>
          </w:divBdr>
        </w:div>
      </w:divsChild>
    </w:div>
    <w:div w:id="1964458678">
      <w:marLeft w:val="0"/>
      <w:marRight w:val="0"/>
      <w:marTop w:val="0"/>
      <w:marBottom w:val="0"/>
      <w:divBdr>
        <w:top w:val="none" w:sz="0" w:space="0" w:color="auto"/>
        <w:left w:val="none" w:sz="0" w:space="0" w:color="auto"/>
        <w:bottom w:val="none" w:sz="0" w:space="0" w:color="auto"/>
        <w:right w:val="none" w:sz="0" w:space="0" w:color="auto"/>
      </w:divBdr>
      <w:divsChild>
        <w:div w:id="1964458577">
          <w:marLeft w:val="1166"/>
          <w:marRight w:val="0"/>
          <w:marTop w:val="96"/>
          <w:marBottom w:val="0"/>
          <w:divBdr>
            <w:top w:val="none" w:sz="0" w:space="0" w:color="auto"/>
            <w:left w:val="none" w:sz="0" w:space="0" w:color="auto"/>
            <w:bottom w:val="none" w:sz="0" w:space="0" w:color="auto"/>
            <w:right w:val="none" w:sz="0" w:space="0" w:color="auto"/>
          </w:divBdr>
        </w:div>
        <w:div w:id="1964458598">
          <w:marLeft w:val="1166"/>
          <w:marRight w:val="0"/>
          <w:marTop w:val="96"/>
          <w:marBottom w:val="0"/>
          <w:divBdr>
            <w:top w:val="none" w:sz="0" w:space="0" w:color="auto"/>
            <w:left w:val="none" w:sz="0" w:space="0" w:color="auto"/>
            <w:bottom w:val="none" w:sz="0" w:space="0" w:color="auto"/>
            <w:right w:val="none" w:sz="0" w:space="0" w:color="auto"/>
          </w:divBdr>
        </w:div>
        <w:div w:id="1964458620">
          <w:marLeft w:val="1166"/>
          <w:marRight w:val="0"/>
          <w:marTop w:val="96"/>
          <w:marBottom w:val="0"/>
          <w:divBdr>
            <w:top w:val="none" w:sz="0" w:space="0" w:color="auto"/>
            <w:left w:val="none" w:sz="0" w:space="0" w:color="auto"/>
            <w:bottom w:val="none" w:sz="0" w:space="0" w:color="auto"/>
            <w:right w:val="none" w:sz="0" w:space="0" w:color="auto"/>
          </w:divBdr>
        </w:div>
        <w:div w:id="1964458644">
          <w:marLeft w:val="1166"/>
          <w:marRight w:val="0"/>
          <w:marTop w:val="96"/>
          <w:marBottom w:val="0"/>
          <w:divBdr>
            <w:top w:val="none" w:sz="0" w:space="0" w:color="auto"/>
            <w:left w:val="none" w:sz="0" w:space="0" w:color="auto"/>
            <w:bottom w:val="none" w:sz="0" w:space="0" w:color="auto"/>
            <w:right w:val="none" w:sz="0" w:space="0" w:color="auto"/>
          </w:divBdr>
        </w:div>
        <w:div w:id="1964458717">
          <w:marLeft w:val="1166"/>
          <w:marRight w:val="0"/>
          <w:marTop w:val="96"/>
          <w:marBottom w:val="0"/>
          <w:divBdr>
            <w:top w:val="none" w:sz="0" w:space="0" w:color="auto"/>
            <w:left w:val="none" w:sz="0" w:space="0" w:color="auto"/>
            <w:bottom w:val="none" w:sz="0" w:space="0" w:color="auto"/>
            <w:right w:val="none" w:sz="0" w:space="0" w:color="auto"/>
          </w:divBdr>
        </w:div>
      </w:divsChild>
    </w:div>
    <w:div w:id="1964458681">
      <w:marLeft w:val="0"/>
      <w:marRight w:val="0"/>
      <w:marTop w:val="0"/>
      <w:marBottom w:val="0"/>
      <w:divBdr>
        <w:top w:val="none" w:sz="0" w:space="0" w:color="auto"/>
        <w:left w:val="none" w:sz="0" w:space="0" w:color="auto"/>
        <w:bottom w:val="none" w:sz="0" w:space="0" w:color="auto"/>
        <w:right w:val="none" w:sz="0" w:space="0" w:color="auto"/>
      </w:divBdr>
    </w:div>
    <w:div w:id="1964458683">
      <w:marLeft w:val="0"/>
      <w:marRight w:val="0"/>
      <w:marTop w:val="0"/>
      <w:marBottom w:val="0"/>
      <w:divBdr>
        <w:top w:val="none" w:sz="0" w:space="0" w:color="auto"/>
        <w:left w:val="none" w:sz="0" w:space="0" w:color="auto"/>
        <w:bottom w:val="none" w:sz="0" w:space="0" w:color="auto"/>
        <w:right w:val="none" w:sz="0" w:space="0" w:color="auto"/>
      </w:divBdr>
    </w:div>
    <w:div w:id="1964458684">
      <w:marLeft w:val="0"/>
      <w:marRight w:val="0"/>
      <w:marTop w:val="0"/>
      <w:marBottom w:val="0"/>
      <w:divBdr>
        <w:top w:val="none" w:sz="0" w:space="0" w:color="auto"/>
        <w:left w:val="none" w:sz="0" w:space="0" w:color="auto"/>
        <w:bottom w:val="none" w:sz="0" w:space="0" w:color="auto"/>
        <w:right w:val="none" w:sz="0" w:space="0" w:color="auto"/>
      </w:divBdr>
    </w:div>
    <w:div w:id="1964458685">
      <w:marLeft w:val="0"/>
      <w:marRight w:val="0"/>
      <w:marTop w:val="0"/>
      <w:marBottom w:val="0"/>
      <w:divBdr>
        <w:top w:val="none" w:sz="0" w:space="0" w:color="auto"/>
        <w:left w:val="none" w:sz="0" w:space="0" w:color="auto"/>
        <w:bottom w:val="none" w:sz="0" w:space="0" w:color="auto"/>
        <w:right w:val="none" w:sz="0" w:space="0" w:color="auto"/>
      </w:divBdr>
    </w:div>
    <w:div w:id="1964458689">
      <w:marLeft w:val="0"/>
      <w:marRight w:val="0"/>
      <w:marTop w:val="0"/>
      <w:marBottom w:val="0"/>
      <w:divBdr>
        <w:top w:val="none" w:sz="0" w:space="0" w:color="auto"/>
        <w:left w:val="none" w:sz="0" w:space="0" w:color="auto"/>
        <w:bottom w:val="none" w:sz="0" w:space="0" w:color="auto"/>
        <w:right w:val="none" w:sz="0" w:space="0" w:color="auto"/>
      </w:divBdr>
    </w:div>
    <w:div w:id="1964458690">
      <w:marLeft w:val="0"/>
      <w:marRight w:val="0"/>
      <w:marTop w:val="0"/>
      <w:marBottom w:val="0"/>
      <w:divBdr>
        <w:top w:val="none" w:sz="0" w:space="0" w:color="auto"/>
        <w:left w:val="none" w:sz="0" w:space="0" w:color="auto"/>
        <w:bottom w:val="none" w:sz="0" w:space="0" w:color="auto"/>
        <w:right w:val="none" w:sz="0" w:space="0" w:color="auto"/>
      </w:divBdr>
      <w:divsChild>
        <w:div w:id="1964458550">
          <w:marLeft w:val="288"/>
          <w:marRight w:val="0"/>
          <w:marTop w:val="160"/>
          <w:marBottom w:val="0"/>
          <w:divBdr>
            <w:top w:val="none" w:sz="0" w:space="0" w:color="auto"/>
            <w:left w:val="none" w:sz="0" w:space="0" w:color="auto"/>
            <w:bottom w:val="none" w:sz="0" w:space="0" w:color="auto"/>
            <w:right w:val="none" w:sz="0" w:space="0" w:color="auto"/>
          </w:divBdr>
        </w:div>
        <w:div w:id="1964458557">
          <w:marLeft w:val="288"/>
          <w:marRight w:val="0"/>
          <w:marTop w:val="160"/>
          <w:marBottom w:val="0"/>
          <w:divBdr>
            <w:top w:val="none" w:sz="0" w:space="0" w:color="auto"/>
            <w:left w:val="none" w:sz="0" w:space="0" w:color="auto"/>
            <w:bottom w:val="none" w:sz="0" w:space="0" w:color="auto"/>
            <w:right w:val="none" w:sz="0" w:space="0" w:color="auto"/>
          </w:divBdr>
        </w:div>
        <w:div w:id="1964458561">
          <w:marLeft w:val="979"/>
          <w:marRight w:val="0"/>
          <w:marTop w:val="77"/>
          <w:marBottom w:val="0"/>
          <w:divBdr>
            <w:top w:val="none" w:sz="0" w:space="0" w:color="auto"/>
            <w:left w:val="none" w:sz="0" w:space="0" w:color="auto"/>
            <w:bottom w:val="none" w:sz="0" w:space="0" w:color="auto"/>
            <w:right w:val="none" w:sz="0" w:space="0" w:color="auto"/>
          </w:divBdr>
        </w:div>
        <w:div w:id="1964458572">
          <w:marLeft w:val="288"/>
          <w:marRight w:val="0"/>
          <w:marTop w:val="86"/>
          <w:marBottom w:val="0"/>
          <w:divBdr>
            <w:top w:val="none" w:sz="0" w:space="0" w:color="auto"/>
            <w:left w:val="none" w:sz="0" w:space="0" w:color="auto"/>
            <w:bottom w:val="none" w:sz="0" w:space="0" w:color="auto"/>
            <w:right w:val="none" w:sz="0" w:space="0" w:color="auto"/>
          </w:divBdr>
        </w:div>
        <w:div w:id="1964458606">
          <w:marLeft w:val="979"/>
          <w:marRight w:val="0"/>
          <w:marTop w:val="77"/>
          <w:marBottom w:val="0"/>
          <w:divBdr>
            <w:top w:val="none" w:sz="0" w:space="0" w:color="auto"/>
            <w:left w:val="none" w:sz="0" w:space="0" w:color="auto"/>
            <w:bottom w:val="none" w:sz="0" w:space="0" w:color="auto"/>
            <w:right w:val="none" w:sz="0" w:space="0" w:color="auto"/>
          </w:divBdr>
        </w:div>
        <w:div w:id="1964458610">
          <w:marLeft w:val="979"/>
          <w:marRight w:val="0"/>
          <w:marTop w:val="77"/>
          <w:marBottom w:val="0"/>
          <w:divBdr>
            <w:top w:val="none" w:sz="0" w:space="0" w:color="auto"/>
            <w:left w:val="none" w:sz="0" w:space="0" w:color="auto"/>
            <w:bottom w:val="none" w:sz="0" w:space="0" w:color="auto"/>
            <w:right w:val="none" w:sz="0" w:space="0" w:color="auto"/>
          </w:divBdr>
        </w:div>
        <w:div w:id="1964458652">
          <w:marLeft w:val="288"/>
          <w:marRight w:val="0"/>
          <w:marTop w:val="160"/>
          <w:marBottom w:val="0"/>
          <w:divBdr>
            <w:top w:val="none" w:sz="0" w:space="0" w:color="auto"/>
            <w:left w:val="none" w:sz="0" w:space="0" w:color="auto"/>
            <w:bottom w:val="none" w:sz="0" w:space="0" w:color="auto"/>
            <w:right w:val="none" w:sz="0" w:space="0" w:color="auto"/>
          </w:divBdr>
        </w:div>
        <w:div w:id="1964458664">
          <w:marLeft w:val="288"/>
          <w:marRight w:val="0"/>
          <w:marTop w:val="160"/>
          <w:marBottom w:val="0"/>
          <w:divBdr>
            <w:top w:val="none" w:sz="0" w:space="0" w:color="auto"/>
            <w:left w:val="none" w:sz="0" w:space="0" w:color="auto"/>
            <w:bottom w:val="none" w:sz="0" w:space="0" w:color="auto"/>
            <w:right w:val="none" w:sz="0" w:space="0" w:color="auto"/>
          </w:divBdr>
        </w:div>
        <w:div w:id="1964458673">
          <w:marLeft w:val="979"/>
          <w:marRight w:val="0"/>
          <w:marTop w:val="77"/>
          <w:marBottom w:val="0"/>
          <w:divBdr>
            <w:top w:val="none" w:sz="0" w:space="0" w:color="auto"/>
            <w:left w:val="none" w:sz="0" w:space="0" w:color="auto"/>
            <w:bottom w:val="none" w:sz="0" w:space="0" w:color="auto"/>
            <w:right w:val="none" w:sz="0" w:space="0" w:color="auto"/>
          </w:divBdr>
        </w:div>
        <w:div w:id="1964458687">
          <w:marLeft w:val="979"/>
          <w:marRight w:val="0"/>
          <w:marTop w:val="77"/>
          <w:marBottom w:val="0"/>
          <w:divBdr>
            <w:top w:val="none" w:sz="0" w:space="0" w:color="auto"/>
            <w:left w:val="none" w:sz="0" w:space="0" w:color="auto"/>
            <w:bottom w:val="none" w:sz="0" w:space="0" w:color="auto"/>
            <w:right w:val="none" w:sz="0" w:space="0" w:color="auto"/>
          </w:divBdr>
        </w:div>
        <w:div w:id="1964458734">
          <w:marLeft w:val="979"/>
          <w:marRight w:val="0"/>
          <w:marTop w:val="77"/>
          <w:marBottom w:val="0"/>
          <w:divBdr>
            <w:top w:val="none" w:sz="0" w:space="0" w:color="auto"/>
            <w:left w:val="none" w:sz="0" w:space="0" w:color="auto"/>
            <w:bottom w:val="none" w:sz="0" w:space="0" w:color="auto"/>
            <w:right w:val="none" w:sz="0" w:space="0" w:color="auto"/>
          </w:divBdr>
        </w:div>
        <w:div w:id="1964458736">
          <w:marLeft w:val="979"/>
          <w:marRight w:val="0"/>
          <w:marTop w:val="77"/>
          <w:marBottom w:val="0"/>
          <w:divBdr>
            <w:top w:val="none" w:sz="0" w:space="0" w:color="auto"/>
            <w:left w:val="none" w:sz="0" w:space="0" w:color="auto"/>
            <w:bottom w:val="none" w:sz="0" w:space="0" w:color="auto"/>
            <w:right w:val="none" w:sz="0" w:space="0" w:color="auto"/>
          </w:divBdr>
        </w:div>
        <w:div w:id="1964458737">
          <w:marLeft w:val="288"/>
          <w:marRight w:val="0"/>
          <w:marTop w:val="160"/>
          <w:marBottom w:val="0"/>
          <w:divBdr>
            <w:top w:val="none" w:sz="0" w:space="0" w:color="auto"/>
            <w:left w:val="none" w:sz="0" w:space="0" w:color="auto"/>
            <w:bottom w:val="none" w:sz="0" w:space="0" w:color="auto"/>
            <w:right w:val="none" w:sz="0" w:space="0" w:color="auto"/>
          </w:divBdr>
        </w:div>
        <w:div w:id="1964458755">
          <w:marLeft w:val="979"/>
          <w:marRight w:val="0"/>
          <w:marTop w:val="77"/>
          <w:marBottom w:val="0"/>
          <w:divBdr>
            <w:top w:val="none" w:sz="0" w:space="0" w:color="auto"/>
            <w:left w:val="none" w:sz="0" w:space="0" w:color="auto"/>
            <w:bottom w:val="none" w:sz="0" w:space="0" w:color="auto"/>
            <w:right w:val="none" w:sz="0" w:space="0" w:color="auto"/>
          </w:divBdr>
        </w:div>
      </w:divsChild>
    </w:div>
    <w:div w:id="1964458691">
      <w:marLeft w:val="0"/>
      <w:marRight w:val="0"/>
      <w:marTop w:val="0"/>
      <w:marBottom w:val="0"/>
      <w:divBdr>
        <w:top w:val="none" w:sz="0" w:space="0" w:color="auto"/>
        <w:left w:val="none" w:sz="0" w:space="0" w:color="auto"/>
        <w:bottom w:val="none" w:sz="0" w:space="0" w:color="auto"/>
        <w:right w:val="none" w:sz="0" w:space="0" w:color="auto"/>
      </w:divBdr>
    </w:div>
    <w:div w:id="1964458692">
      <w:marLeft w:val="0"/>
      <w:marRight w:val="0"/>
      <w:marTop w:val="0"/>
      <w:marBottom w:val="0"/>
      <w:divBdr>
        <w:top w:val="none" w:sz="0" w:space="0" w:color="auto"/>
        <w:left w:val="none" w:sz="0" w:space="0" w:color="auto"/>
        <w:bottom w:val="none" w:sz="0" w:space="0" w:color="auto"/>
        <w:right w:val="none" w:sz="0" w:space="0" w:color="auto"/>
      </w:divBdr>
    </w:div>
    <w:div w:id="1964458693">
      <w:marLeft w:val="0"/>
      <w:marRight w:val="0"/>
      <w:marTop w:val="0"/>
      <w:marBottom w:val="0"/>
      <w:divBdr>
        <w:top w:val="none" w:sz="0" w:space="0" w:color="auto"/>
        <w:left w:val="none" w:sz="0" w:space="0" w:color="auto"/>
        <w:bottom w:val="none" w:sz="0" w:space="0" w:color="auto"/>
        <w:right w:val="none" w:sz="0" w:space="0" w:color="auto"/>
      </w:divBdr>
    </w:div>
    <w:div w:id="1964458694">
      <w:marLeft w:val="0"/>
      <w:marRight w:val="0"/>
      <w:marTop w:val="0"/>
      <w:marBottom w:val="0"/>
      <w:divBdr>
        <w:top w:val="none" w:sz="0" w:space="0" w:color="auto"/>
        <w:left w:val="none" w:sz="0" w:space="0" w:color="auto"/>
        <w:bottom w:val="none" w:sz="0" w:space="0" w:color="auto"/>
        <w:right w:val="none" w:sz="0" w:space="0" w:color="auto"/>
      </w:divBdr>
    </w:div>
    <w:div w:id="1964458695">
      <w:marLeft w:val="0"/>
      <w:marRight w:val="0"/>
      <w:marTop w:val="0"/>
      <w:marBottom w:val="0"/>
      <w:divBdr>
        <w:top w:val="none" w:sz="0" w:space="0" w:color="auto"/>
        <w:left w:val="none" w:sz="0" w:space="0" w:color="auto"/>
        <w:bottom w:val="none" w:sz="0" w:space="0" w:color="auto"/>
        <w:right w:val="none" w:sz="0" w:space="0" w:color="auto"/>
      </w:divBdr>
    </w:div>
    <w:div w:id="1964458696">
      <w:marLeft w:val="0"/>
      <w:marRight w:val="0"/>
      <w:marTop w:val="0"/>
      <w:marBottom w:val="0"/>
      <w:divBdr>
        <w:top w:val="none" w:sz="0" w:space="0" w:color="auto"/>
        <w:left w:val="none" w:sz="0" w:space="0" w:color="auto"/>
        <w:bottom w:val="none" w:sz="0" w:space="0" w:color="auto"/>
        <w:right w:val="none" w:sz="0" w:space="0" w:color="auto"/>
      </w:divBdr>
    </w:div>
    <w:div w:id="1964458697">
      <w:marLeft w:val="0"/>
      <w:marRight w:val="0"/>
      <w:marTop w:val="0"/>
      <w:marBottom w:val="0"/>
      <w:divBdr>
        <w:top w:val="none" w:sz="0" w:space="0" w:color="auto"/>
        <w:left w:val="none" w:sz="0" w:space="0" w:color="auto"/>
        <w:bottom w:val="none" w:sz="0" w:space="0" w:color="auto"/>
        <w:right w:val="none" w:sz="0" w:space="0" w:color="auto"/>
      </w:divBdr>
    </w:div>
    <w:div w:id="1964458701">
      <w:marLeft w:val="0"/>
      <w:marRight w:val="0"/>
      <w:marTop w:val="0"/>
      <w:marBottom w:val="0"/>
      <w:divBdr>
        <w:top w:val="none" w:sz="0" w:space="0" w:color="auto"/>
        <w:left w:val="none" w:sz="0" w:space="0" w:color="auto"/>
        <w:bottom w:val="none" w:sz="0" w:space="0" w:color="auto"/>
        <w:right w:val="none" w:sz="0" w:space="0" w:color="auto"/>
      </w:divBdr>
    </w:div>
    <w:div w:id="1964458702">
      <w:marLeft w:val="0"/>
      <w:marRight w:val="0"/>
      <w:marTop w:val="0"/>
      <w:marBottom w:val="0"/>
      <w:divBdr>
        <w:top w:val="none" w:sz="0" w:space="0" w:color="auto"/>
        <w:left w:val="none" w:sz="0" w:space="0" w:color="auto"/>
        <w:bottom w:val="none" w:sz="0" w:space="0" w:color="auto"/>
        <w:right w:val="none" w:sz="0" w:space="0" w:color="auto"/>
      </w:divBdr>
      <w:divsChild>
        <w:div w:id="1964458559">
          <w:marLeft w:val="835"/>
          <w:marRight w:val="0"/>
          <w:marTop w:val="60"/>
          <w:marBottom w:val="60"/>
          <w:divBdr>
            <w:top w:val="none" w:sz="0" w:space="0" w:color="auto"/>
            <w:left w:val="none" w:sz="0" w:space="0" w:color="auto"/>
            <w:bottom w:val="none" w:sz="0" w:space="0" w:color="auto"/>
            <w:right w:val="none" w:sz="0" w:space="0" w:color="auto"/>
          </w:divBdr>
        </w:div>
        <w:div w:id="1964458565">
          <w:marLeft w:val="835"/>
          <w:marRight w:val="0"/>
          <w:marTop w:val="60"/>
          <w:marBottom w:val="60"/>
          <w:divBdr>
            <w:top w:val="none" w:sz="0" w:space="0" w:color="auto"/>
            <w:left w:val="none" w:sz="0" w:space="0" w:color="auto"/>
            <w:bottom w:val="none" w:sz="0" w:space="0" w:color="auto"/>
            <w:right w:val="none" w:sz="0" w:space="0" w:color="auto"/>
          </w:divBdr>
        </w:div>
        <w:div w:id="1964458600">
          <w:marLeft w:val="835"/>
          <w:marRight w:val="0"/>
          <w:marTop w:val="60"/>
          <w:marBottom w:val="60"/>
          <w:divBdr>
            <w:top w:val="none" w:sz="0" w:space="0" w:color="auto"/>
            <w:left w:val="none" w:sz="0" w:space="0" w:color="auto"/>
            <w:bottom w:val="none" w:sz="0" w:space="0" w:color="auto"/>
            <w:right w:val="none" w:sz="0" w:space="0" w:color="auto"/>
          </w:divBdr>
        </w:div>
        <w:div w:id="1964458718">
          <w:marLeft w:val="835"/>
          <w:marRight w:val="0"/>
          <w:marTop w:val="60"/>
          <w:marBottom w:val="60"/>
          <w:divBdr>
            <w:top w:val="none" w:sz="0" w:space="0" w:color="auto"/>
            <w:left w:val="none" w:sz="0" w:space="0" w:color="auto"/>
            <w:bottom w:val="none" w:sz="0" w:space="0" w:color="auto"/>
            <w:right w:val="none" w:sz="0" w:space="0" w:color="auto"/>
          </w:divBdr>
        </w:div>
        <w:div w:id="1964458731">
          <w:marLeft w:val="835"/>
          <w:marRight w:val="0"/>
          <w:marTop w:val="60"/>
          <w:marBottom w:val="60"/>
          <w:divBdr>
            <w:top w:val="none" w:sz="0" w:space="0" w:color="auto"/>
            <w:left w:val="none" w:sz="0" w:space="0" w:color="auto"/>
            <w:bottom w:val="none" w:sz="0" w:space="0" w:color="auto"/>
            <w:right w:val="none" w:sz="0" w:space="0" w:color="auto"/>
          </w:divBdr>
        </w:div>
        <w:div w:id="1964458764">
          <w:marLeft w:val="835"/>
          <w:marRight w:val="0"/>
          <w:marTop w:val="60"/>
          <w:marBottom w:val="60"/>
          <w:divBdr>
            <w:top w:val="none" w:sz="0" w:space="0" w:color="auto"/>
            <w:left w:val="none" w:sz="0" w:space="0" w:color="auto"/>
            <w:bottom w:val="none" w:sz="0" w:space="0" w:color="auto"/>
            <w:right w:val="none" w:sz="0" w:space="0" w:color="auto"/>
          </w:divBdr>
        </w:div>
        <w:div w:id="1964458780">
          <w:marLeft w:val="835"/>
          <w:marRight w:val="0"/>
          <w:marTop w:val="60"/>
          <w:marBottom w:val="60"/>
          <w:divBdr>
            <w:top w:val="none" w:sz="0" w:space="0" w:color="auto"/>
            <w:left w:val="none" w:sz="0" w:space="0" w:color="auto"/>
            <w:bottom w:val="none" w:sz="0" w:space="0" w:color="auto"/>
            <w:right w:val="none" w:sz="0" w:space="0" w:color="auto"/>
          </w:divBdr>
        </w:div>
      </w:divsChild>
    </w:div>
    <w:div w:id="1964458703">
      <w:marLeft w:val="0"/>
      <w:marRight w:val="0"/>
      <w:marTop w:val="0"/>
      <w:marBottom w:val="0"/>
      <w:divBdr>
        <w:top w:val="none" w:sz="0" w:space="0" w:color="auto"/>
        <w:left w:val="none" w:sz="0" w:space="0" w:color="auto"/>
        <w:bottom w:val="none" w:sz="0" w:space="0" w:color="auto"/>
        <w:right w:val="none" w:sz="0" w:space="0" w:color="auto"/>
      </w:divBdr>
      <w:divsChild>
        <w:div w:id="1964458589">
          <w:marLeft w:val="1800"/>
          <w:marRight w:val="0"/>
          <w:marTop w:val="96"/>
          <w:marBottom w:val="0"/>
          <w:divBdr>
            <w:top w:val="none" w:sz="0" w:space="0" w:color="auto"/>
            <w:left w:val="none" w:sz="0" w:space="0" w:color="auto"/>
            <w:bottom w:val="none" w:sz="0" w:space="0" w:color="auto"/>
            <w:right w:val="none" w:sz="0" w:space="0" w:color="auto"/>
          </w:divBdr>
        </w:div>
        <w:div w:id="1964458607">
          <w:marLeft w:val="1800"/>
          <w:marRight w:val="0"/>
          <w:marTop w:val="96"/>
          <w:marBottom w:val="0"/>
          <w:divBdr>
            <w:top w:val="none" w:sz="0" w:space="0" w:color="auto"/>
            <w:left w:val="none" w:sz="0" w:space="0" w:color="auto"/>
            <w:bottom w:val="none" w:sz="0" w:space="0" w:color="auto"/>
            <w:right w:val="none" w:sz="0" w:space="0" w:color="auto"/>
          </w:divBdr>
        </w:div>
        <w:div w:id="1964458609">
          <w:marLeft w:val="1800"/>
          <w:marRight w:val="0"/>
          <w:marTop w:val="96"/>
          <w:marBottom w:val="0"/>
          <w:divBdr>
            <w:top w:val="none" w:sz="0" w:space="0" w:color="auto"/>
            <w:left w:val="none" w:sz="0" w:space="0" w:color="auto"/>
            <w:bottom w:val="none" w:sz="0" w:space="0" w:color="auto"/>
            <w:right w:val="none" w:sz="0" w:space="0" w:color="auto"/>
          </w:divBdr>
        </w:div>
        <w:div w:id="1964458756">
          <w:marLeft w:val="1800"/>
          <w:marRight w:val="0"/>
          <w:marTop w:val="96"/>
          <w:marBottom w:val="0"/>
          <w:divBdr>
            <w:top w:val="none" w:sz="0" w:space="0" w:color="auto"/>
            <w:left w:val="none" w:sz="0" w:space="0" w:color="auto"/>
            <w:bottom w:val="none" w:sz="0" w:space="0" w:color="auto"/>
            <w:right w:val="none" w:sz="0" w:space="0" w:color="auto"/>
          </w:divBdr>
        </w:div>
        <w:div w:id="1964458760">
          <w:marLeft w:val="1800"/>
          <w:marRight w:val="0"/>
          <w:marTop w:val="96"/>
          <w:marBottom w:val="0"/>
          <w:divBdr>
            <w:top w:val="none" w:sz="0" w:space="0" w:color="auto"/>
            <w:left w:val="none" w:sz="0" w:space="0" w:color="auto"/>
            <w:bottom w:val="none" w:sz="0" w:space="0" w:color="auto"/>
            <w:right w:val="none" w:sz="0" w:space="0" w:color="auto"/>
          </w:divBdr>
        </w:div>
        <w:div w:id="1964458773">
          <w:marLeft w:val="1800"/>
          <w:marRight w:val="0"/>
          <w:marTop w:val="96"/>
          <w:marBottom w:val="0"/>
          <w:divBdr>
            <w:top w:val="none" w:sz="0" w:space="0" w:color="auto"/>
            <w:left w:val="none" w:sz="0" w:space="0" w:color="auto"/>
            <w:bottom w:val="none" w:sz="0" w:space="0" w:color="auto"/>
            <w:right w:val="none" w:sz="0" w:space="0" w:color="auto"/>
          </w:divBdr>
        </w:div>
      </w:divsChild>
    </w:div>
    <w:div w:id="1964458709">
      <w:marLeft w:val="0"/>
      <w:marRight w:val="0"/>
      <w:marTop w:val="0"/>
      <w:marBottom w:val="0"/>
      <w:divBdr>
        <w:top w:val="none" w:sz="0" w:space="0" w:color="auto"/>
        <w:left w:val="none" w:sz="0" w:space="0" w:color="auto"/>
        <w:bottom w:val="none" w:sz="0" w:space="0" w:color="auto"/>
        <w:right w:val="none" w:sz="0" w:space="0" w:color="auto"/>
      </w:divBdr>
    </w:div>
    <w:div w:id="1964458710">
      <w:marLeft w:val="0"/>
      <w:marRight w:val="0"/>
      <w:marTop w:val="0"/>
      <w:marBottom w:val="0"/>
      <w:divBdr>
        <w:top w:val="none" w:sz="0" w:space="0" w:color="auto"/>
        <w:left w:val="none" w:sz="0" w:space="0" w:color="auto"/>
        <w:bottom w:val="none" w:sz="0" w:space="0" w:color="auto"/>
        <w:right w:val="none" w:sz="0" w:space="0" w:color="auto"/>
      </w:divBdr>
    </w:div>
    <w:div w:id="1964458711">
      <w:marLeft w:val="0"/>
      <w:marRight w:val="0"/>
      <w:marTop w:val="0"/>
      <w:marBottom w:val="0"/>
      <w:divBdr>
        <w:top w:val="none" w:sz="0" w:space="0" w:color="auto"/>
        <w:left w:val="none" w:sz="0" w:space="0" w:color="auto"/>
        <w:bottom w:val="none" w:sz="0" w:space="0" w:color="auto"/>
        <w:right w:val="none" w:sz="0" w:space="0" w:color="auto"/>
      </w:divBdr>
    </w:div>
    <w:div w:id="1964458712">
      <w:marLeft w:val="0"/>
      <w:marRight w:val="0"/>
      <w:marTop w:val="0"/>
      <w:marBottom w:val="0"/>
      <w:divBdr>
        <w:top w:val="none" w:sz="0" w:space="0" w:color="auto"/>
        <w:left w:val="none" w:sz="0" w:space="0" w:color="auto"/>
        <w:bottom w:val="none" w:sz="0" w:space="0" w:color="auto"/>
        <w:right w:val="none" w:sz="0" w:space="0" w:color="auto"/>
      </w:divBdr>
    </w:div>
    <w:div w:id="1964458719">
      <w:marLeft w:val="0"/>
      <w:marRight w:val="0"/>
      <w:marTop w:val="0"/>
      <w:marBottom w:val="0"/>
      <w:divBdr>
        <w:top w:val="none" w:sz="0" w:space="0" w:color="auto"/>
        <w:left w:val="none" w:sz="0" w:space="0" w:color="auto"/>
        <w:bottom w:val="none" w:sz="0" w:space="0" w:color="auto"/>
        <w:right w:val="none" w:sz="0" w:space="0" w:color="auto"/>
      </w:divBdr>
    </w:div>
    <w:div w:id="1964458720">
      <w:marLeft w:val="0"/>
      <w:marRight w:val="0"/>
      <w:marTop w:val="0"/>
      <w:marBottom w:val="0"/>
      <w:divBdr>
        <w:top w:val="none" w:sz="0" w:space="0" w:color="auto"/>
        <w:left w:val="none" w:sz="0" w:space="0" w:color="auto"/>
        <w:bottom w:val="none" w:sz="0" w:space="0" w:color="auto"/>
        <w:right w:val="none" w:sz="0" w:space="0" w:color="auto"/>
      </w:divBdr>
    </w:div>
    <w:div w:id="1964458723">
      <w:marLeft w:val="0"/>
      <w:marRight w:val="0"/>
      <w:marTop w:val="0"/>
      <w:marBottom w:val="0"/>
      <w:divBdr>
        <w:top w:val="none" w:sz="0" w:space="0" w:color="auto"/>
        <w:left w:val="none" w:sz="0" w:space="0" w:color="auto"/>
        <w:bottom w:val="none" w:sz="0" w:space="0" w:color="auto"/>
        <w:right w:val="none" w:sz="0" w:space="0" w:color="auto"/>
      </w:divBdr>
    </w:div>
    <w:div w:id="1964458729">
      <w:marLeft w:val="0"/>
      <w:marRight w:val="0"/>
      <w:marTop w:val="0"/>
      <w:marBottom w:val="0"/>
      <w:divBdr>
        <w:top w:val="none" w:sz="0" w:space="0" w:color="auto"/>
        <w:left w:val="none" w:sz="0" w:space="0" w:color="auto"/>
        <w:bottom w:val="none" w:sz="0" w:space="0" w:color="auto"/>
        <w:right w:val="none" w:sz="0" w:space="0" w:color="auto"/>
      </w:divBdr>
      <w:divsChild>
        <w:div w:id="1964458574">
          <w:marLeft w:val="994"/>
          <w:marRight w:val="0"/>
          <w:marTop w:val="0"/>
          <w:marBottom w:val="0"/>
          <w:divBdr>
            <w:top w:val="none" w:sz="0" w:space="0" w:color="auto"/>
            <w:left w:val="none" w:sz="0" w:space="0" w:color="auto"/>
            <w:bottom w:val="none" w:sz="0" w:space="0" w:color="auto"/>
            <w:right w:val="none" w:sz="0" w:space="0" w:color="auto"/>
          </w:divBdr>
        </w:div>
        <w:div w:id="1964458721">
          <w:marLeft w:val="994"/>
          <w:marRight w:val="0"/>
          <w:marTop w:val="0"/>
          <w:marBottom w:val="0"/>
          <w:divBdr>
            <w:top w:val="none" w:sz="0" w:space="0" w:color="auto"/>
            <w:left w:val="none" w:sz="0" w:space="0" w:color="auto"/>
            <w:bottom w:val="none" w:sz="0" w:space="0" w:color="auto"/>
            <w:right w:val="none" w:sz="0" w:space="0" w:color="auto"/>
          </w:divBdr>
        </w:div>
        <w:div w:id="1964458722">
          <w:marLeft w:val="994"/>
          <w:marRight w:val="0"/>
          <w:marTop w:val="0"/>
          <w:marBottom w:val="0"/>
          <w:divBdr>
            <w:top w:val="none" w:sz="0" w:space="0" w:color="auto"/>
            <w:left w:val="none" w:sz="0" w:space="0" w:color="auto"/>
            <w:bottom w:val="none" w:sz="0" w:space="0" w:color="auto"/>
            <w:right w:val="none" w:sz="0" w:space="0" w:color="auto"/>
          </w:divBdr>
        </w:div>
        <w:div w:id="1964458727">
          <w:marLeft w:val="994"/>
          <w:marRight w:val="0"/>
          <w:marTop w:val="0"/>
          <w:marBottom w:val="0"/>
          <w:divBdr>
            <w:top w:val="none" w:sz="0" w:space="0" w:color="auto"/>
            <w:left w:val="none" w:sz="0" w:space="0" w:color="auto"/>
            <w:bottom w:val="none" w:sz="0" w:space="0" w:color="auto"/>
            <w:right w:val="none" w:sz="0" w:space="0" w:color="auto"/>
          </w:divBdr>
        </w:div>
        <w:div w:id="1964458741">
          <w:marLeft w:val="994"/>
          <w:marRight w:val="0"/>
          <w:marTop w:val="0"/>
          <w:marBottom w:val="0"/>
          <w:divBdr>
            <w:top w:val="none" w:sz="0" w:space="0" w:color="auto"/>
            <w:left w:val="none" w:sz="0" w:space="0" w:color="auto"/>
            <w:bottom w:val="none" w:sz="0" w:space="0" w:color="auto"/>
            <w:right w:val="none" w:sz="0" w:space="0" w:color="auto"/>
          </w:divBdr>
        </w:div>
        <w:div w:id="1964458783">
          <w:marLeft w:val="274"/>
          <w:marRight w:val="0"/>
          <w:marTop w:val="0"/>
          <w:marBottom w:val="0"/>
          <w:divBdr>
            <w:top w:val="none" w:sz="0" w:space="0" w:color="auto"/>
            <w:left w:val="none" w:sz="0" w:space="0" w:color="auto"/>
            <w:bottom w:val="none" w:sz="0" w:space="0" w:color="auto"/>
            <w:right w:val="none" w:sz="0" w:space="0" w:color="auto"/>
          </w:divBdr>
        </w:div>
        <w:div w:id="1964458786">
          <w:marLeft w:val="274"/>
          <w:marRight w:val="0"/>
          <w:marTop w:val="0"/>
          <w:marBottom w:val="0"/>
          <w:divBdr>
            <w:top w:val="none" w:sz="0" w:space="0" w:color="auto"/>
            <w:left w:val="none" w:sz="0" w:space="0" w:color="auto"/>
            <w:bottom w:val="none" w:sz="0" w:space="0" w:color="auto"/>
            <w:right w:val="none" w:sz="0" w:space="0" w:color="auto"/>
          </w:divBdr>
        </w:div>
      </w:divsChild>
    </w:div>
    <w:div w:id="1964458730">
      <w:marLeft w:val="0"/>
      <w:marRight w:val="0"/>
      <w:marTop w:val="0"/>
      <w:marBottom w:val="0"/>
      <w:divBdr>
        <w:top w:val="none" w:sz="0" w:space="0" w:color="auto"/>
        <w:left w:val="none" w:sz="0" w:space="0" w:color="auto"/>
        <w:bottom w:val="none" w:sz="0" w:space="0" w:color="auto"/>
        <w:right w:val="none" w:sz="0" w:space="0" w:color="auto"/>
      </w:divBdr>
    </w:div>
    <w:div w:id="1964458732">
      <w:marLeft w:val="0"/>
      <w:marRight w:val="0"/>
      <w:marTop w:val="0"/>
      <w:marBottom w:val="0"/>
      <w:divBdr>
        <w:top w:val="none" w:sz="0" w:space="0" w:color="auto"/>
        <w:left w:val="none" w:sz="0" w:space="0" w:color="auto"/>
        <w:bottom w:val="none" w:sz="0" w:space="0" w:color="auto"/>
        <w:right w:val="none" w:sz="0" w:space="0" w:color="auto"/>
      </w:divBdr>
      <w:divsChild>
        <w:div w:id="1964458556">
          <w:marLeft w:val="979"/>
          <w:marRight w:val="0"/>
          <w:marTop w:val="77"/>
          <w:marBottom w:val="0"/>
          <w:divBdr>
            <w:top w:val="none" w:sz="0" w:space="0" w:color="auto"/>
            <w:left w:val="none" w:sz="0" w:space="0" w:color="auto"/>
            <w:bottom w:val="none" w:sz="0" w:space="0" w:color="auto"/>
            <w:right w:val="none" w:sz="0" w:space="0" w:color="auto"/>
          </w:divBdr>
        </w:div>
        <w:div w:id="1964458614">
          <w:marLeft w:val="979"/>
          <w:marRight w:val="0"/>
          <w:marTop w:val="77"/>
          <w:marBottom w:val="0"/>
          <w:divBdr>
            <w:top w:val="none" w:sz="0" w:space="0" w:color="auto"/>
            <w:left w:val="none" w:sz="0" w:space="0" w:color="auto"/>
            <w:bottom w:val="none" w:sz="0" w:space="0" w:color="auto"/>
            <w:right w:val="none" w:sz="0" w:space="0" w:color="auto"/>
          </w:divBdr>
        </w:div>
        <w:div w:id="1964458626">
          <w:marLeft w:val="288"/>
          <w:marRight w:val="0"/>
          <w:marTop w:val="160"/>
          <w:marBottom w:val="0"/>
          <w:divBdr>
            <w:top w:val="none" w:sz="0" w:space="0" w:color="auto"/>
            <w:left w:val="none" w:sz="0" w:space="0" w:color="auto"/>
            <w:bottom w:val="none" w:sz="0" w:space="0" w:color="auto"/>
            <w:right w:val="none" w:sz="0" w:space="0" w:color="auto"/>
          </w:divBdr>
        </w:div>
        <w:div w:id="1964458638">
          <w:marLeft w:val="288"/>
          <w:marRight w:val="0"/>
          <w:marTop w:val="160"/>
          <w:marBottom w:val="0"/>
          <w:divBdr>
            <w:top w:val="none" w:sz="0" w:space="0" w:color="auto"/>
            <w:left w:val="none" w:sz="0" w:space="0" w:color="auto"/>
            <w:bottom w:val="none" w:sz="0" w:space="0" w:color="auto"/>
            <w:right w:val="none" w:sz="0" w:space="0" w:color="auto"/>
          </w:divBdr>
        </w:div>
        <w:div w:id="1964458654">
          <w:marLeft w:val="979"/>
          <w:marRight w:val="0"/>
          <w:marTop w:val="77"/>
          <w:marBottom w:val="0"/>
          <w:divBdr>
            <w:top w:val="none" w:sz="0" w:space="0" w:color="auto"/>
            <w:left w:val="none" w:sz="0" w:space="0" w:color="auto"/>
            <w:bottom w:val="none" w:sz="0" w:space="0" w:color="auto"/>
            <w:right w:val="none" w:sz="0" w:space="0" w:color="auto"/>
          </w:divBdr>
        </w:div>
        <w:div w:id="1964458655">
          <w:marLeft w:val="979"/>
          <w:marRight w:val="0"/>
          <w:marTop w:val="77"/>
          <w:marBottom w:val="0"/>
          <w:divBdr>
            <w:top w:val="none" w:sz="0" w:space="0" w:color="auto"/>
            <w:left w:val="none" w:sz="0" w:space="0" w:color="auto"/>
            <w:bottom w:val="none" w:sz="0" w:space="0" w:color="auto"/>
            <w:right w:val="none" w:sz="0" w:space="0" w:color="auto"/>
          </w:divBdr>
        </w:div>
        <w:div w:id="1964458658">
          <w:marLeft w:val="979"/>
          <w:marRight w:val="0"/>
          <w:marTop w:val="77"/>
          <w:marBottom w:val="0"/>
          <w:divBdr>
            <w:top w:val="none" w:sz="0" w:space="0" w:color="auto"/>
            <w:left w:val="none" w:sz="0" w:space="0" w:color="auto"/>
            <w:bottom w:val="none" w:sz="0" w:space="0" w:color="auto"/>
            <w:right w:val="none" w:sz="0" w:space="0" w:color="auto"/>
          </w:divBdr>
        </w:div>
        <w:div w:id="1964458659">
          <w:marLeft w:val="288"/>
          <w:marRight w:val="0"/>
          <w:marTop w:val="160"/>
          <w:marBottom w:val="0"/>
          <w:divBdr>
            <w:top w:val="none" w:sz="0" w:space="0" w:color="auto"/>
            <w:left w:val="none" w:sz="0" w:space="0" w:color="auto"/>
            <w:bottom w:val="none" w:sz="0" w:space="0" w:color="auto"/>
            <w:right w:val="none" w:sz="0" w:space="0" w:color="auto"/>
          </w:divBdr>
        </w:div>
        <w:div w:id="1964458674">
          <w:marLeft w:val="979"/>
          <w:marRight w:val="0"/>
          <w:marTop w:val="77"/>
          <w:marBottom w:val="0"/>
          <w:divBdr>
            <w:top w:val="none" w:sz="0" w:space="0" w:color="auto"/>
            <w:left w:val="none" w:sz="0" w:space="0" w:color="auto"/>
            <w:bottom w:val="none" w:sz="0" w:space="0" w:color="auto"/>
            <w:right w:val="none" w:sz="0" w:space="0" w:color="auto"/>
          </w:divBdr>
        </w:div>
        <w:div w:id="1964458688">
          <w:marLeft w:val="288"/>
          <w:marRight w:val="0"/>
          <w:marTop w:val="86"/>
          <w:marBottom w:val="0"/>
          <w:divBdr>
            <w:top w:val="none" w:sz="0" w:space="0" w:color="auto"/>
            <w:left w:val="none" w:sz="0" w:space="0" w:color="auto"/>
            <w:bottom w:val="none" w:sz="0" w:space="0" w:color="auto"/>
            <w:right w:val="none" w:sz="0" w:space="0" w:color="auto"/>
          </w:divBdr>
        </w:div>
        <w:div w:id="1964458728">
          <w:marLeft w:val="979"/>
          <w:marRight w:val="0"/>
          <w:marTop w:val="77"/>
          <w:marBottom w:val="0"/>
          <w:divBdr>
            <w:top w:val="none" w:sz="0" w:space="0" w:color="auto"/>
            <w:left w:val="none" w:sz="0" w:space="0" w:color="auto"/>
            <w:bottom w:val="none" w:sz="0" w:space="0" w:color="auto"/>
            <w:right w:val="none" w:sz="0" w:space="0" w:color="auto"/>
          </w:divBdr>
        </w:div>
        <w:div w:id="1964458753">
          <w:marLeft w:val="979"/>
          <w:marRight w:val="0"/>
          <w:marTop w:val="77"/>
          <w:marBottom w:val="0"/>
          <w:divBdr>
            <w:top w:val="none" w:sz="0" w:space="0" w:color="auto"/>
            <w:left w:val="none" w:sz="0" w:space="0" w:color="auto"/>
            <w:bottom w:val="none" w:sz="0" w:space="0" w:color="auto"/>
            <w:right w:val="none" w:sz="0" w:space="0" w:color="auto"/>
          </w:divBdr>
        </w:div>
        <w:div w:id="1964458768">
          <w:marLeft w:val="288"/>
          <w:marRight w:val="0"/>
          <w:marTop w:val="160"/>
          <w:marBottom w:val="0"/>
          <w:divBdr>
            <w:top w:val="none" w:sz="0" w:space="0" w:color="auto"/>
            <w:left w:val="none" w:sz="0" w:space="0" w:color="auto"/>
            <w:bottom w:val="none" w:sz="0" w:space="0" w:color="auto"/>
            <w:right w:val="none" w:sz="0" w:space="0" w:color="auto"/>
          </w:divBdr>
        </w:div>
        <w:div w:id="1964458769">
          <w:marLeft w:val="288"/>
          <w:marRight w:val="0"/>
          <w:marTop w:val="160"/>
          <w:marBottom w:val="0"/>
          <w:divBdr>
            <w:top w:val="none" w:sz="0" w:space="0" w:color="auto"/>
            <w:left w:val="none" w:sz="0" w:space="0" w:color="auto"/>
            <w:bottom w:val="none" w:sz="0" w:space="0" w:color="auto"/>
            <w:right w:val="none" w:sz="0" w:space="0" w:color="auto"/>
          </w:divBdr>
        </w:div>
      </w:divsChild>
    </w:div>
    <w:div w:id="1964458738">
      <w:marLeft w:val="0"/>
      <w:marRight w:val="0"/>
      <w:marTop w:val="0"/>
      <w:marBottom w:val="0"/>
      <w:divBdr>
        <w:top w:val="none" w:sz="0" w:space="0" w:color="auto"/>
        <w:left w:val="none" w:sz="0" w:space="0" w:color="auto"/>
        <w:bottom w:val="none" w:sz="0" w:space="0" w:color="auto"/>
        <w:right w:val="none" w:sz="0" w:space="0" w:color="auto"/>
      </w:divBdr>
    </w:div>
    <w:div w:id="1964458739">
      <w:marLeft w:val="0"/>
      <w:marRight w:val="0"/>
      <w:marTop w:val="0"/>
      <w:marBottom w:val="0"/>
      <w:divBdr>
        <w:top w:val="none" w:sz="0" w:space="0" w:color="auto"/>
        <w:left w:val="none" w:sz="0" w:space="0" w:color="auto"/>
        <w:bottom w:val="none" w:sz="0" w:space="0" w:color="auto"/>
        <w:right w:val="none" w:sz="0" w:space="0" w:color="auto"/>
      </w:divBdr>
    </w:div>
    <w:div w:id="1964458740">
      <w:marLeft w:val="0"/>
      <w:marRight w:val="0"/>
      <w:marTop w:val="0"/>
      <w:marBottom w:val="0"/>
      <w:divBdr>
        <w:top w:val="none" w:sz="0" w:space="0" w:color="auto"/>
        <w:left w:val="none" w:sz="0" w:space="0" w:color="auto"/>
        <w:bottom w:val="none" w:sz="0" w:space="0" w:color="auto"/>
        <w:right w:val="none" w:sz="0" w:space="0" w:color="auto"/>
      </w:divBdr>
      <w:divsChild>
        <w:div w:id="1964458576">
          <w:marLeft w:val="994"/>
          <w:marRight w:val="0"/>
          <w:marTop w:val="0"/>
          <w:marBottom w:val="0"/>
          <w:divBdr>
            <w:top w:val="none" w:sz="0" w:space="0" w:color="auto"/>
            <w:left w:val="none" w:sz="0" w:space="0" w:color="auto"/>
            <w:bottom w:val="none" w:sz="0" w:space="0" w:color="auto"/>
            <w:right w:val="none" w:sz="0" w:space="0" w:color="auto"/>
          </w:divBdr>
        </w:div>
        <w:div w:id="1964458679">
          <w:marLeft w:val="994"/>
          <w:marRight w:val="0"/>
          <w:marTop w:val="0"/>
          <w:marBottom w:val="0"/>
          <w:divBdr>
            <w:top w:val="none" w:sz="0" w:space="0" w:color="auto"/>
            <w:left w:val="none" w:sz="0" w:space="0" w:color="auto"/>
            <w:bottom w:val="none" w:sz="0" w:space="0" w:color="auto"/>
            <w:right w:val="none" w:sz="0" w:space="0" w:color="auto"/>
          </w:divBdr>
        </w:div>
        <w:div w:id="1964458686">
          <w:marLeft w:val="994"/>
          <w:marRight w:val="0"/>
          <w:marTop w:val="0"/>
          <w:marBottom w:val="0"/>
          <w:divBdr>
            <w:top w:val="none" w:sz="0" w:space="0" w:color="auto"/>
            <w:left w:val="none" w:sz="0" w:space="0" w:color="auto"/>
            <w:bottom w:val="none" w:sz="0" w:space="0" w:color="auto"/>
            <w:right w:val="none" w:sz="0" w:space="0" w:color="auto"/>
          </w:divBdr>
        </w:div>
        <w:div w:id="1964458735">
          <w:marLeft w:val="994"/>
          <w:marRight w:val="0"/>
          <w:marTop w:val="0"/>
          <w:marBottom w:val="0"/>
          <w:divBdr>
            <w:top w:val="none" w:sz="0" w:space="0" w:color="auto"/>
            <w:left w:val="none" w:sz="0" w:space="0" w:color="auto"/>
            <w:bottom w:val="none" w:sz="0" w:space="0" w:color="auto"/>
            <w:right w:val="none" w:sz="0" w:space="0" w:color="auto"/>
          </w:divBdr>
        </w:div>
        <w:div w:id="1964458761">
          <w:marLeft w:val="994"/>
          <w:marRight w:val="0"/>
          <w:marTop w:val="0"/>
          <w:marBottom w:val="0"/>
          <w:divBdr>
            <w:top w:val="none" w:sz="0" w:space="0" w:color="auto"/>
            <w:left w:val="none" w:sz="0" w:space="0" w:color="auto"/>
            <w:bottom w:val="none" w:sz="0" w:space="0" w:color="auto"/>
            <w:right w:val="none" w:sz="0" w:space="0" w:color="auto"/>
          </w:divBdr>
        </w:div>
      </w:divsChild>
    </w:div>
    <w:div w:id="1964458742">
      <w:marLeft w:val="0"/>
      <w:marRight w:val="0"/>
      <w:marTop w:val="0"/>
      <w:marBottom w:val="0"/>
      <w:divBdr>
        <w:top w:val="none" w:sz="0" w:space="0" w:color="auto"/>
        <w:left w:val="none" w:sz="0" w:space="0" w:color="auto"/>
        <w:bottom w:val="none" w:sz="0" w:space="0" w:color="auto"/>
        <w:right w:val="none" w:sz="0" w:space="0" w:color="auto"/>
      </w:divBdr>
    </w:div>
    <w:div w:id="1964458744">
      <w:marLeft w:val="0"/>
      <w:marRight w:val="0"/>
      <w:marTop w:val="0"/>
      <w:marBottom w:val="0"/>
      <w:divBdr>
        <w:top w:val="none" w:sz="0" w:space="0" w:color="auto"/>
        <w:left w:val="none" w:sz="0" w:space="0" w:color="auto"/>
        <w:bottom w:val="none" w:sz="0" w:space="0" w:color="auto"/>
        <w:right w:val="none" w:sz="0" w:space="0" w:color="auto"/>
      </w:divBdr>
    </w:div>
    <w:div w:id="1964458745">
      <w:marLeft w:val="0"/>
      <w:marRight w:val="0"/>
      <w:marTop w:val="0"/>
      <w:marBottom w:val="0"/>
      <w:divBdr>
        <w:top w:val="none" w:sz="0" w:space="0" w:color="auto"/>
        <w:left w:val="none" w:sz="0" w:space="0" w:color="auto"/>
        <w:bottom w:val="none" w:sz="0" w:space="0" w:color="auto"/>
        <w:right w:val="none" w:sz="0" w:space="0" w:color="auto"/>
      </w:divBdr>
    </w:div>
    <w:div w:id="1964458746">
      <w:marLeft w:val="0"/>
      <w:marRight w:val="0"/>
      <w:marTop w:val="0"/>
      <w:marBottom w:val="0"/>
      <w:divBdr>
        <w:top w:val="none" w:sz="0" w:space="0" w:color="auto"/>
        <w:left w:val="none" w:sz="0" w:space="0" w:color="auto"/>
        <w:bottom w:val="none" w:sz="0" w:space="0" w:color="auto"/>
        <w:right w:val="none" w:sz="0" w:space="0" w:color="auto"/>
      </w:divBdr>
    </w:div>
    <w:div w:id="1964458750">
      <w:marLeft w:val="0"/>
      <w:marRight w:val="0"/>
      <w:marTop w:val="0"/>
      <w:marBottom w:val="0"/>
      <w:divBdr>
        <w:top w:val="none" w:sz="0" w:space="0" w:color="auto"/>
        <w:left w:val="none" w:sz="0" w:space="0" w:color="auto"/>
        <w:bottom w:val="none" w:sz="0" w:space="0" w:color="auto"/>
        <w:right w:val="none" w:sz="0" w:space="0" w:color="auto"/>
      </w:divBdr>
    </w:div>
    <w:div w:id="1964458754">
      <w:marLeft w:val="0"/>
      <w:marRight w:val="0"/>
      <w:marTop w:val="0"/>
      <w:marBottom w:val="0"/>
      <w:divBdr>
        <w:top w:val="none" w:sz="0" w:space="0" w:color="auto"/>
        <w:left w:val="none" w:sz="0" w:space="0" w:color="auto"/>
        <w:bottom w:val="none" w:sz="0" w:space="0" w:color="auto"/>
        <w:right w:val="none" w:sz="0" w:space="0" w:color="auto"/>
      </w:divBdr>
    </w:div>
    <w:div w:id="1964458757">
      <w:marLeft w:val="0"/>
      <w:marRight w:val="0"/>
      <w:marTop w:val="0"/>
      <w:marBottom w:val="0"/>
      <w:divBdr>
        <w:top w:val="none" w:sz="0" w:space="0" w:color="auto"/>
        <w:left w:val="none" w:sz="0" w:space="0" w:color="auto"/>
        <w:bottom w:val="none" w:sz="0" w:space="0" w:color="auto"/>
        <w:right w:val="none" w:sz="0" w:space="0" w:color="auto"/>
      </w:divBdr>
      <w:divsChild>
        <w:div w:id="1964458553">
          <w:marLeft w:val="1166"/>
          <w:marRight w:val="0"/>
          <w:marTop w:val="67"/>
          <w:marBottom w:val="0"/>
          <w:divBdr>
            <w:top w:val="none" w:sz="0" w:space="0" w:color="auto"/>
            <w:left w:val="none" w:sz="0" w:space="0" w:color="auto"/>
            <w:bottom w:val="none" w:sz="0" w:space="0" w:color="auto"/>
            <w:right w:val="none" w:sz="0" w:space="0" w:color="auto"/>
          </w:divBdr>
        </w:div>
        <w:div w:id="1964458564">
          <w:marLeft w:val="1800"/>
          <w:marRight w:val="0"/>
          <w:marTop w:val="67"/>
          <w:marBottom w:val="0"/>
          <w:divBdr>
            <w:top w:val="none" w:sz="0" w:space="0" w:color="auto"/>
            <w:left w:val="none" w:sz="0" w:space="0" w:color="auto"/>
            <w:bottom w:val="none" w:sz="0" w:space="0" w:color="auto"/>
            <w:right w:val="none" w:sz="0" w:space="0" w:color="auto"/>
          </w:divBdr>
        </w:div>
        <w:div w:id="1964458580">
          <w:marLeft w:val="547"/>
          <w:marRight w:val="0"/>
          <w:marTop w:val="86"/>
          <w:marBottom w:val="0"/>
          <w:divBdr>
            <w:top w:val="none" w:sz="0" w:space="0" w:color="auto"/>
            <w:left w:val="none" w:sz="0" w:space="0" w:color="auto"/>
            <w:bottom w:val="none" w:sz="0" w:space="0" w:color="auto"/>
            <w:right w:val="none" w:sz="0" w:space="0" w:color="auto"/>
          </w:divBdr>
        </w:div>
        <w:div w:id="1964458661">
          <w:marLeft w:val="1166"/>
          <w:marRight w:val="0"/>
          <w:marTop w:val="67"/>
          <w:marBottom w:val="0"/>
          <w:divBdr>
            <w:top w:val="none" w:sz="0" w:space="0" w:color="auto"/>
            <w:left w:val="none" w:sz="0" w:space="0" w:color="auto"/>
            <w:bottom w:val="none" w:sz="0" w:space="0" w:color="auto"/>
            <w:right w:val="none" w:sz="0" w:space="0" w:color="auto"/>
          </w:divBdr>
        </w:div>
        <w:div w:id="1964458663">
          <w:marLeft w:val="1166"/>
          <w:marRight w:val="0"/>
          <w:marTop w:val="67"/>
          <w:marBottom w:val="0"/>
          <w:divBdr>
            <w:top w:val="none" w:sz="0" w:space="0" w:color="auto"/>
            <w:left w:val="none" w:sz="0" w:space="0" w:color="auto"/>
            <w:bottom w:val="none" w:sz="0" w:space="0" w:color="auto"/>
            <w:right w:val="none" w:sz="0" w:space="0" w:color="auto"/>
          </w:divBdr>
        </w:div>
        <w:div w:id="1964458677">
          <w:marLeft w:val="1800"/>
          <w:marRight w:val="0"/>
          <w:marTop w:val="67"/>
          <w:marBottom w:val="0"/>
          <w:divBdr>
            <w:top w:val="none" w:sz="0" w:space="0" w:color="auto"/>
            <w:left w:val="none" w:sz="0" w:space="0" w:color="auto"/>
            <w:bottom w:val="none" w:sz="0" w:space="0" w:color="auto"/>
            <w:right w:val="none" w:sz="0" w:space="0" w:color="auto"/>
          </w:divBdr>
        </w:div>
        <w:div w:id="1964458707">
          <w:marLeft w:val="1800"/>
          <w:marRight w:val="0"/>
          <w:marTop w:val="67"/>
          <w:marBottom w:val="0"/>
          <w:divBdr>
            <w:top w:val="none" w:sz="0" w:space="0" w:color="auto"/>
            <w:left w:val="none" w:sz="0" w:space="0" w:color="auto"/>
            <w:bottom w:val="none" w:sz="0" w:space="0" w:color="auto"/>
            <w:right w:val="none" w:sz="0" w:space="0" w:color="auto"/>
          </w:divBdr>
        </w:div>
        <w:div w:id="1964458713">
          <w:marLeft w:val="1166"/>
          <w:marRight w:val="0"/>
          <w:marTop w:val="67"/>
          <w:marBottom w:val="0"/>
          <w:divBdr>
            <w:top w:val="none" w:sz="0" w:space="0" w:color="auto"/>
            <w:left w:val="none" w:sz="0" w:space="0" w:color="auto"/>
            <w:bottom w:val="none" w:sz="0" w:space="0" w:color="auto"/>
            <w:right w:val="none" w:sz="0" w:space="0" w:color="auto"/>
          </w:divBdr>
        </w:div>
        <w:div w:id="1964458715">
          <w:marLeft w:val="1800"/>
          <w:marRight w:val="0"/>
          <w:marTop w:val="67"/>
          <w:marBottom w:val="0"/>
          <w:divBdr>
            <w:top w:val="none" w:sz="0" w:space="0" w:color="auto"/>
            <w:left w:val="none" w:sz="0" w:space="0" w:color="auto"/>
            <w:bottom w:val="none" w:sz="0" w:space="0" w:color="auto"/>
            <w:right w:val="none" w:sz="0" w:space="0" w:color="auto"/>
          </w:divBdr>
        </w:div>
        <w:div w:id="1964458725">
          <w:marLeft w:val="547"/>
          <w:marRight w:val="0"/>
          <w:marTop w:val="86"/>
          <w:marBottom w:val="0"/>
          <w:divBdr>
            <w:top w:val="none" w:sz="0" w:space="0" w:color="auto"/>
            <w:left w:val="none" w:sz="0" w:space="0" w:color="auto"/>
            <w:bottom w:val="none" w:sz="0" w:space="0" w:color="auto"/>
            <w:right w:val="none" w:sz="0" w:space="0" w:color="auto"/>
          </w:divBdr>
        </w:div>
        <w:div w:id="1964458762">
          <w:marLeft w:val="1800"/>
          <w:marRight w:val="0"/>
          <w:marTop w:val="67"/>
          <w:marBottom w:val="0"/>
          <w:divBdr>
            <w:top w:val="none" w:sz="0" w:space="0" w:color="auto"/>
            <w:left w:val="none" w:sz="0" w:space="0" w:color="auto"/>
            <w:bottom w:val="none" w:sz="0" w:space="0" w:color="auto"/>
            <w:right w:val="none" w:sz="0" w:space="0" w:color="auto"/>
          </w:divBdr>
        </w:div>
      </w:divsChild>
    </w:div>
    <w:div w:id="1964458758">
      <w:marLeft w:val="0"/>
      <w:marRight w:val="0"/>
      <w:marTop w:val="0"/>
      <w:marBottom w:val="0"/>
      <w:divBdr>
        <w:top w:val="none" w:sz="0" w:space="0" w:color="auto"/>
        <w:left w:val="none" w:sz="0" w:space="0" w:color="auto"/>
        <w:bottom w:val="none" w:sz="0" w:space="0" w:color="auto"/>
        <w:right w:val="none" w:sz="0" w:space="0" w:color="auto"/>
      </w:divBdr>
    </w:div>
    <w:div w:id="1964458763">
      <w:marLeft w:val="0"/>
      <w:marRight w:val="0"/>
      <w:marTop w:val="0"/>
      <w:marBottom w:val="0"/>
      <w:divBdr>
        <w:top w:val="none" w:sz="0" w:space="0" w:color="auto"/>
        <w:left w:val="none" w:sz="0" w:space="0" w:color="auto"/>
        <w:bottom w:val="none" w:sz="0" w:space="0" w:color="auto"/>
        <w:right w:val="none" w:sz="0" w:space="0" w:color="auto"/>
      </w:divBdr>
    </w:div>
    <w:div w:id="1964458765">
      <w:marLeft w:val="0"/>
      <w:marRight w:val="0"/>
      <w:marTop w:val="0"/>
      <w:marBottom w:val="0"/>
      <w:divBdr>
        <w:top w:val="none" w:sz="0" w:space="0" w:color="auto"/>
        <w:left w:val="none" w:sz="0" w:space="0" w:color="auto"/>
        <w:bottom w:val="none" w:sz="0" w:space="0" w:color="auto"/>
        <w:right w:val="none" w:sz="0" w:space="0" w:color="auto"/>
      </w:divBdr>
    </w:div>
    <w:div w:id="1964458766">
      <w:marLeft w:val="0"/>
      <w:marRight w:val="0"/>
      <w:marTop w:val="0"/>
      <w:marBottom w:val="0"/>
      <w:divBdr>
        <w:top w:val="none" w:sz="0" w:space="0" w:color="auto"/>
        <w:left w:val="none" w:sz="0" w:space="0" w:color="auto"/>
        <w:bottom w:val="none" w:sz="0" w:space="0" w:color="auto"/>
        <w:right w:val="none" w:sz="0" w:space="0" w:color="auto"/>
      </w:divBdr>
    </w:div>
    <w:div w:id="1964458767">
      <w:marLeft w:val="0"/>
      <w:marRight w:val="0"/>
      <w:marTop w:val="0"/>
      <w:marBottom w:val="0"/>
      <w:divBdr>
        <w:top w:val="none" w:sz="0" w:space="0" w:color="auto"/>
        <w:left w:val="none" w:sz="0" w:space="0" w:color="auto"/>
        <w:bottom w:val="none" w:sz="0" w:space="0" w:color="auto"/>
        <w:right w:val="none" w:sz="0" w:space="0" w:color="auto"/>
      </w:divBdr>
      <w:divsChild>
        <w:div w:id="1964458554">
          <w:marLeft w:val="288"/>
          <w:marRight w:val="0"/>
          <w:marTop w:val="160"/>
          <w:marBottom w:val="0"/>
          <w:divBdr>
            <w:top w:val="none" w:sz="0" w:space="0" w:color="auto"/>
            <w:left w:val="none" w:sz="0" w:space="0" w:color="auto"/>
            <w:bottom w:val="none" w:sz="0" w:space="0" w:color="auto"/>
            <w:right w:val="none" w:sz="0" w:space="0" w:color="auto"/>
          </w:divBdr>
        </w:div>
        <w:div w:id="1964458555">
          <w:marLeft w:val="288"/>
          <w:marRight w:val="0"/>
          <w:marTop w:val="160"/>
          <w:marBottom w:val="0"/>
          <w:divBdr>
            <w:top w:val="none" w:sz="0" w:space="0" w:color="auto"/>
            <w:left w:val="none" w:sz="0" w:space="0" w:color="auto"/>
            <w:bottom w:val="none" w:sz="0" w:space="0" w:color="auto"/>
            <w:right w:val="none" w:sz="0" w:space="0" w:color="auto"/>
          </w:divBdr>
        </w:div>
        <w:div w:id="1964458562">
          <w:marLeft w:val="979"/>
          <w:marRight w:val="0"/>
          <w:marTop w:val="77"/>
          <w:marBottom w:val="0"/>
          <w:divBdr>
            <w:top w:val="none" w:sz="0" w:space="0" w:color="auto"/>
            <w:left w:val="none" w:sz="0" w:space="0" w:color="auto"/>
            <w:bottom w:val="none" w:sz="0" w:space="0" w:color="auto"/>
            <w:right w:val="none" w:sz="0" w:space="0" w:color="auto"/>
          </w:divBdr>
        </w:div>
        <w:div w:id="1964458569">
          <w:marLeft w:val="979"/>
          <w:marRight w:val="0"/>
          <w:marTop w:val="77"/>
          <w:marBottom w:val="0"/>
          <w:divBdr>
            <w:top w:val="none" w:sz="0" w:space="0" w:color="auto"/>
            <w:left w:val="none" w:sz="0" w:space="0" w:color="auto"/>
            <w:bottom w:val="none" w:sz="0" w:space="0" w:color="auto"/>
            <w:right w:val="none" w:sz="0" w:space="0" w:color="auto"/>
          </w:divBdr>
        </w:div>
        <w:div w:id="1964458578">
          <w:marLeft w:val="979"/>
          <w:marRight w:val="0"/>
          <w:marTop w:val="77"/>
          <w:marBottom w:val="0"/>
          <w:divBdr>
            <w:top w:val="none" w:sz="0" w:space="0" w:color="auto"/>
            <w:left w:val="none" w:sz="0" w:space="0" w:color="auto"/>
            <w:bottom w:val="none" w:sz="0" w:space="0" w:color="auto"/>
            <w:right w:val="none" w:sz="0" w:space="0" w:color="auto"/>
          </w:divBdr>
        </w:div>
        <w:div w:id="1964458592">
          <w:marLeft w:val="288"/>
          <w:marRight w:val="0"/>
          <w:marTop w:val="160"/>
          <w:marBottom w:val="0"/>
          <w:divBdr>
            <w:top w:val="none" w:sz="0" w:space="0" w:color="auto"/>
            <w:left w:val="none" w:sz="0" w:space="0" w:color="auto"/>
            <w:bottom w:val="none" w:sz="0" w:space="0" w:color="auto"/>
            <w:right w:val="none" w:sz="0" w:space="0" w:color="auto"/>
          </w:divBdr>
        </w:div>
        <w:div w:id="1964458602">
          <w:marLeft w:val="979"/>
          <w:marRight w:val="0"/>
          <w:marTop w:val="77"/>
          <w:marBottom w:val="0"/>
          <w:divBdr>
            <w:top w:val="none" w:sz="0" w:space="0" w:color="auto"/>
            <w:left w:val="none" w:sz="0" w:space="0" w:color="auto"/>
            <w:bottom w:val="none" w:sz="0" w:space="0" w:color="auto"/>
            <w:right w:val="none" w:sz="0" w:space="0" w:color="auto"/>
          </w:divBdr>
        </w:div>
        <w:div w:id="1964458668">
          <w:marLeft w:val="288"/>
          <w:marRight w:val="0"/>
          <w:marTop w:val="160"/>
          <w:marBottom w:val="0"/>
          <w:divBdr>
            <w:top w:val="none" w:sz="0" w:space="0" w:color="auto"/>
            <w:left w:val="none" w:sz="0" w:space="0" w:color="auto"/>
            <w:bottom w:val="none" w:sz="0" w:space="0" w:color="auto"/>
            <w:right w:val="none" w:sz="0" w:space="0" w:color="auto"/>
          </w:divBdr>
        </w:div>
        <w:div w:id="1964458682">
          <w:marLeft w:val="979"/>
          <w:marRight w:val="0"/>
          <w:marTop w:val="77"/>
          <w:marBottom w:val="0"/>
          <w:divBdr>
            <w:top w:val="none" w:sz="0" w:space="0" w:color="auto"/>
            <w:left w:val="none" w:sz="0" w:space="0" w:color="auto"/>
            <w:bottom w:val="none" w:sz="0" w:space="0" w:color="auto"/>
            <w:right w:val="none" w:sz="0" w:space="0" w:color="auto"/>
          </w:divBdr>
        </w:div>
        <w:div w:id="1964458716">
          <w:marLeft w:val="979"/>
          <w:marRight w:val="0"/>
          <w:marTop w:val="77"/>
          <w:marBottom w:val="0"/>
          <w:divBdr>
            <w:top w:val="none" w:sz="0" w:space="0" w:color="auto"/>
            <w:left w:val="none" w:sz="0" w:space="0" w:color="auto"/>
            <w:bottom w:val="none" w:sz="0" w:space="0" w:color="auto"/>
            <w:right w:val="none" w:sz="0" w:space="0" w:color="auto"/>
          </w:divBdr>
        </w:div>
        <w:div w:id="1964458733">
          <w:marLeft w:val="979"/>
          <w:marRight w:val="0"/>
          <w:marTop w:val="77"/>
          <w:marBottom w:val="0"/>
          <w:divBdr>
            <w:top w:val="none" w:sz="0" w:space="0" w:color="auto"/>
            <w:left w:val="none" w:sz="0" w:space="0" w:color="auto"/>
            <w:bottom w:val="none" w:sz="0" w:space="0" w:color="auto"/>
            <w:right w:val="none" w:sz="0" w:space="0" w:color="auto"/>
          </w:divBdr>
        </w:div>
        <w:div w:id="1964458752">
          <w:marLeft w:val="979"/>
          <w:marRight w:val="0"/>
          <w:marTop w:val="77"/>
          <w:marBottom w:val="0"/>
          <w:divBdr>
            <w:top w:val="none" w:sz="0" w:space="0" w:color="auto"/>
            <w:left w:val="none" w:sz="0" w:space="0" w:color="auto"/>
            <w:bottom w:val="none" w:sz="0" w:space="0" w:color="auto"/>
            <w:right w:val="none" w:sz="0" w:space="0" w:color="auto"/>
          </w:divBdr>
        </w:div>
        <w:div w:id="1964458759">
          <w:marLeft w:val="288"/>
          <w:marRight w:val="0"/>
          <w:marTop w:val="86"/>
          <w:marBottom w:val="0"/>
          <w:divBdr>
            <w:top w:val="none" w:sz="0" w:space="0" w:color="auto"/>
            <w:left w:val="none" w:sz="0" w:space="0" w:color="auto"/>
            <w:bottom w:val="none" w:sz="0" w:space="0" w:color="auto"/>
            <w:right w:val="none" w:sz="0" w:space="0" w:color="auto"/>
          </w:divBdr>
        </w:div>
        <w:div w:id="1964458778">
          <w:marLeft w:val="288"/>
          <w:marRight w:val="0"/>
          <w:marTop w:val="160"/>
          <w:marBottom w:val="0"/>
          <w:divBdr>
            <w:top w:val="none" w:sz="0" w:space="0" w:color="auto"/>
            <w:left w:val="none" w:sz="0" w:space="0" w:color="auto"/>
            <w:bottom w:val="none" w:sz="0" w:space="0" w:color="auto"/>
            <w:right w:val="none" w:sz="0" w:space="0" w:color="auto"/>
          </w:divBdr>
        </w:div>
      </w:divsChild>
    </w:div>
    <w:div w:id="1964458770">
      <w:marLeft w:val="0"/>
      <w:marRight w:val="0"/>
      <w:marTop w:val="0"/>
      <w:marBottom w:val="0"/>
      <w:divBdr>
        <w:top w:val="none" w:sz="0" w:space="0" w:color="auto"/>
        <w:left w:val="none" w:sz="0" w:space="0" w:color="auto"/>
        <w:bottom w:val="none" w:sz="0" w:space="0" w:color="auto"/>
        <w:right w:val="none" w:sz="0" w:space="0" w:color="auto"/>
      </w:divBdr>
    </w:div>
    <w:div w:id="1964458775">
      <w:marLeft w:val="0"/>
      <w:marRight w:val="0"/>
      <w:marTop w:val="0"/>
      <w:marBottom w:val="0"/>
      <w:divBdr>
        <w:top w:val="none" w:sz="0" w:space="0" w:color="auto"/>
        <w:left w:val="none" w:sz="0" w:space="0" w:color="auto"/>
        <w:bottom w:val="none" w:sz="0" w:space="0" w:color="auto"/>
        <w:right w:val="none" w:sz="0" w:space="0" w:color="auto"/>
      </w:divBdr>
    </w:div>
    <w:div w:id="1964458776">
      <w:marLeft w:val="0"/>
      <w:marRight w:val="0"/>
      <w:marTop w:val="0"/>
      <w:marBottom w:val="0"/>
      <w:divBdr>
        <w:top w:val="none" w:sz="0" w:space="0" w:color="auto"/>
        <w:left w:val="none" w:sz="0" w:space="0" w:color="auto"/>
        <w:bottom w:val="none" w:sz="0" w:space="0" w:color="auto"/>
        <w:right w:val="none" w:sz="0" w:space="0" w:color="auto"/>
      </w:divBdr>
    </w:div>
    <w:div w:id="1964458777">
      <w:marLeft w:val="0"/>
      <w:marRight w:val="0"/>
      <w:marTop w:val="0"/>
      <w:marBottom w:val="0"/>
      <w:divBdr>
        <w:top w:val="none" w:sz="0" w:space="0" w:color="auto"/>
        <w:left w:val="none" w:sz="0" w:space="0" w:color="auto"/>
        <w:bottom w:val="none" w:sz="0" w:space="0" w:color="auto"/>
        <w:right w:val="none" w:sz="0" w:space="0" w:color="auto"/>
      </w:divBdr>
    </w:div>
    <w:div w:id="1964458779">
      <w:marLeft w:val="0"/>
      <w:marRight w:val="0"/>
      <w:marTop w:val="0"/>
      <w:marBottom w:val="0"/>
      <w:divBdr>
        <w:top w:val="none" w:sz="0" w:space="0" w:color="auto"/>
        <w:left w:val="none" w:sz="0" w:space="0" w:color="auto"/>
        <w:bottom w:val="none" w:sz="0" w:space="0" w:color="auto"/>
        <w:right w:val="none" w:sz="0" w:space="0" w:color="auto"/>
      </w:divBdr>
    </w:div>
    <w:div w:id="1964458781">
      <w:marLeft w:val="0"/>
      <w:marRight w:val="0"/>
      <w:marTop w:val="0"/>
      <w:marBottom w:val="0"/>
      <w:divBdr>
        <w:top w:val="none" w:sz="0" w:space="0" w:color="auto"/>
        <w:left w:val="none" w:sz="0" w:space="0" w:color="auto"/>
        <w:bottom w:val="none" w:sz="0" w:space="0" w:color="auto"/>
        <w:right w:val="none" w:sz="0" w:space="0" w:color="auto"/>
      </w:divBdr>
    </w:div>
    <w:div w:id="1964458784">
      <w:marLeft w:val="0"/>
      <w:marRight w:val="0"/>
      <w:marTop w:val="0"/>
      <w:marBottom w:val="0"/>
      <w:divBdr>
        <w:top w:val="none" w:sz="0" w:space="0" w:color="auto"/>
        <w:left w:val="none" w:sz="0" w:space="0" w:color="auto"/>
        <w:bottom w:val="none" w:sz="0" w:space="0" w:color="auto"/>
        <w:right w:val="none" w:sz="0" w:space="0" w:color="auto"/>
      </w:divBdr>
    </w:div>
    <w:div w:id="1964458785">
      <w:marLeft w:val="0"/>
      <w:marRight w:val="0"/>
      <w:marTop w:val="0"/>
      <w:marBottom w:val="0"/>
      <w:divBdr>
        <w:top w:val="none" w:sz="0" w:space="0" w:color="auto"/>
        <w:left w:val="none" w:sz="0" w:space="0" w:color="auto"/>
        <w:bottom w:val="none" w:sz="0" w:space="0" w:color="auto"/>
        <w:right w:val="none" w:sz="0" w:space="0" w:color="auto"/>
      </w:divBdr>
    </w:div>
    <w:div w:id="1964458787">
      <w:marLeft w:val="0"/>
      <w:marRight w:val="0"/>
      <w:marTop w:val="0"/>
      <w:marBottom w:val="0"/>
      <w:divBdr>
        <w:top w:val="none" w:sz="0" w:space="0" w:color="auto"/>
        <w:left w:val="none" w:sz="0" w:space="0" w:color="auto"/>
        <w:bottom w:val="none" w:sz="0" w:space="0" w:color="auto"/>
        <w:right w:val="none" w:sz="0" w:space="0" w:color="auto"/>
      </w:divBdr>
    </w:div>
    <w:div w:id="1991206705">
      <w:bodyDiv w:val="1"/>
      <w:marLeft w:val="0"/>
      <w:marRight w:val="0"/>
      <w:marTop w:val="0"/>
      <w:marBottom w:val="0"/>
      <w:divBdr>
        <w:top w:val="none" w:sz="0" w:space="0" w:color="auto"/>
        <w:left w:val="none" w:sz="0" w:space="0" w:color="auto"/>
        <w:bottom w:val="none" w:sz="0" w:space="0" w:color="auto"/>
        <w:right w:val="none" w:sz="0" w:space="0" w:color="auto"/>
      </w:divBdr>
    </w:div>
    <w:div w:id="1991710190">
      <w:bodyDiv w:val="1"/>
      <w:marLeft w:val="0"/>
      <w:marRight w:val="0"/>
      <w:marTop w:val="0"/>
      <w:marBottom w:val="0"/>
      <w:divBdr>
        <w:top w:val="none" w:sz="0" w:space="0" w:color="auto"/>
        <w:left w:val="none" w:sz="0" w:space="0" w:color="auto"/>
        <w:bottom w:val="none" w:sz="0" w:space="0" w:color="auto"/>
        <w:right w:val="none" w:sz="0" w:space="0" w:color="auto"/>
      </w:divBdr>
    </w:div>
    <w:div w:id="2024896499">
      <w:bodyDiv w:val="1"/>
      <w:marLeft w:val="0"/>
      <w:marRight w:val="0"/>
      <w:marTop w:val="0"/>
      <w:marBottom w:val="0"/>
      <w:divBdr>
        <w:top w:val="none" w:sz="0" w:space="0" w:color="auto"/>
        <w:left w:val="none" w:sz="0" w:space="0" w:color="auto"/>
        <w:bottom w:val="none" w:sz="0" w:space="0" w:color="auto"/>
        <w:right w:val="none" w:sz="0" w:space="0" w:color="auto"/>
      </w:divBdr>
    </w:div>
    <w:div w:id="2048679904">
      <w:bodyDiv w:val="1"/>
      <w:marLeft w:val="0"/>
      <w:marRight w:val="0"/>
      <w:marTop w:val="0"/>
      <w:marBottom w:val="0"/>
      <w:divBdr>
        <w:top w:val="none" w:sz="0" w:space="0" w:color="auto"/>
        <w:left w:val="none" w:sz="0" w:space="0" w:color="auto"/>
        <w:bottom w:val="none" w:sz="0" w:space="0" w:color="auto"/>
        <w:right w:val="none" w:sz="0" w:space="0" w:color="auto"/>
      </w:divBdr>
    </w:div>
    <w:div w:id="2052536114">
      <w:bodyDiv w:val="1"/>
      <w:marLeft w:val="0"/>
      <w:marRight w:val="0"/>
      <w:marTop w:val="0"/>
      <w:marBottom w:val="0"/>
      <w:divBdr>
        <w:top w:val="none" w:sz="0" w:space="0" w:color="auto"/>
        <w:left w:val="none" w:sz="0" w:space="0" w:color="auto"/>
        <w:bottom w:val="none" w:sz="0" w:space="0" w:color="auto"/>
        <w:right w:val="none" w:sz="0" w:space="0" w:color="auto"/>
      </w:divBdr>
    </w:div>
    <w:div w:id="2058698123">
      <w:bodyDiv w:val="1"/>
      <w:marLeft w:val="0"/>
      <w:marRight w:val="0"/>
      <w:marTop w:val="0"/>
      <w:marBottom w:val="0"/>
      <w:divBdr>
        <w:top w:val="none" w:sz="0" w:space="0" w:color="auto"/>
        <w:left w:val="none" w:sz="0" w:space="0" w:color="auto"/>
        <w:bottom w:val="none" w:sz="0" w:space="0" w:color="auto"/>
        <w:right w:val="none" w:sz="0" w:space="0" w:color="auto"/>
      </w:divBdr>
    </w:div>
    <w:div w:id="2071686173">
      <w:bodyDiv w:val="1"/>
      <w:marLeft w:val="0"/>
      <w:marRight w:val="0"/>
      <w:marTop w:val="0"/>
      <w:marBottom w:val="0"/>
      <w:divBdr>
        <w:top w:val="none" w:sz="0" w:space="0" w:color="auto"/>
        <w:left w:val="none" w:sz="0" w:space="0" w:color="auto"/>
        <w:bottom w:val="none" w:sz="0" w:space="0" w:color="auto"/>
        <w:right w:val="none" w:sz="0" w:space="0" w:color="auto"/>
      </w:divBdr>
    </w:div>
    <w:div w:id="2083748171">
      <w:bodyDiv w:val="1"/>
      <w:marLeft w:val="0"/>
      <w:marRight w:val="0"/>
      <w:marTop w:val="0"/>
      <w:marBottom w:val="0"/>
      <w:divBdr>
        <w:top w:val="none" w:sz="0" w:space="0" w:color="auto"/>
        <w:left w:val="none" w:sz="0" w:space="0" w:color="auto"/>
        <w:bottom w:val="none" w:sz="0" w:space="0" w:color="auto"/>
        <w:right w:val="none" w:sz="0" w:space="0" w:color="auto"/>
      </w:divBdr>
    </w:div>
    <w:div w:id="2099330684">
      <w:bodyDiv w:val="1"/>
      <w:marLeft w:val="0"/>
      <w:marRight w:val="0"/>
      <w:marTop w:val="0"/>
      <w:marBottom w:val="0"/>
      <w:divBdr>
        <w:top w:val="none" w:sz="0" w:space="0" w:color="auto"/>
        <w:left w:val="none" w:sz="0" w:space="0" w:color="auto"/>
        <w:bottom w:val="none" w:sz="0" w:space="0" w:color="auto"/>
        <w:right w:val="none" w:sz="0" w:space="0" w:color="auto"/>
      </w:divBdr>
    </w:div>
    <w:div w:id="2107267992">
      <w:bodyDiv w:val="1"/>
      <w:marLeft w:val="0"/>
      <w:marRight w:val="0"/>
      <w:marTop w:val="0"/>
      <w:marBottom w:val="0"/>
      <w:divBdr>
        <w:top w:val="none" w:sz="0" w:space="0" w:color="auto"/>
        <w:left w:val="none" w:sz="0" w:space="0" w:color="auto"/>
        <w:bottom w:val="none" w:sz="0" w:space="0" w:color="auto"/>
        <w:right w:val="none" w:sz="0" w:space="0" w:color="auto"/>
      </w:divBdr>
    </w:div>
    <w:div w:id="2120757399">
      <w:bodyDiv w:val="1"/>
      <w:marLeft w:val="0"/>
      <w:marRight w:val="0"/>
      <w:marTop w:val="0"/>
      <w:marBottom w:val="0"/>
      <w:divBdr>
        <w:top w:val="none" w:sz="0" w:space="0" w:color="auto"/>
        <w:left w:val="none" w:sz="0" w:space="0" w:color="auto"/>
        <w:bottom w:val="none" w:sz="0" w:space="0" w:color="auto"/>
        <w:right w:val="none" w:sz="0" w:space="0" w:color="auto"/>
      </w:divBdr>
    </w:div>
    <w:div w:id="21340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package" Target="embeddings/V_kres_Microsoft_Visia1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praha.mmr.cz\dfs\N\odbor22\!%20STRATEGIE,%20synergie,%20EAC%20apod\NKR\Prioritizace\PRIORITIZACE%20II\hodnocen&#237;\v&#253;stup%204_Jakub.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raha.mmr.cz\dfs\N\odbor22\!%20STRATEGIE,%20synergie,%20EAC%20apod\NKR\Prioritizace\PRIORITIZACE%20II\hodnocen&#237;\v&#253;stup%204_Jaku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lt1"/>
                </a:solidFill>
                <a:latin typeface="+mn-lt"/>
                <a:ea typeface="+mn-ea"/>
                <a:cs typeface="+mn-cs"/>
              </a:defRPr>
            </a:pPr>
            <a:r>
              <a:rPr lang="cs-CZ">
                <a:solidFill>
                  <a:schemeClr val="lt1"/>
                </a:solidFill>
                <a:latin typeface="+mn-lt"/>
                <a:ea typeface="+mn-ea"/>
                <a:cs typeface="+mn-cs"/>
              </a:rPr>
              <a:t>Důležitost x </a:t>
            </a:r>
            <a:r>
              <a:rPr lang="en-US">
                <a:solidFill>
                  <a:schemeClr val="lt1"/>
                </a:solidFill>
                <a:latin typeface="+mn-lt"/>
                <a:ea typeface="+mn-ea"/>
                <a:cs typeface="+mn-cs"/>
              </a:rPr>
              <a:t>Strategie</a:t>
            </a:r>
            <a:endParaRPr lang="en-US"/>
          </a:p>
        </c:rich>
      </c:tx>
      <c:overlay val="0"/>
      <c:spPr>
        <a:solidFill>
          <a:schemeClr val="accent1"/>
        </a:solidFill>
        <a:ln w="12700" cap="flat" cmpd="sng" algn="ctr">
          <a:solidFill>
            <a:schemeClr val="accent1">
              <a:shade val="50000"/>
            </a:schemeClr>
          </a:solidFill>
          <a:prstDash val="solid"/>
          <a:miter lim="800000"/>
        </a:ln>
        <a:effectLst/>
      </c:spPr>
    </c:title>
    <c:autoTitleDeleted val="0"/>
    <c:plotArea>
      <c:layout/>
      <c:scatterChart>
        <c:scatterStyle val="lineMarker"/>
        <c:varyColors val="0"/>
        <c:ser>
          <c:idx val="0"/>
          <c:order val="0"/>
          <c:tx>
            <c:strRef>
              <c:f>'Data pro grafy'!$D$1</c:f>
              <c:strCache>
                <c:ptCount val="1"/>
                <c:pt idx="0">
                  <c:v>Strategie</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layout>
                <c:manualLayout>
                  <c:x val="-4.1279669762641896E-3"/>
                  <c:y val="-2.4948024948024988E-2"/>
                </c:manualLayout>
              </c:layout>
              <c:tx>
                <c:rich>
                  <a:bodyPr/>
                  <a:lstStyle/>
                  <a:p>
                    <a:fld id="{3F5683CE-4DEE-4DE8-9273-5880529B6061}"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0-BCA2-4668-8782-1EE546B56B10}"/>
                </c:ext>
              </c:extLst>
            </c:dLbl>
            <c:dLbl>
              <c:idx val="1"/>
              <c:layout>
                <c:manualLayout>
                  <c:x val="4.105701957533946E-3"/>
                  <c:y val="-0.12542698598661325"/>
                </c:manualLayout>
              </c:layout>
              <c:tx>
                <c:rich>
                  <a:bodyPr/>
                  <a:lstStyle/>
                  <a:p>
                    <a:fld id="{9B5AF09D-C1B5-468D-94AC-A9F4A8B034A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1-BCA2-4668-8782-1EE546B56B10}"/>
                </c:ext>
              </c:extLst>
            </c:dLbl>
            <c:dLbl>
              <c:idx val="2"/>
              <c:layout>
                <c:manualLayout>
                  <c:x val="-0.15845835060091179"/>
                  <c:y val="-7.3224895330990206E-2"/>
                </c:manualLayout>
              </c:layout>
              <c:tx>
                <c:rich>
                  <a:bodyPr/>
                  <a:lstStyle/>
                  <a:p>
                    <a:fld id="{DCADF676-C0EC-424F-9A4F-F0D5F2B612C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2-BCA2-4668-8782-1EE546B56B10}"/>
                </c:ext>
              </c:extLst>
            </c:dLbl>
            <c:dLbl>
              <c:idx val="3"/>
              <c:layout>
                <c:manualLayout>
                  <c:x val="1.8575932652381149E-2"/>
                  <c:y val="-6.2370062370061992E-3"/>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B7F544E4-7C16-4AA0-B186-82B83A42F475}"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4613636917676309"/>
                      <c:h val="3.8167367852407222E-2"/>
                    </c:manualLayout>
                  </c15:layout>
                  <c15:dlblFieldTable/>
                  <c15:showDataLabelsRange val="1"/>
                </c:ext>
                <c:ext xmlns:c16="http://schemas.microsoft.com/office/drawing/2014/chart" uri="{C3380CC4-5D6E-409C-BE32-E72D297353CC}">
                  <c16:uniqueId val="{00000003-BCA2-4668-8782-1EE546B56B10}"/>
                </c:ext>
              </c:extLst>
            </c:dLbl>
            <c:dLbl>
              <c:idx val="4"/>
              <c:layout>
                <c:manualLayout>
                  <c:x val="2.8754829020132131E-2"/>
                  <c:y val="1.9564532998457378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0A287D19-C29C-4457-B146-52EC14AD0E52}"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6001267643402159"/>
                      <c:h val="3.1930361615400978E-2"/>
                    </c:manualLayout>
                  </c15:layout>
                  <c15:dlblFieldTable/>
                  <c15:showDataLabelsRange val="1"/>
                </c:ext>
                <c:ext xmlns:c16="http://schemas.microsoft.com/office/drawing/2014/chart" uri="{C3380CC4-5D6E-409C-BE32-E72D297353CC}">
                  <c16:uniqueId val="{00000004-BCA2-4668-8782-1EE546B56B10}"/>
                </c:ext>
              </c:extLst>
            </c:dLbl>
            <c:dLbl>
              <c:idx val="5"/>
              <c:layout>
                <c:manualLayout>
                  <c:x val="-0.22444277512047311"/>
                  <c:y val="-1.060428917612685E-2"/>
                </c:manualLayout>
              </c:layout>
              <c:tx>
                <c:rich>
                  <a:bodyPr/>
                  <a:lstStyle/>
                  <a:p>
                    <a:fld id="{485A1687-77FE-4A07-87EA-4962883D49DA}"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5-BCA2-4668-8782-1EE546B56B10}"/>
                </c:ext>
              </c:extLst>
            </c:dLbl>
            <c:dLbl>
              <c:idx val="6"/>
              <c:layout>
                <c:manualLayout>
                  <c:x val="-9.0614563272470194E-2"/>
                  <c:y val="-8.429019267601949E-2"/>
                </c:manualLayout>
              </c:layout>
              <c:tx>
                <c:rich>
                  <a:bodyPr/>
                  <a:lstStyle/>
                  <a:p>
                    <a:fld id="{93C9381D-02EA-427F-A6AA-C86F8EB4D974}"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0.1424207297709203"/>
                      <c:h val="4.3024189636085848E-2"/>
                    </c:manualLayout>
                  </c15:layout>
                  <c15:dlblFieldTable/>
                  <c15:showDataLabelsRange val="1"/>
                </c:ext>
                <c:ext xmlns:c16="http://schemas.microsoft.com/office/drawing/2014/chart" uri="{C3380CC4-5D6E-409C-BE32-E72D297353CC}">
                  <c16:uniqueId val="{00000006-BCA2-4668-8782-1EE546B56B10}"/>
                </c:ext>
              </c:extLst>
            </c:dLbl>
            <c:dLbl>
              <c:idx val="7"/>
              <c:layout>
                <c:manualLayout>
                  <c:x val="-9.5798745478251728E-3"/>
                  <c:y val="1.6966862681802947E-2"/>
                </c:manualLayout>
              </c:layout>
              <c:tx>
                <c:rich>
                  <a:bodyPr/>
                  <a:lstStyle/>
                  <a:p>
                    <a:fld id="{FF541AE4-59B1-4ABF-A16A-05364A3558B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7-BCA2-4668-8782-1EE546B56B10}"/>
                </c:ext>
              </c:extLst>
            </c:dLbl>
            <c:dLbl>
              <c:idx val="8"/>
              <c:layout>
                <c:manualLayout>
                  <c:x val="0.13209494324045407"/>
                  <c:y val="0.10611303344867359"/>
                </c:manualLayout>
              </c:layout>
              <c:tx>
                <c:rich>
                  <a:bodyPr/>
                  <a:lstStyle/>
                  <a:p>
                    <a:fld id="{6F289C52-0F52-4BA0-A14B-4E39EC26790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8-BCA2-4668-8782-1EE546B56B10}"/>
                </c:ext>
              </c:extLst>
            </c:dLbl>
            <c:dLbl>
              <c:idx val="9"/>
              <c:layout>
                <c:manualLayout>
                  <c:x val="-0.16909436630018779"/>
                  <c:y val="-2.3887329827716172E-2"/>
                </c:manualLayout>
              </c:layout>
              <c:tx>
                <c:rich>
                  <a:bodyPr/>
                  <a:lstStyle/>
                  <a:p>
                    <a:fld id="{FACB1AD6-ECA8-4F1E-AE64-D3ADC29E16F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0.1393883600321599"/>
                      <c:h val="4.3024189636085848E-2"/>
                    </c:manualLayout>
                  </c15:layout>
                  <c15:dlblFieldTable/>
                  <c15:showDataLabelsRange val="1"/>
                </c:ext>
                <c:ext xmlns:c16="http://schemas.microsoft.com/office/drawing/2014/chart" uri="{C3380CC4-5D6E-409C-BE32-E72D297353CC}">
                  <c16:uniqueId val="{00000009-BCA2-4668-8782-1EE546B56B10}"/>
                </c:ext>
              </c:extLst>
            </c:dLbl>
            <c:dLbl>
              <c:idx val="10"/>
              <c:layout>
                <c:manualLayout>
                  <c:x val="2.0639834881320948E-3"/>
                  <c:y val="8.185047551314836E-8"/>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3CFBCC47-3871-4E40-B687-A54C3B5F7FCA}"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5089376985771516"/>
                      <c:h val="3.1930361615400978E-2"/>
                    </c:manualLayout>
                  </c15:layout>
                  <c15:dlblFieldTable/>
                  <c15:showDataLabelsRange val="1"/>
                </c:ext>
                <c:ext xmlns:c16="http://schemas.microsoft.com/office/drawing/2014/chart" uri="{C3380CC4-5D6E-409C-BE32-E72D297353CC}">
                  <c16:uniqueId val="{0000000A-BCA2-4668-8782-1EE546B56B10}"/>
                </c:ext>
              </c:extLst>
            </c:dLbl>
            <c:dLbl>
              <c:idx val="11"/>
              <c:layout>
                <c:manualLayout>
                  <c:x val="2.0639834881320948E-3"/>
                  <c:y val="6.8983098565966364E-2"/>
                </c:manualLayout>
              </c:layout>
              <c:tx>
                <c:rich>
                  <a:bodyPr/>
                  <a:lstStyle/>
                  <a:p>
                    <a:fld id="{C20BDD67-D016-4CA9-8F03-A8E757A066C9}"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B-BCA2-4668-8782-1EE546B56B10}"/>
                </c:ext>
              </c:extLst>
            </c:dLbl>
            <c:dLbl>
              <c:idx val="12"/>
              <c:layout>
                <c:manualLayout>
                  <c:x val="0.13565767127406286"/>
                  <c:y val="9.2980591958872539E-4"/>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88AB9B65-8857-4F5D-84EA-AD98CE92F7CF}"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8033170002356516"/>
                      <c:h val="3.5429074825854376E-2"/>
                    </c:manualLayout>
                  </c15:layout>
                  <c15:dlblFieldTable/>
                  <c15:showDataLabelsRange val="1"/>
                </c:ext>
                <c:ext xmlns:c16="http://schemas.microsoft.com/office/drawing/2014/chart" uri="{C3380CC4-5D6E-409C-BE32-E72D297353CC}">
                  <c16:uniqueId val="{0000000C-BCA2-4668-8782-1EE546B56B10}"/>
                </c:ext>
              </c:extLst>
            </c:dLbl>
            <c:dLbl>
              <c:idx val="13"/>
              <c:layout>
                <c:manualLayout>
                  <c:x val="-6.8101704005265676E-2"/>
                  <c:y val="-3.1711984546630219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ysClr val="windowText" lastClr="000000">
                            <a:lumMod val="65000"/>
                            <a:lumOff val="35000"/>
                          </a:sysClr>
                        </a:solidFill>
                        <a:latin typeface="+mn-lt"/>
                        <a:ea typeface="+mn-ea"/>
                        <a:cs typeface="+mn-cs"/>
                      </a:defRPr>
                    </a:pPr>
                    <a:fld id="{D406157D-D5E0-4409-A148-DA14E1785BEB}" type="CELLRANGE">
                      <a:rPr lang="en-US"/>
                      <a:pPr>
                        <a:defRPr sz="500" b="0" i="0" u="none" strike="noStrike" kern="1200" baseline="0">
                          <a:solidFill>
                            <a:sysClr val="windowText" lastClr="000000">
                              <a:lumMod val="65000"/>
                              <a:lumOff val="35000"/>
                            </a:sys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2502848134695238"/>
                      <c:h val="3.3667228706598787E-2"/>
                    </c:manualLayout>
                  </c15:layout>
                  <c15:dlblFieldTable/>
                  <c15:showDataLabelsRange val="1"/>
                </c:ext>
                <c:ext xmlns:c16="http://schemas.microsoft.com/office/drawing/2014/chart" uri="{C3380CC4-5D6E-409C-BE32-E72D297353CC}">
                  <c16:uniqueId val="{0000000D-BCA2-4668-8782-1EE546B56B10}"/>
                </c:ext>
              </c:extLst>
            </c:dLbl>
            <c:dLbl>
              <c:idx val="14"/>
              <c:layout>
                <c:manualLayout>
                  <c:x val="-0.21560290257835424"/>
                  <c:y val="-8.4869356728332859E-2"/>
                </c:manualLayout>
              </c:layout>
              <c:tx>
                <c:rich>
                  <a:bodyPr/>
                  <a:lstStyle/>
                  <a:p>
                    <a:fld id="{071591C2-71F3-41E3-9A4B-7002096D45C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E-BCA2-4668-8782-1EE546B56B10}"/>
                </c:ext>
              </c:extLst>
            </c:dLbl>
            <c:dLbl>
              <c:idx val="15"/>
              <c:layout>
                <c:manualLayout>
                  <c:x val="-1.5135704064023769E-16"/>
                  <c:y val="1.6632016632016633E-2"/>
                </c:manualLayout>
              </c:layout>
              <c:tx>
                <c:rich>
                  <a:bodyPr/>
                  <a:lstStyle/>
                  <a:p>
                    <a:fld id="{920C79C0-4E2A-4563-813D-8F313113A10B}"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F-BCA2-4668-8782-1EE546B56B10}"/>
                </c:ext>
              </c:extLst>
            </c:dLbl>
            <c:dLbl>
              <c:idx val="16"/>
              <c:layout>
                <c:manualLayout>
                  <c:x val="2.0639834881320193E-3"/>
                  <c:y val="1.845444059976932E-2"/>
                </c:manualLayout>
              </c:layout>
              <c:tx>
                <c:rich>
                  <a:bodyPr/>
                  <a:lstStyle/>
                  <a:p>
                    <a:fld id="{1F2292F8-A704-4E1E-B0E1-3644539EDF1E}"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0-BCA2-4668-8782-1EE546B56B10}"/>
                </c:ext>
              </c:extLst>
            </c:dLbl>
            <c:dLbl>
              <c:idx val="17"/>
              <c:layout>
                <c:manualLayout>
                  <c:x val="-3.0792453903723441E-2"/>
                  <c:y val="5.7263161551085205E-2"/>
                </c:manualLayout>
              </c:layout>
              <c:tx>
                <c:rich>
                  <a:bodyPr/>
                  <a:lstStyle/>
                  <a:p>
                    <a:fld id="{023920DF-7350-42EA-8A96-D797AFD52CF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0.12914155811002115"/>
                      <c:h val="4.3024189636085848E-2"/>
                    </c:manualLayout>
                  </c15:layout>
                  <c15:dlblFieldTable/>
                  <c15:showDataLabelsRange val="1"/>
                </c:ext>
                <c:ext xmlns:c16="http://schemas.microsoft.com/office/drawing/2014/chart" uri="{C3380CC4-5D6E-409C-BE32-E72D297353CC}">
                  <c16:uniqueId val="{00000011-BCA2-4668-8782-1EE546B56B10}"/>
                </c:ext>
              </c:extLst>
            </c:dLbl>
            <c:dLbl>
              <c:idx val="18"/>
              <c:layout>
                <c:manualLayout>
                  <c:x val="0.14231198654347774"/>
                  <c:y val="6.2062683341052957E-2"/>
                </c:manualLayout>
              </c:layout>
              <c:tx>
                <c:rich>
                  <a:bodyPr rot="0" spcFirstLastPara="1" vertOverflow="clip" horzOverflow="clip" vert="horz" wrap="square" lIns="38100" tIns="19050" rIns="38100" bIns="19050" anchor="ctr" anchorCtr="1">
                    <a:noAutofit/>
                  </a:bodyPr>
                  <a:lstStyle/>
                  <a:p>
                    <a:pPr>
                      <a:defRPr sz="600" b="0" i="0" u="none" strike="noStrike" kern="1200" baseline="0">
                        <a:solidFill>
                          <a:schemeClr val="dk1">
                            <a:lumMod val="65000"/>
                            <a:lumOff val="35000"/>
                          </a:schemeClr>
                        </a:solidFill>
                        <a:latin typeface="+mn-lt"/>
                        <a:ea typeface="+mn-ea"/>
                        <a:cs typeface="+mn-cs"/>
                      </a:defRPr>
                    </a:pPr>
                    <a:fld id="{07F546A3-AE9B-4340-BC90-64BE381DB01A}" type="CELLRANGE">
                      <a:rPr lang="en-US"/>
                      <a:pPr>
                        <a:defRPr sz="6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3062467191601049"/>
                      <c:h val="5.5749336647438114E-2"/>
                    </c:manualLayout>
                  </c15:layout>
                  <c15:dlblFieldTable/>
                  <c15:showDataLabelsRange val="1"/>
                </c:ext>
                <c:ext xmlns:c16="http://schemas.microsoft.com/office/drawing/2014/chart" uri="{C3380CC4-5D6E-409C-BE32-E72D297353CC}">
                  <c16:uniqueId val="{00000012-BCA2-4668-8782-1EE546B56B10}"/>
                </c:ext>
              </c:extLst>
            </c:dLbl>
            <c:dLbl>
              <c:idx val="19"/>
              <c:layout>
                <c:manualLayout>
                  <c:x val="-0.15269414852555196"/>
                  <c:y val="6.142949259370252E-2"/>
                </c:manualLayout>
              </c:layout>
              <c:tx>
                <c:rich>
                  <a:bodyPr/>
                  <a:lstStyle/>
                  <a:p>
                    <a:fld id="{05BDDFE0-BB62-4747-B6FB-629440DC1C14}"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3-BCA2-4668-8782-1EE546B56B10}"/>
                </c:ext>
              </c:extLst>
            </c:dLbl>
            <c:dLbl>
              <c:idx val="20"/>
              <c:layout>
                <c:manualLayout>
                  <c:x val="-0.33640704354680123"/>
                  <c:y val="-0.12835054921669095"/>
                </c:manualLayout>
              </c:layout>
              <c:tx>
                <c:rich>
                  <a:bodyPr rot="0" spcFirstLastPara="1" vertOverflow="clip" horzOverflow="clip" vert="horz" wrap="square" lIns="38100" tIns="19050" rIns="38100" bIns="19050" anchor="ctr" anchorCtr="1">
                    <a:noAutofit/>
                  </a:bodyPr>
                  <a:lstStyle/>
                  <a:p>
                    <a:pPr>
                      <a:defRPr sz="600" b="0" i="0" u="none" strike="noStrike" kern="1200" baseline="0">
                        <a:solidFill>
                          <a:schemeClr val="dk1">
                            <a:lumMod val="65000"/>
                            <a:lumOff val="35000"/>
                          </a:schemeClr>
                        </a:solidFill>
                        <a:latin typeface="+mn-lt"/>
                        <a:ea typeface="+mn-ea"/>
                        <a:cs typeface="+mn-cs"/>
                      </a:defRPr>
                    </a:pPr>
                    <a:fld id="{CF2CED53-FD34-4FF3-A0C5-15A1B4066C13}" type="CELLRANGE">
                      <a:rPr lang="en-US"/>
                      <a:pPr>
                        <a:defRPr sz="6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5054541167652008"/>
                      <c:h val="4.8053962639168772E-2"/>
                    </c:manualLayout>
                  </c15:layout>
                  <c15:dlblFieldTable/>
                  <c15:showDataLabelsRange val="1"/>
                </c:ext>
                <c:ext xmlns:c16="http://schemas.microsoft.com/office/drawing/2014/chart" uri="{C3380CC4-5D6E-409C-BE32-E72D297353CC}">
                  <c16:uniqueId val="{00000014-BCA2-4668-8782-1EE546B56B10}"/>
                </c:ext>
              </c:extLst>
            </c:dLbl>
            <c:dLbl>
              <c:idx val="21"/>
              <c:layout>
                <c:manualLayout>
                  <c:x val="5.5735680098811025E-2"/>
                  <c:y val="-7.1774354609000265E-2"/>
                </c:manualLayout>
              </c:layout>
              <c:tx>
                <c:rich>
                  <a:bodyPr/>
                  <a:lstStyle/>
                  <a:p>
                    <a:fld id="{816EE8C9-BB51-49C2-92AF-4DDAF3568B9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5-BCA2-4668-8782-1EE546B56B10}"/>
                </c:ext>
              </c:extLst>
            </c:dLbl>
            <c:dLbl>
              <c:idx val="22"/>
              <c:layout>
                <c:manualLayout>
                  <c:x val="9.8669787019656594E-3"/>
                  <c:y val="8.2899490504863366E-2"/>
                </c:manualLayout>
              </c:layout>
              <c:tx>
                <c:rich>
                  <a:bodyPr/>
                  <a:lstStyle/>
                  <a:p>
                    <a:fld id="{E45881E1-02B8-4072-A50D-3DE8BC85D498}"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6-BCA2-4668-8782-1EE546B56B10}"/>
                </c:ext>
              </c:extLst>
            </c:dLbl>
            <c:dLbl>
              <c:idx val="23"/>
              <c:layout>
                <c:manualLayout>
                  <c:x val="1.6422675300496212E-2"/>
                  <c:y val="5.6595442704702174E-2"/>
                </c:manualLayout>
              </c:layout>
              <c:tx>
                <c:rich>
                  <a:bodyPr rot="0" spcFirstLastPara="1" vertOverflow="clip" horzOverflow="clip" vert="horz" wrap="square" lIns="38100" tIns="19050" rIns="38100" bIns="19050" anchor="ctr" anchorCtr="1">
                    <a:noAutofit/>
                  </a:bodyPr>
                  <a:lstStyle/>
                  <a:p>
                    <a:pPr>
                      <a:defRPr sz="600" b="0" i="0" u="none" strike="noStrike" kern="1200" baseline="0">
                        <a:solidFill>
                          <a:schemeClr val="dk1">
                            <a:lumMod val="65000"/>
                            <a:lumOff val="35000"/>
                          </a:schemeClr>
                        </a:solidFill>
                        <a:latin typeface="+mn-lt"/>
                        <a:ea typeface="+mn-ea"/>
                        <a:cs typeface="+mn-cs"/>
                      </a:defRPr>
                    </a:pPr>
                    <a:fld id="{2EAB176F-6095-4A35-84F4-6BD8EF798F8B}" type="CELLRANGE">
                      <a:rPr lang="en-US"/>
                      <a:pPr>
                        <a:defRPr sz="6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7303706231767468"/>
                      <c:h val="5.4413898954672177E-2"/>
                    </c:manualLayout>
                  </c15:layout>
                  <c15:dlblFieldTable/>
                  <c15:showDataLabelsRange val="1"/>
                </c:ext>
                <c:ext xmlns:c16="http://schemas.microsoft.com/office/drawing/2014/chart" uri="{C3380CC4-5D6E-409C-BE32-E72D297353CC}">
                  <c16:uniqueId val="{00000017-BCA2-4668-8782-1EE546B56B10}"/>
                </c:ext>
              </c:extLst>
            </c:dLbl>
            <c:dLbl>
              <c:idx val="24"/>
              <c:layout>
                <c:manualLayout>
                  <c:x val="-0.40073295791586422"/>
                  <c:y val="-7.335112217001985E-2"/>
                </c:manualLayout>
              </c:layout>
              <c:tx>
                <c:rich>
                  <a:bodyPr/>
                  <a:lstStyle/>
                  <a:p>
                    <a:fld id="{AFD5A4E1-F57E-4CA5-BCE8-86654235060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8-BCA2-4668-8782-1EE546B56B10}"/>
                </c:ext>
              </c:extLst>
            </c:dLbl>
            <c:dLbl>
              <c:idx val="25"/>
              <c:tx>
                <c:rich>
                  <a:bodyPr/>
                  <a:lstStyle/>
                  <a:p>
                    <a:fld id="{D9A384A8-E56D-4DFD-9401-10961EB5D407}" type="CELLRANGE">
                      <a:rPr lang="cs-CZ"/>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CA2-4668-8782-1EE546B56B10}"/>
                </c:ext>
              </c:extLst>
            </c:dLbl>
            <c:dLbl>
              <c:idx val="26"/>
              <c:layout>
                <c:manualLayout>
                  <c:x val="-0.32728114867994446"/>
                  <c:y val="-8.8554069149660783E-3"/>
                </c:manualLayout>
              </c:layout>
              <c:tx>
                <c:rich>
                  <a:bodyPr/>
                  <a:lstStyle/>
                  <a:p>
                    <a:fld id="{9F65372B-6573-403B-9293-9597F069005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A-BCA2-4668-8782-1EE546B56B10}"/>
                </c:ext>
              </c:extLst>
            </c:dLbl>
            <c:dLbl>
              <c:idx val="27"/>
              <c:layout>
                <c:manualLayout>
                  <c:x val="-0.20723158057255231"/>
                  <c:y val="3.1812840003996042E-2"/>
                </c:manualLayout>
              </c:layout>
              <c:tx>
                <c:rich>
                  <a:bodyPr/>
                  <a:lstStyle/>
                  <a:p>
                    <a:fld id="{44C91FFE-1EA9-4BCE-9226-3BFC58FE4DDD}"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B-BCA2-4668-8782-1EE546B56B10}"/>
                </c:ext>
              </c:extLst>
            </c:dLbl>
            <c:dLbl>
              <c:idx val="28"/>
              <c:layout>
                <c:manualLayout>
                  <c:x val="-0.27193665033356901"/>
                  <c:y val="2.4183672542662273E-2"/>
                </c:manualLayout>
              </c:layout>
              <c:tx>
                <c:rich>
                  <a:bodyPr/>
                  <a:lstStyle/>
                  <a:p>
                    <a:fld id="{347B1608-2F3B-44C7-AA1C-F365D2B1682E}"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C-BCA2-4668-8782-1EE546B56B10}"/>
                </c:ext>
              </c:extLst>
            </c:dLbl>
            <c:dLbl>
              <c:idx val="29"/>
              <c:layout>
                <c:manualLayout>
                  <c:x val="-0.44737524682479707"/>
                  <c:y val="-5.3383698659289214E-2"/>
                </c:manualLayout>
              </c:layout>
              <c:tx>
                <c:rich>
                  <a:bodyPr/>
                  <a:lstStyle/>
                  <a:p>
                    <a:fld id="{0DE1132A-089B-425C-9C2E-12BC8C585688}"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1D-BCA2-4668-8782-1EE546B56B10}"/>
                </c:ext>
              </c:extLst>
            </c:dLbl>
            <c:dLbl>
              <c:idx val="30"/>
              <c:layout>
                <c:manualLayout>
                  <c:x val="4.3105678493606005E-2"/>
                  <c:y val="-7.8892320823291118E-3"/>
                </c:manualLayout>
              </c:layout>
              <c:tx>
                <c:rich>
                  <a:bodyPr rot="0" spcFirstLastPara="1" vertOverflow="clip" horzOverflow="clip" vert="horz" wrap="square" lIns="38100" tIns="19050" rIns="38100" bIns="19050" anchor="ctr" anchorCtr="0">
                    <a:spAutoFit/>
                  </a:bodyPr>
                  <a:lstStyle/>
                  <a:p>
                    <a:pPr algn="ctr">
                      <a:defRPr sz="500" b="0" i="0" u="none" strike="noStrike" kern="1200" baseline="0">
                        <a:solidFill>
                          <a:schemeClr val="dk1">
                            <a:lumMod val="65000"/>
                            <a:lumOff val="35000"/>
                          </a:schemeClr>
                        </a:solidFill>
                        <a:latin typeface="+mn-lt"/>
                        <a:ea typeface="+mn-ea"/>
                        <a:cs typeface="+mn-cs"/>
                      </a:defRPr>
                    </a:pPr>
                    <a:r>
                      <a:rPr lang="en-US"/>
                      <a:t>Podpora inovací</a:t>
                    </a:r>
                    <a:r>
                      <a:rPr lang="en-US" baseline="0"/>
                      <a:t> prostřednictvím aplikovaného výzkumu a experimentálního vývoje</a:t>
                    </a:r>
                    <a:endParaRPr lang="en-US"/>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5615918186632405"/>
                      <c:h val="6.2174291740853586E-2"/>
                    </c:manualLayout>
                  </c15:layout>
                </c:ext>
                <c:ext xmlns:c16="http://schemas.microsoft.com/office/drawing/2014/chart" uri="{C3380CC4-5D6E-409C-BE32-E72D297353CC}">
                  <c16:uniqueId val="{0000001E-BCA2-4668-8782-1EE546B56B10}"/>
                </c:ext>
              </c:extLst>
            </c:dLbl>
            <c:dLbl>
              <c:idx val="31"/>
              <c:layout>
                <c:manualLayout>
                  <c:x val="4.6940506471972003E-2"/>
                  <c:y val="7.7723286588287976E-2"/>
                </c:manualLayout>
              </c:layout>
              <c:tx>
                <c:rich>
                  <a:bodyPr rot="0" spcFirstLastPara="1" vertOverflow="clip" horzOverflow="clip" vert="horz" wrap="square" lIns="38100" tIns="19050" rIns="38100" bIns="19050" anchor="ctr" anchorCtr="1">
                    <a:noAutofit/>
                  </a:bodyPr>
                  <a:lstStyle/>
                  <a:p>
                    <a:pPr>
                      <a:defRPr sz="500" b="0" i="0" u="none" strike="noStrike" kern="1200" baseline="0">
                        <a:solidFill>
                          <a:schemeClr val="dk1">
                            <a:lumMod val="65000"/>
                            <a:lumOff val="35000"/>
                          </a:schemeClr>
                        </a:solidFill>
                        <a:latin typeface="+mn-lt"/>
                        <a:ea typeface="+mn-ea"/>
                        <a:cs typeface="+mn-cs"/>
                      </a:defRPr>
                    </a:pPr>
                    <a:fld id="{104E19E4-764F-492D-887F-14B810AB80FE}"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20159563847242359"/>
                      <c:h val="2.7277990184589877E-2"/>
                    </c:manualLayout>
                  </c15:layout>
                  <c15:dlblFieldTable/>
                  <c15:showDataLabelsRange val="1"/>
                </c:ext>
                <c:ext xmlns:c16="http://schemas.microsoft.com/office/drawing/2014/chart" uri="{C3380CC4-5D6E-409C-BE32-E72D297353CC}">
                  <c16:uniqueId val="{0000001F-BCA2-4668-8782-1EE546B56B10}"/>
                </c:ext>
              </c:extLst>
            </c:dLbl>
            <c:dLbl>
              <c:idx val="32"/>
              <c:layout>
                <c:manualLayout>
                  <c:x val="-0.23159779950106857"/>
                  <c:y val="1.2835644679363177E-2"/>
                </c:manualLayout>
              </c:layout>
              <c:tx>
                <c:rich>
                  <a:bodyPr/>
                  <a:lstStyle/>
                  <a:p>
                    <a:fld id="{3399C05B-CDEA-472C-925D-20F71EB968B4}"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0-BCA2-4668-8782-1EE546B56B10}"/>
                </c:ext>
              </c:extLst>
            </c:dLbl>
            <c:dLbl>
              <c:idx val="33"/>
              <c:layout>
                <c:manualLayout>
                  <c:x val="-0.13959245769687967"/>
                  <c:y val="9.1196886914691175E-2"/>
                </c:manualLayout>
              </c:layout>
              <c:tx>
                <c:rich>
                  <a:bodyPr/>
                  <a:lstStyle/>
                  <a:p>
                    <a:fld id="{4FD7509E-8190-4178-BD3A-B961A473F6A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1-BCA2-4668-8782-1EE546B56B10}"/>
                </c:ext>
              </c:extLst>
            </c:dLbl>
            <c:dLbl>
              <c:idx val="34"/>
              <c:layout>
                <c:manualLayout>
                  <c:x val="-0.23153084192649298"/>
                  <c:y val="-9.4619331753081043E-2"/>
                </c:manualLayout>
              </c:layout>
              <c:tx>
                <c:rich>
                  <a:bodyPr/>
                  <a:lstStyle/>
                  <a:p>
                    <a:fld id="{E441ABE0-CA6F-4395-BBAA-5F4663AE604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2-BCA2-4668-8782-1EE546B56B10}"/>
                </c:ext>
              </c:extLst>
            </c:dLbl>
            <c:dLbl>
              <c:idx val="35"/>
              <c:layout>
                <c:manualLayout>
                  <c:x val="2.189691458846282E-2"/>
                  <c:y val="7.128990364093761E-2"/>
                </c:manualLayout>
              </c:layout>
              <c:tx>
                <c:rich>
                  <a:bodyPr/>
                  <a:lstStyle/>
                  <a:p>
                    <a:fld id="{BCF62C38-1C1B-4D49-84E1-9C6F3488B9E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3-BCA2-4668-8782-1EE546B56B10}"/>
                </c:ext>
              </c:extLst>
            </c:dLbl>
            <c:dLbl>
              <c:idx val="36"/>
              <c:layout>
                <c:manualLayout>
                  <c:x val="-6.9435329871691737E-2"/>
                  <c:y val="8.3567737423825394E-2"/>
                </c:manualLayout>
              </c:layout>
              <c:tx>
                <c:rich>
                  <a:bodyPr/>
                  <a:lstStyle/>
                  <a:p>
                    <a:fld id="{DEE23D9E-9FF8-4C39-BCEC-B899B810882B}"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4-BCA2-4668-8782-1EE546B56B10}"/>
                </c:ext>
              </c:extLst>
            </c:dLbl>
            <c:dLbl>
              <c:idx val="37"/>
              <c:layout>
                <c:manualLayout>
                  <c:x val="-0.18625712033673808"/>
                  <c:y val="2.6751854980065208E-2"/>
                </c:manualLayout>
              </c:layout>
              <c:tx>
                <c:rich>
                  <a:bodyPr/>
                  <a:lstStyle/>
                  <a:p>
                    <a:fld id="{28D437EB-4609-4826-BA08-8E91EF4C4E5E}"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5-BCA2-4668-8782-1EE546B56B10}"/>
                </c:ext>
              </c:extLst>
            </c:dLbl>
            <c:dLbl>
              <c:idx val="38"/>
              <c:layout>
                <c:manualLayout>
                  <c:x val="-1.1632650928014092E-2"/>
                  <c:y val="2.7571151857929913E-2"/>
                </c:manualLayout>
              </c:layout>
              <c:tx>
                <c:rich>
                  <a:bodyPr/>
                  <a:lstStyle/>
                  <a:p>
                    <a:fld id="{E4F71FF4-4A3B-4E54-AF8F-E864301D36B0}"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manualLayout>
                      <c:w val="0.17406750589528666"/>
                      <c:h val="2.4724526451689613E-2"/>
                    </c:manualLayout>
                  </c15:layout>
                  <c15:dlblFieldTable/>
                  <c15:showDataLabelsRange val="1"/>
                </c:ext>
                <c:ext xmlns:c16="http://schemas.microsoft.com/office/drawing/2014/chart" uri="{C3380CC4-5D6E-409C-BE32-E72D297353CC}">
                  <c16:uniqueId val="{00000026-BCA2-4668-8782-1EE546B56B10}"/>
                </c:ext>
              </c:extLst>
            </c:dLbl>
            <c:dLbl>
              <c:idx val="39"/>
              <c:layout>
                <c:manualLayout>
                  <c:x val="-0.26737410919610283"/>
                  <c:y val="-1.5639048579135643E-3"/>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B7EA89D6-BEEF-4544-AF64-E0940D145A05}"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6000"/>
                  </a:sysClr>
                </a:solidFill>
                <a:ln>
                  <a:solidFill>
                    <a:sysClr val="windowText" lastClr="000000">
                      <a:lumMod val="25000"/>
                      <a:lumOff val="75000"/>
                      <a:alpha val="5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1"/>
                </c:ext>
                <c:ext xmlns:c16="http://schemas.microsoft.com/office/drawing/2014/chart" uri="{C3380CC4-5D6E-409C-BE32-E72D297353CC}">
                  <c16:uniqueId val="{00000027-BCA2-4668-8782-1EE546B56B10}"/>
                </c:ext>
              </c:extLst>
            </c:dLbl>
            <c:dLbl>
              <c:idx val="40"/>
              <c:layout>
                <c:manualLayout>
                  <c:x val="-0.18538325898117225"/>
                  <c:y val="6.1429492593702603E-2"/>
                </c:manualLayout>
              </c:layout>
              <c:tx>
                <c:rich>
                  <a:bodyPr/>
                  <a:lstStyle/>
                  <a:p>
                    <a:r>
                      <a:rPr lang="en-US"/>
                      <a:t>Podpora rovnosti žen a mužů</a:t>
                    </a:r>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28-BCA2-4668-8782-1EE546B56B10}"/>
                </c:ext>
              </c:extLst>
            </c:dLbl>
            <c:dLbl>
              <c:idx val="41"/>
              <c:layout>
                <c:manualLayout>
                  <c:x val="-0.25912500101573993"/>
                  <c:y val="2.5822230698671317E-2"/>
                </c:manualLayout>
              </c:layout>
              <c:tx>
                <c:rich>
                  <a:bodyPr/>
                  <a:lstStyle/>
                  <a:p>
                    <a:fld id="{307338EE-0F03-460A-B87F-3A68C2B06471}"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9-BCA2-4668-8782-1EE546B56B10}"/>
                </c:ext>
              </c:extLst>
            </c:dLbl>
            <c:dLbl>
              <c:idx val="42"/>
              <c:layout>
                <c:manualLayout>
                  <c:x val="-0.13173805286723062"/>
                  <c:y val="6.0871681697227377E-2"/>
                </c:manualLayout>
              </c:layout>
              <c:tx>
                <c:rich>
                  <a:bodyPr/>
                  <a:lstStyle/>
                  <a:p>
                    <a:fld id="{B826D7F6-B861-4793-9AD2-FFE3EA71A94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2A-BCA2-4668-8782-1EE546B56B10}"/>
                </c:ext>
              </c:extLst>
            </c:dLbl>
            <c:spPr>
              <a:solidFill>
                <a:sysClr val="window" lastClr="FFFFFF">
                  <a:alpha val="46000"/>
                </a:sysClr>
              </a:solidFill>
              <a:ln>
                <a:solidFill>
                  <a:sysClr val="windowText" lastClr="000000">
                    <a:lumMod val="25000"/>
                    <a:lumOff val="75000"/>
                    <a:alpha val="56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xVal>
            <c:numRef>
              <c:f>'Data pro grafy'!$C$2:$C$44</c:f>
              <c:numCache>
                <c:formatCode>0.0</c:formatCode>
                <c:ptCount val="43"/>
                <c:pt idx="0">
                  <c:v>27.6</c:v>
                </c:pt>
                <c:pt idx="1">
                  <c:v>26.1</c:v>
                </c:pt>
                <c:pt idx="2">
                  <c:v>25.44</c:v>
                </c:pt>
                <c:pt idx="3">
                  <c:v>23.1</c:v>
                </c:pt>
                <c:pt idx="4">
                  <c:v>25.3</c:v>
                </c:pt>
                <c:pt idx="5">
                  <c:v>17.299999999999997</c:v>
                </c:pt>
                <c:pt idx="6">
                  <c:v>21.08</c:v>
                </c:pt>
                <c:pt idx="7">
                  <c:v>23.14</c:v>
                </c:pt>
                <c:pt idx="8">
                  <c:v>23.8</c:v>
                </c:pt>
                <c:pt idx="9">
                  <c:v>22.7</c:v>
                </c:pt>
                <c:pt idx="10">
                  <c:v>26.628571428571426</c:v>
                </c:pt>
                <c:pt idx="11">
                  <c:v>26.228571428571428</c:v>
                </c:pt>
                <c:pt idx="12">
                  <c:v>23.6</c:v>
                </c:pt>
                <c:pt idx="13">
                  <c:v>23.34</c:v>
                </c:pt>
                <c:pt idx="14">
                  <c:v>24.66</c:v>
                </c:pt>
                <c:pt idx="15">
                  <c:v>27.18</c:v>
                </c:pt>
                <c:pt idx="16">
                  <c:v>23.5</c:v>
                </c:pt>
                <c:pt idx="17">
                  <c:v>23.38</c:v>
                </c:pt>
                <c:pt idx="18">
                  <c:v>24.38</c:v>
                </c:pt>
                <c:pt idx="19">
                  <c:v>22.240000000000002</c:v>
                </c:pt>
                <c:pt idx="20">
                  <c:v>23.7</c:v>
                </c:pt>
                <c:pt idx="21">
                  <c:v>25.3</c:v>
                </c:pt>
                <c:pt idx="22">
                  <c:v>25.9</c:v>
                </c:pt>
                <c:pt idx="23">
                  <c:v>22.6</c:v>
                </c:pt>
                <c:pt idx="24">
                  <c:v>23.15</c:v>
                </c:pt>
                <c:pt idx="25">
                  <c:v>21.675000000000001</c:v>
                </c:pt>
                <c:pt idx="26">
                  <c:v>21.9</c:v>
                </c:pt>
                <c:pt idx="27">
                  <c:v>19.2</c:v>
                </c:pt>
                <c:pt idx="28">
                  <c:v>20.7</c:v>
                </c:pt>
                <c:pt idx="29">
                  <c:v>24.86</c:v>
                </c:pt>
                <c:pt idx="30">
                  <c:v>26.16</c:v>
                </c:pt>
                <c:pt idx="31">
                  <c:v>25.1</c:v>
                </c:pt>
                <c:pt idx="32">
                  <c:v>19.52</c:v>
                </c:pt>
                <c:pt idx="33">
                  <c:v>22</c:v>
                </c:pt>
                <c:pt idx="34">
                  <c:v>20.779999999999998</c:v>
                </c:pt>
                <c:pt idx="35">
                  <c:v>23.54</c:v>
                </c:pt>
                <c:pt idx="36">
                  <c:v>18.2</c:v>
                </c:pt>
                <c:pt idx="37">
                  <c:v>16.675000000000001</c:v>
                </c:pt>
                <c:pt idx="38">
                  <c:v>22.619999999999997</c:v>
                </c:pt>
                <c:pt idx="39">
                  <c:v>22.1</c:v>
                </c:pt>
                <c:pt idx="40">
                  <c:v>21.22</c:v>
                </c:pt>
                <c:pt idx="41">
                  <c:v>21.6</c:v>
                </c:pt>
                <c:pt idx="42">
                  <c:v>15.5</c:v>
                </c:pt>
              </c:numCache>
            </c:numRef>
          </c:xVal>
          <c:yVal>
            <c:numRef>
              <c:f>'Data pro grafy'!$D$2:$D$44</c:f>
              <c:numCache>
                <c:formatCode>0.0</c:formatCode>
                <c:ptCount val="43"/>
                <c:pt idx="0">
                  <c:v>16.8</c:v>
                </c:pt>
                <c:pt idx="1">
                  <c:v>17.100000000000001</c:v>
                </c:pt>
                <c:pt idx="2">
                  <c:v>18</c:v>
                </c:pt>
                <c:pt idx="3">
                  <c:v>15.540000000000001</c:v>
                </c:pt>
                <c:pt idx="4">
                  <c:v>16.214285714285715</c:v>
                </c:pt>
                <c:pt idx="5">
                  <c:v>15.600000000000001</c:v>
                </c:pt>
                <c:pt idx="6">
                  <c:v>15</c:v>
                </c:pt>
                <c:pt idx="7">
                  <c:v>13.14</c:v>
                </c:pt>
                <c:pt idx="8">
                  <c:v>12.620000000000001</c:v>
                </c:pt>
                <c:pt idx="9">
                  <c:v>13.14</c:v>
                </c:pt>
                <c:pt idx="10">
                  <c:v>15.7</c:v>
                </c:pt>
                <c:pt idx="11">
                  <c:v>13.771428571428572</c:v>
                </c:pt>
                <c:pt idx="12">
                  <c:v>14.8</c:v>
                </c:pt>
                <c:pt idx="13">
                  <c:v>15.600000000000001</c:v>
                </c:pt>
                <c:pt idx="14">
                  <c:v>17.3</c:v>
                </c:pt>
                <c:pt idx="15">
                  <c:v>15.399999999999999</c:v>
                </c:pt>
                <c:pt idx="16">
                  <c:v>14.9</c:v>
                </c:pt>
                <c:pt idx="17">
                  <c:v>14.625000000000002</c:v>
                </c:pt>
                <c:pt idx="18">
                  <c:v>14.4</c:v>
                </c:pt>
                <c:pt idx="19">
                  <c:v>11.3</c:v>
                </c:pt>
                <c:pt idx="20">
                  <c:v>16.5</c:v>
                </c:pt>
                <c:pt idx="21">
                  <c:v>16.7</c:v>
                </c:pt>
                <c:pt idx="22">
                  <c:v>13.259999999999998</c:v>
                </c:pt>
                <c:pt idx="23">
                  <c:v>12.68</c:v>
                </c:pt>
                <c:pt idx="24">
                  <c:v>16.599999999999998</c:v>
                </c:pt>
                <c:pt idx="25">
                  <c:v>14.3</c:v>
                </c:pt>
                <c:pt idx="26">
                  <c:v>13.899999999999999</c:v>
                </c:pt>
                <c:pt idx="27">
                  <c:v>15.5</c:v>
                </c:pt>
                <c:pt idx="28">
                  <c:v>13.000000000000002</c:v>
                </c:pt>
                <c:pt idx="29">
                  <c:v>16.260000000000002</c:v>
                </c:pt>
                <c:pt idx="30">
                  <c:v>16.399999999999999</c:v>
                </c:pt>
                <c:pt idx="31">
                  <c:v>15.240000000000002</c:v>
                </c:pt>
                <c:pt idx="32">
                  <c:v>13.700000000000001</c:v>
                </c:pt>
                <c:pt idx="33">
                  <c:v>12.899999999999999</c:v>
                </c:pt>
                <c:pt idx="34">
                  <c:v>15.219999999999999</c:v>
                </c:pt>
                <c:pt idx="35">
                  <c:v>11.260000000000002</c:v>
                </c:pt>
                <c:pt idx="36">
                  <c:v>11.22</c:v>
                </c:pt>
                <c:pt idx="37">
                  <c:v>9.1</c:v>
                </c:pt>
                <c:pt idx="38">
                  <c:v>13.76</c:v>
                </c:pt>
                <c:pt idx="39">
                  <c:v>14.919999999999998</c:v>
                </c:pt>
                <c:pt idx="40">
                  <c:v>12.940000000000001</c:v>
                </c:pt>
                <c:pt idx="41">
                  <c:v>14.96</c:v>
                </c:pt>
                <c:pt idx="42">
                  <c:v>11.08</c:v>
                </c:pt>
              </c:numCache>
            </c:numRef>
          </c:yVal>
          <c:smooth val="0"/>
          <c:extLst xmlns:c16r2="http://schemas.microsoft.com/office/drawing/2015/06/chart">
            <c:ext xmlns:c15="http://schemas.microsoft.com/office/drawing/2012/chart" uri="{02D57815-91ED-43cb-92C2-25804820EDAC}">
              <c15:datalabelsRange>
                <c15:f>'Data pro grafy'!$A$2:$A$44</c15:f>
                <c15:dlblRangeCache>
                  <c:ptCount val="43"/>
                  <c:pt idx="0">
                    <c:v>Zlepšení kvality ovzduší</c:v>
                  </c:pt>
                  <c:pt idx="1">
                    <c:v>Ochrana a zlepšení stavu vody a vodního hospodářství</c:v>
                  </c:pt>
                  <c:pt idx="2">
                    <c:v>Ochrana a péče o přírodu a krajinu</c:v>
                  </c:pt>
                  <c:pt idx="3">
                    <c:v>Sanace míst s ekologickou zátěží a revitalizace brownfieldů</c:v>
                  </c:pt>
                  <c:pt idx="4">
                    <c:v>Oběhové hospodářství, odpady a účinné využívání zdrojů</c:v>
                  </c:pt>
                  <c:pt idx="5">
                    <c:v>Vytvoření zázemí pro vzdělávání pro udržitelný rozvoj</c:v>
                  </c:pt>
                  <c:pt idx="6">
                    <c:v>Zkvalitňování veřejných prostranství</c:v>
                  </c:pt>
                  <c:pt idx="7">
                    <c:v>Zajištění rovného přístupu ke vzdělání</c:v>
                  </c:pt>
                  <c:pt idx="8">
                    <c:v>Zlepšení vzdělávacího systému</c:v>
                  </c:pt>
                  <c:pt idx="9">
                    <c:v>Zvýšení kompetencí a kvality pracovníků ve vzdělávání</c:v>
                  </c:pt>
                  <c:pt idx="10">
                    <c:v>Zvýšení energetické účinnosti a úspory energie</c:v>
                  </c:pt>
                  <c:pt idx="11">
                    <c:v>NUH technologie a obnovitelné zdroje energie</c:v>
                  </c:pt>
                  <c:pt idx="12">
                    <c:v>Výroba, distribuce a akumulace tepelné energie</c:v>
                  </c:pt>
                  <c:pt idx="13">
                    <c:v>Modernizace výroby a distribuce energie</c:v>
                  </c:pt>
                  <c:pt idx="14">
                    <c:v>Rozvoj a zkvalitnění dopravní infrastruktury</c:v>
                  </c:pt>
                  <c:pt idx="15">
                    <c:v>Rozvoj a zlepšení integrace dopravy</c:v>
                  </c:pt>
                  <c:pt idx="16">
                    <c:v>Alternativní paliva v dopravě</c:v>
                  </c:pt>
                  <c:pt idx="17">
                    <c:v>Využívání vozidel s alternativním pohonem ve veřejné dopravě</c:v>
                  </c:pt>
                  <c:pt idx="18">
                    <c:v>Zavedení moderních technologií pro organizaci dopravy</c:v>
                  </c:pt>
                  <c:pt idx="19">
                    <c:v>Rozvoj bezmotorové dopravy</c:v>
                  </c:pt>
                  <c:pt idx="20">
                    <c:v>Efektivní využití multimodální nákladní dopravy</c:v>
                  </c:pt>
                  <c:pt idx="21">
                    <c:v>Zavedení digitální ekonomiky a průmyslu 4.0 ve firmách</c:v>
                  </c:pt>
                  <c:pt idx="22">
                    <c:v>Zlepšení inovační schopnosti MSP</c:v>
                  </c:pt>
                  <c:pt idx="23">
                    <c:v>Zvýšení přidané hodnoty výrobků a služeb podniků</c:v>
                  </c:pt>
                  <c:pt idx="24">
                    <c:v>Klientsky orientované sociální služby</c:v>
                  </c:pt>
                  <c:pt idx="25">
                    <c:v>Sociální začleňování</c:v>
                  </c:pt>
                  <c:pt idx="26">
                    <c:v>Kvalitní a dostupná zdravotní péče</c:v>
                  </c:pt>
                  <c:pt idx="27">
                    <c:v>Sociální bydlení</c:v>
                  </c:pt>
                  <c:pt idx="28">
                    <c:v>Ochrana, rozvoj a podpora kulturního dědictví</c:v>
                  </c:pt>
                  <c:pt idx="29">
                    <c:v>Rozvoj zázemí pro kvalitní a relevantní výzkum</c:v>
                  </c:pt>
                  <c:pt idx="30">
                    <c:v>Podpora inovace prostřednictvím výzkumu a vývoje</c:v>
                  </c:pt>
                  <c:pt idx="31">
                    <c:v>Zkvalitnění strategického řízení VaVaI</c:v>
                  </c:pt>
                  <c:pt idx="32">
                    <c:v>Udržitelný cestovní ruch</c:v>
                  </c:pt>
                  <c:pt idx="33">
                    <c:v>Elektronizace výkonu veřejné správy</c:v>
                  </c:pt>
                  <c:pt idx="34">
                    <c:v>Zefektivnění veřejné správy</c:v>
                  </c:pt>
                  <c:pt idx="35">
                    <c:v>Kybernetická bezpečnost</c:v>
                  </c:pt>
                  <c:pt idx="36">
                    <c:v>Ochrana obyvatelstva</c:v>
                  </c:pt>
                  <c:pt idx="37">
                    <c:v>Digitalizace územního plánování</c:v>
                  </c:pt>
                  <c:pt idx="38">
                    <c:v>Fungující systém dalšího profesního vzdělávání</c:v>
                  </c:pt>
                  <c:pt idx="39">
                    <c:v>Zvýšení účasti znevýhodněných skupin na trhu práce</c:v>
                  </c:pt>
                  <c:pt idx="40">
                    <c:v>Podpora rovných příležitostí</c:v>
                  </c:pt>
                  <c:pt idx="41">
                    <c:v>Modernizace institucí na trhu práce</c:v>
                  </c:pt>
                  <c:pt idx="42">
                    <c:v>Podpora a využití pracovní mobility</c:v>
                  </c:pt>
                </c15:dlblRangeCache>
              </c15:datalabelsRange>
            </c:ext>
            <c:ext xmlns:c16="http://schemas.microsoft.com/office/drawing/2014/chart" uri="{C3380CC4-5D6E-409C-BE32-E72D297353CC}">
              <c16:uniqueId val="{0000002B-BCA2-4668-8782-1EE546B56B10}"/>
            </c:ext>
          </c:extLst>
        </c:ser>
        <c:dLbls>
          <c:showLegendKey val="0"/>
          <c:showVal val="0"/>
          <c:showCatName val="0"/>
          <c:showSerName val="0"/>
          <c:showPercent val="0"/>
          <c:showBubbleSize val="0"/>
        </c:dLbls>
        <c:axId val="32001408"/>
        <c:axId val="35010048"/>
      </c:scatterChart>
      <c:valAx>
        <c:axId val="32001408"/>
        <c:scaling>
          <c:orientation val="minMax"/>
          <c:min val="1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Důležitost</a:t>
                </a:r>
                <a:r>
                  <a:rPr lang="cs-CZ" baseline="0"/>
                  <a:t> (škála 0 - 30)</a:t>
                </a:r>
                <a:endParaRPr lang="cs-CZ"/>
              </a:p>
            </c:rich>
          </c:tx>
          <c:layout>
            <c:manualLayout>
              <c:xMode val="edge"/>
              <c:yMode val="edge"/>
              <c:x val="0.4747889275616009"/>
              <c:y val="0.95078541043525511"/>
            </c:manualLayout>
          </c:layout>
          <c:overlay val="0"/>
          <c:spPr>
            <a:noFill/>
            <a:ln>
              <a:noFill/>
            </a:ln>
            <a:effectLst/>
          </c:spPr>
        </c:title>
        <c:numFmt formatCode="0.0" sourceLinked="1"/>
        <c:majorTickMark val="none"/>
        <c:minorTickMark val="none"/>
        <c:tickLblPos val="low"/>
        <c:spPr>
          <a:solidFill>
            <a:schemeClr val="bg1"/>
          </a:solidFill>
          <a:ln w="31750" cap="flat" cmpd="sng" algn="ctr">
            <a:solidFill>
              <a:srgbClr val="FF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5010048"/>
        <c:crossesAt val="14.5"/>
        <c:crossBetween val="midCat"/>
      </c:valAx>
      <c:valAx>
        <c:axId val="35010048"/>
        <c:scaling>
          <c:orientation val="minMax"/>
          <c:max val="19"/>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Strategie (škála 0 - 20)</a:t>
                </a:r>
              </a:p>
            </c:rich>
          </c:tx>
          <c:overlay val="0"/>
          <c:spPr>
            <a:noFill/>
            <a:ln>
              <a:noFill/>
            </a:ln>
            <a:effectLst/>
          </c:spPr>
        </c:title>
        <c:numFmt formatCode="0.0" sourceLinked="1"/>
        <c:majorTickMark val="none"/>
        <c:minorTickMark val="none"/>
        <c:tickLblPos val="low"/>
        <c:spPr>
          <a:noFill/>
          <a:ln w="25400" cap="flat" cmpd="sng" algn="ctr">
            <a:solidFill>
              <a:srgbClr val="FF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2001408"/>
        <c:crossesAt val="22.9"/>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lt1"/>
                </a:solidFill>
                <a:latin typeface="+mn-lt"/>
                <a:ea typeface="+mn-ea"/>
                <a:cs typeface="+mn-cs"/>
              </a:defRPr>
            </a:pPr>
            <a:r>
              <a:rPr lang="cs-CZ">
                <a:solidFill>
                  <a:schemeClr val="lt1"/>
                </a:solidFill>
                <a:latin typeface="+mn-lt"/>
                <a:ea typeface="+mn-ea"/>
                <a:cs typeface="+mn-cs"/>
              </a:rPr>
              <a:t>Důležitost x A</a:t>
            </a:r>
            <a:r>
              <a:rPr lang="en-US">
                <a:solidFill>
                  <a:schemeClr val="lt1"/>
                </a:solidFill>
                <a:latin typeface="+mn-lt"/>
                <a:ea typeface="+mn-ea"/>
                <a:cs typeface="+mn-cs"/>
              </a:rPr>
              <a:t>bs. kapacita</a:t>
            </a:r>
            <a:endParaRPr lang="en-US"/>
          </a:p>
        </c:rich>
      </c:tx>
      <c:overlay val="0"/>
      <c:spPr>
        <a:solidFill>
          <a:schemeClr val="accent1"/>
        </a:solidFill>
        <a:ln w="12700" cap="flat" cmpd="sng" algn="ctr">
          <a:solidFill>
            <a:schemeClr val="accent1">
              <a:shade val="50000"/>
            </a:schemeClr>
          </a:solidFill>
          <a:prstDash val="solid"/>
          <a:miter lim="800000"/>
        </a:ln>
        <a:effectLst/>
      </c:spPr>
    </c:title>
    <c:autoTitleDeleted val="0"/>
    <c:plotArea>
      <c:layout/>
      <c:scatterChart>
        <c:scatterStyle val="lineMarker"/>
        <c:varyColors val="0"/>
        <c:ser>
          <c:idx val="3"/>
          <c:order val="0"/>
          <c:tx>
            <c:strRef>
              <c:f>'Data pro grafy'!$G$1</c:f>
              <c:strCache>
                <c:ptCount val="1"/>
                <c:pt idx="0">
                  <c:v>Abs. kapacita</c:v>
                </c:pt>
              </c:strCache>
            </c:strRef>
          </c:tx>
          <c:spPr>
            <a:ln w="25400" cap="rnd">
              <a:noFill/>
              <a:round/>
            </a:ln>
            <a:effectLst/>
          </c:spPr>
          <c:marker>
            <c:symbol val="circle"/>
            <c:size val="5"/>
            <c:spPr>
              <a:solidFill>
                <a:schemeClr val="accent1"/>
              </a:solidFill>
              <a:ln w="9525">
                <a:noFill/>
              </a:ln>
              <a:effectLst/>
            </c:spPr>
          </c:marker>
          <c:dLbls>
            <c:dLbl>
              <c:idx val="0"/>
              <c:layout>
                <c:manualLayout>
                  <c:x val="-5.611069378011848E-2"/>
                  <c:y val="-4.2417156704507596E-2"/>
                </c:manualLayout>
              </c:layout>
              <c:tx>
                <c:rich>
                  <a:bodyPr/>
                  <a:lstStyle/>
                  <a:p>
                    <a:fld id="{BBA9319D-5797-4169-950C-6204CF0EDA1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0-3656-418C-9A53-16737C6FC4D7}"/>
                </c:ext>
              </c:extLst>
            </c:dLbl>
            <c:dLbl>
              <c:idx val="1"/>
              <c:layout>
                <c:manualLayout>
                  <c:x val="-0.13227513227513235"/>
                  <c:y val="-5.8031496062992127E-2"/>
                </c:manualLayout>
              </c:layout>
              <c:tx>
                <c:rich>
                  <a:bodyPr/>
                  <a:lstStyle/>
                  <a:p>
                    <a:fld id="{E3EDE2DC-54D9-4427-AF93-0D293FA8D6A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1-3656-418C-9A53-16737C6FC4D7}"/>
                </c:ext>
              </c:extLst>
            </c:dLbl>
            <c:dLbl>
              <c:idx val="2"/>
              <c:layout>
                <c:manualLayout>
                  <c:x val="1.9841269841269681E-2"/>
                  <c:y val="-1.5927189988623434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AAF7F79D-13E3-4A8E-AE67-ABFE4BD217A2}"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1"/>
                </c:ext>
                <c:ext xmlns:c16="http://schemas.microsoft.com/office/drawing/2014/chart" uri="{C3380CC4-5D6E-409C-BE32-E72D297353CC}">
                  <c16:uniqueId val="{00000002-3656-418C-9A53-16737C6FC4D7}"/>
                </c:ext>
              </c:extLst>
            </c:dLbl>
            <c:dLbl>
              <c:idx val="3"/>
              <c:layout>
                <c:manualLayout>
                  <c:x val="-0.10529864322515241"/>
                  <c:y val="-8.3861925572261922E-2"/>
                </c:manualLayout>
              </c:layout>
              <c:tx>
                <c:rich>
                  <a:bodyPr/>
                  <a:lstStyle/>
                  <a:p>
                    <a:fld id="{87A92215-4F29-4CE6-A491-E0E9E9EFFDA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3-3656-418C-9A53-16737C6FC4D7}"/>
                </c:ext>
              </c:extLst>
            </c:dLbl>
            <c:dLbl>
              <c:idx val="4"/>
              <c:layout>
                <c:manualLayout>
                  <c:x val="2.5352733686067018E-2"/>
                  <c:y val="-3.3551100481040555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CFC87425-80FA-4549-9B02-4CF74CE27130}"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7532218194947854"/>
                      <c:h val="3.4945401449392198E-2"/>
                    </c:manualLayout>
                  </c15:layout>
                  <c15:dlblFieldTable/>
                  <c15:showDataLabelsRange val="1"/>
                </c:ext>
                <c:ext xmlns:c16="http://schemas.microsoft.com/office/drawing/2014/chart" uri="{C3380CC4-5D6E-409C-BE32-E72D297353CC}">
                  <c16:uniqueId val="{00000004-3656-418C-9A53-16737C6FC4D7}"/>
                </c:ext>
              </c:extLst>
            </c:dLbl>
            <c:dLbl>
              <c:idx val="5"/>
              <c:layout>
                <c:manualLayout>
                  <c:x val="-0.14385805940924051"/>
                  <c:y val="-0.11349787266811698"/>
                </c:manualLayout>
              </c:layout>
              <c:tx>
                <c:rich>
                  <a:bodyPr/>
                  <a:lstStyle/>
                  <a:p>
                    <a:fld id="{A1CB569E-8B4C-407F-B1CF-083EC18B00C9}"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5-3656-418C-9A53-16737C6FC4D7}"/>
                </c:ext>
              </c:extLst>
            </c:dLbl>
            <c:dLbl>
              <c:idx val="6"/>
              <c:layout>
                <c:manualLayout>
                  <c:x val="-0.19752149036925939"/>
                  <c:y val="5.7383093005794812E-2"/>
                </c:manualLayout>
              </c:layout>
              <c:tx>
                <c:rich>
                  <a:bodyPr rot="0" spcFirstLastPara="1" vertOverflow="clip" horzOverflow="clip" vert="horz" wrap="square" lIns="38100" tIns="19050" rIns="38100" bIns="19050" anchor="ctr" anchorCtr="1">
                    <a:noAutofit/>
                  </a:bodyPr>
                  <a:lstStyle/>
                  <a:p>
                    <a:pPr>
                      <a:defRPr sz="600" b="0" i="0" u="none" strike="noStrike" kern="1200" baseline="0">
                        <a:solidFill>
                          <a:schemeClr val="dk1">
                            <a:lumMod val="65000"/>
                            <a:lumOff val="35000"/>
                          </a:schemeClr>
                        </a:solidFill>
                        <a:latin typeface="+mn-lt"/>
                        <a:ea typeface="+mn-ea"/>
                        <a:cs typeface="+mn-cs"/>
                      </a:defRPr>
                    </a:pPr>
                    <a:fld id="{E483EC43-A739-4D87-9378-6FFD6222AE64}" type="CELLRANGE">
                      <a:rPr lang="en-US"/>
                      <a:pPr>
                        <a:defRPr sz="6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191553201547737"/>
                      <c:h val="6.8474483658790386E-2"/>
                    </c:manualLayout>
                  </c15:layout>
                  <c15:dlblFieldTable/>
                  <c15:showDataLabelsRange val="1"/>
                </c:ext>
                <c:ext xmlns:c16="http://schemas.microsoft.com/office/drawing/2014/chart" uri="{C3380CC4-5D6E-409C-BE32-E72D297353CC}">
                  <c16:uniqueId val="{00000006-3656-418C-9A53-16737C6FC4D7}"/>
                </c:ext>
              </c:extLst>
            </c:dLbl>
            <c:dLbl>
              <c:idx val="7"/>
              <c:layout>
                <c:manualLayout>
                  <c:x val="-0.22486772486772494"/>
                  <c:y val="-1.2224938875305668E-2"/>
                </c:manualLayout>
              </c:layout>
              <c:tx>
                <c:rich>
                  <a:bodyPr/>
                  <a:lstStyle/>
                  <a:p>
                    <a:fld id="{7E239194-1E7A-4DCB-B570-B49100E8AEB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7-3656-418C-9A53-16737C6FC4D7}"/>
                </c:ext>
              </c:extLst>
            </c:dLbl>
            <c:dLbl>
              <c:idx val="8"/>
              <c:layout>
                <c:manualLayout>
                  <c:x val="-0.28304500131927962"/>
                  <c:y val="-1.8587490133415475E-2"/>
                </c:manualLayout>
              </c:layout>
              <c:tx>
                <c:rich>
                  <a:bodyPr/>
                  <a:lstStyle/>
                  <a:p>
                    <a:fld id="{26F064C1-3878-4B68-9A31-C1376C1CDD0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8-3656-418C-9A53-16737C6FC4D7}"/>
                </c:ext>
              </c:extLst>
            </c:dLbl>
            <c:dLbl>
              <c:idx val="9"/>
              <c:layout>
                <c:manualLayout>
                  <c:x val="-0.23401172075712759"/>
                  <c:y val="-3.3202905950749331E-2"/>
                </c:manualLayout>
              </c:layout>
              <c:tx>
                <c:rich>
                  <a:bodyPr/>
                  <a:lstStyle/>
                  <a:p>
                    <a:fld id="{50FB1DE6-DC11-4A05-B785-F614697B5B2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9-3656-418C-9A53-16737C6FC4D7}"/>
                </c:ext>
              </c:extLst>
            </c:dLbl>
            <c:dLbl>
              <c:idx val="10"/>
              <c:layout>
                <c:manualLayout>
                  <c:x val="-1.616677385145396E-16"/>
                  <c:y val="5.7559247636832594E-2"/>
                </c:manualLayout>
              </c:layout>
              <c:tx>
                <c:rich>
                  <a:bodyPr/>
                  <a:lstStyle/>
                  <a:p>
                    <a:fld id="{C2A6DEAC-AD79-4337-AC05-7FB0A95DB66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A-3656-418C-9A53-16737C6FC4D7}"/>
                </c:ext>
              </c:extLst>
            </c:dLbl>
            <c:dLbl>
              <c:idx val="11"/>
              <c:layout>
                <c:manualLayout>
                  <c:x val="0"/>
                  <c:y val="9.5546119874947381E-3"/>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328B5FB8-3564-456C-8833-B746630C1AE0}"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5042911302753822"/>
                      <c:h val="3.4945401449392198E-2"/>
                    </c:manualLayout>
                  </c15:layout>
                  <c15:dlblFieldTable/>
                  <c15:showDataLabelsRange val="1"/>
                </c:ext>
                <c:ext xmlns:c16="http://schemas.microsoft.com/office/drawing/2014/chart" uri="{C3380CC4-5D6E-409C-BE32-E72D297353CC}">
                  <c16:uniqueId val="{0000000B-3656-418C-9A53-16737C6FC4D7}"/>
                </c:ext>
              </c:extLst>
            </c:dLbl>
            <c:dLbl>
              <c:idx val="12"/>
              <c:layout>
                <c:manualLayout>
                  <c:x val="0.15075832534822037"/>
                  <c:y val="3.5230252392045129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8FDB7921-CAF8-46B5-8ED0-B33A3B3C7999}"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614943965337666"/>
                      <c:h val="3.7551354369212399E-2"/>
                    </c:manualLayout>
                  </c15:layout>
                  <c15:dlblFieldTable/>
                  <c15:showDataLabelsRange val="1"/>
                </c:ext>
                <c:ext xmlns:c16="http://schemas.microsoft.com/office/drawing/2014/chart" uri="{C3380CC4-5D6E-409C-BE32-E72D297353CC}">
                  <c16:uniqueId val="{0000000C-3656-418C-9A53-16737C6FC4D7}"/>
                </c:ext>
              </c:extLst>
            </c:dLbl>
            <c:dLbl>
              <c:idx val="13"/>
              <c:layout>
                <c:manualLayout>
                  <c:x val="-2.1438813203905067E-2"/>
                  <c:y val="9.5410546175615576E-2"/>
                </c:manualLayout>
              </c:layout>
              <c:tx>
                <c:rich>
                  <a:bodyPr/>
                  <a:lstStyle/>
                  <a:p>
                    <a:fld id="{34F4D547-A6C0-494A-8411-31A7B0CDB46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D-3656-418C-9A53-16737C6FC4D7}"/>
                </c:ext>
              </c:extLst>
            </c:dLbl>
            <c:dLbl>
              <c:idx val="14"/>
              <c:layout>
                <c:manualLayout>
                  <c:x val="7.6733463872571484E-3"/>
                  <c:y val="-6.1152802110005199E-2"/>
                </c:manualLayout>
              </c:layout>
              <c:tx>
                <c:rich>
                  <a:bodyPr/>
                  <a:lstStyle/>
                  <a:p>
                    <a:fld id="{58B8F0E7-BE93-4FE0-B9E6-CDAE709C42E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E-3656-418C-9A53-16737C6FC4D7}"/>
                </c:ext>
              </c:extLst>
            </c:dLbl>
            <c:dLbl>
              <c:idx val="15"/>
              <c:layout>
                <c:manualLayout>
                  <c:x val="-2.0071886228062406E-16"/>
                  <c:y val="-4.4538014539732933E-2"/>
                </c:manualLayout>
              </c:layout>
              <c:tx>
                <c:rich>
                  <a:bodyPr/>
                  <a:lstStyle/>
                  <a:p>
                    <a:fld id="{C226B698-9A72-412A-9532-7B8E49F15980}"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0F-3656-418C-9A53-16737C6FC4D7}"/>
                </c:ext>
              </c:extLst>
            </c:dLbl>
            <c:dLbl>
              <c:idx val="16"/>
              <c:layout>
                <c:manualLayout>
                  <c:x val="-1.0223027677096E-2"/>
                  <c:y val="-5.3690396209006341E-2"/>
                </c:manualLayout>
              </c:layout>
              <c:tx>
                <c:rich>
                  <a:bodyPr/>
                  <a:lstStyle/>
                  <a:p>
                    <a:fld id="{285514B3-6101-43BF-9CEC-0E9D110B7435}"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0-3656-418C-9A53-16737C6FC4D7}"/>
                </c:ext>
              </c:extLst>
            </c:dLbl>
            <c:dLbl>
              <c:idx val="17"/>
              <c:layout>
                <c:manualLayout>
                  <c:x val="-0.14060950714494022"/>
                  <c:y val="4.0949540010570266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5DE53FFF-5347-4859-882A-69BB96C0E7F6}"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1"/>
                </c:ext>
                <c:ext xmlns:c16="http://schemas.microsoft.com/office/drawing/2014/chart" uri="{C3380CC4-5D6E-409C-BE32-E72D297353CC}">
                  <c16:uniqueId val="{00000011-3656-418C-9A53-16737C6FC4D7}"/>
                </c:ext>
              </c:extLst>
            </c:dLbl>
            <c:dLbl>
              <c:idx val="18"/>
              <c:layout>
                <c:manualLayout>
                  <c:x val="1.3153043369578803E-2"/>
                  <c:y val="9.2141193231041724E-2"/>
                </c:manualLayout>
              </c:layout>
              <c:tx>
                <c:rich>
                  <a:bodyPr/>
                  <a:lstStyle/>
                  <a:p>
                    <a:fld id="{74209EA4-5F0D-47FC-B3B0-5CA3AAD8F18C}"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2-3656-418C-9A53-16737C6FC4D7}"/>
                </c:ext>
              </c:extLst>
            </c:dLbl>
            <c:dLbl>
              <c:idx val="19"/>
              <c:layout>
                <c:manualLayout>
                  <c:x val="-0.25734595675540556"/>
                  <c:y val="-9.2141193231041738E-2"/>
                </c:manualLayout>
              </c:layout>
              <c:tx>
                <c:rich>
                  <a:bodyPr/>
                  <a:lstStyle/>
                  <a:p>
                    <a:fld id="{1197B49C-4A80-46C7-9C50-7EA4769F6DCA}"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3-3656-418C-9A53-16737C6FC4D7}"/>
                </c:ext>
              </c:extLst>
            </c:dLbl>
            <c:dLbl>
              <c:idx val="20"/>
              <c:layout>
                <c:manualLayout>
                  <c:x val="1.9159749095650144E-2"/>
                  <c:y val="-2.3329436187479156E-2"/>
                </c:manualLayout>
              </c:layout>
              <c:tx>
                <c:rich>
                  <a:bodyPr/>
                  <a:lstStyle/>
                  <a:p>
                    <a:fld id="{AB54D0C7-033F-43A0-A163-1AA62DFE65DA}"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4-3656-418C-9A53-16737C6FC4D7}"/>
                </c:ext>
              </c:extLst>
            </c:dLbl>
            <c:dLbl>
              <c:idx val="21"/>
              <c:layout>
                <c:manualLayout>
                  <c:x val="5.6216931216931214E-2"/>
                  <c:y val="-2.4110522874060538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9697EAAD-DEF0-44BE-B213-A35139CBD8A0}"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4710713244177812"/>
                      <c:h val="3.4945401449392198E-2"/>
                    </c:manualLayout>
                  </c15:layout>
                  <c15:dlblFieldTable/>
                  <c15:showDataLabelsRange val="1"/>
                </c:ext>
                <c:ext xmlns:c16="http://schemas.microsoft.com/office/drawing/2014/chart" uri="{C3380CC4-5D6E-409C-BE32-E72D297353CC}">
                  <c16:uniqueId val="{00000015-3656-418C-9A53-16737C6FC4D7}"/>
                </c:ext>
              </c:extLst>
            </c:dLbl>
            <c:dLbl>
              <c:idx val="22"/>
              <c:layout>
                <c:manualLayout>
                  <c:x val="-1.5432098765432098E-2"/>
                  <c:y val="2.2753128555176336E-2"/>
                </c:manualLayout>
              </c:layout>
              <c:tx>
                <c:rich>
                  <a:bodyPr/>
                  <a:lstStyle/>
                  <a:p>
                    <a:fld id="{1C690409-A0AB-4647-9390-FF84D59A3E6A}"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6-3656-418C-9A53-16737C6FC4D7}"/>
                </c:ext>
              </c:extLst>
            </c:dLbl>
            <c:dLbl>
              <c:idx val="23"/>
              <c:layout>
                <c:manualLayout>
                  <c:x val="-1.1271160549375773E-2"/>
                  <c:y val="6.7367306470554264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4C16F0BE-E7CF-463E-B0BF-E3AFED3F7A9F}"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1"/>
                </c:ext>
                <c:ext xmlns:c16="http://schemas.microsoft.com/office/drawing/2014/chart" uri="{C3380CC4-5D6E-409C-BE32-E72D297353CC}">
                  <c16:uniqueId val="{00000017-3656-418C-9A53-16737C6FC4D7}"/>
                </c:ext>
              </c:extLst>
            </c:dLbl>
            <c:dLbl>
              <c:idx val="24"/>
              <c:layout>
                <c:manualLayout>
                  <c:x val="-6.6137566137566949E-3"/>
                  <c:y val="2.9339853300733496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E4994FFD-0F76-4CCF-A055-2575D76B1291}"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1"/>
                </c:ext>
                <c:ext xmlns:c16="http://schemas.microsoft.com/office/drawing/2014/chart" uri="{C3380CC4-5D6E-409C-BE32-E72D297353CC}">
                  <c16:uniqueId val="{00000018-3656-418C-9A53-16737C6FC4D7}"/>
                </c:ext>
              </c:extLst>
            </c:dLbl>
            <c:dLbl>
              <c:idx val="25"/>
              <c:layout>
                <c:manualLayout>
                  <c:x val="-4.1887125220458551E-2"/>
                  <c:y val="-2.7303754266211604E-2"/>
                </c:manualLayout>
              </c:layout>
              <c:tx>
                <c:rich>
                  <a:bodyPr/>
                  <a:lstStyle/>
                  <a:p>
                    <a:fld id="{A6B4307B-4EA7-4E94-88B3-4AAB26656F1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9-3656-418C-9A53-16737C6FC4D7}"/>
                </c:ext>
              </c:extLst>
            </c:dLbl>
            <c:dLbl>
              <c:idx val="26"/>
              <c:layout>
                <c:manualLayout>
                  <c:x val="-6.1206932466775069E-2"/>
                  <c:y val="9.6206803611651237E-2"/>
                </c:manualLayout>
              </c:layout>
              <c:tx>
                <c:rich>
                  <a:bodyPr/>
                  <a:lstStyle/>
                  <a:p>
                    <a:fld id="{B1F199E7-FC5E-46AB-9F9A-CD0F822B94A7}"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A-3656-418C-9A53-16737C6FC4D7}"/>
                </c:ext>
              </c:extLst>
            </c:dLbl>
            <c:dLbl>
              <c:idx val="27"/>
              <c:layout>
                <c:manualLayout>
                  <c:x val="-0.14065203655098668"/>
                  <c:y val="4.9103825347014816E-2"/>
                </c:manualLayout>
              </c:layout>
              <c:tx>
                <c:rich>
                  <a:bodyPr/>
                  <a:lstStyle/>
                  <a:p>
                    <a:fld id="{6504B0CC-E4CB-4FC9-81F6-8841B29A382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B-3656-418C-9A53-16737C6FC4D7}"/>
                </c:ext>
              </c:extLst>
            </c:dLbl>
            <c:dLbl>
              <c:idx val="28"/>
              <c:layout>
                <c:manualLayout>
                  <c:x val="-0.35322477051479678"/>
                  <c:y val="-8.1536876961284505E-2"/>
                </c:manualLayout>
              </c:layout>
              <c:tx>
                <c:rich>
                  <a:bodyPr/>
                  <a:lstStyle/>
                  <a:p>
                    <a:fld id="{F1E55CD2-0303-45FB-B1F7-79D634FC7FE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C-3656-418C-9A53-16737C6FC4D7}"/>
                </c:ext>
              </c:extLst>
            </c:dLbl>
            <c:dLbl>
              <c:idx val="29"/>
              <c:layout>
                <c:manualLayout>
                  <c:x val="-0.10434746003971726"/>
                  <c:y val="-3.782328706466704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4D9475F5-6642-475A-A138-39982D273261}"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4002954491799635"/>
                      <c:h val="3.7551354369212399E-2"/>
                    </c:manualLayout>
                  </c15:layout>
                  <c15:dlblFieldTable/>
                  <c15:showDataLabelsRange val="1"/>
                </c:ext>
                <c:ext xmlns:c16="http://schemas.microsoft.com/office/drawing/2014/chart" uri="{C3380CC4-5D6E-409C-BE32-E72D297353CC}">
                  <c16:uniqueId val="{0000001D-3656-418C-9A53-16737C6FC4D7}"/>
                </c:ext>
              </c:extLst>
            </c:dLbl>
            <c:dLbl>
              <c:idx val="30"/>
              <c:layout>
                <c:manualLayout>
                  <c:x val="2.6460859977949284E-2"/>
                  <c:y val="3.6120210451617993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r>
                      <a:rPr lang="en-US"/>
                      <a:t>Podpora inovací prostřednictvím aplikovaného</a:t>
                    </a:r>
                    <a:r>
                      <a:rPr lang="en-US" baseline="0"/>
                      <a:t> výzkumu a experimentálního vývoje</a:t>
                    </a:r>
                    <a:r>
                      <a:rPr lang="en-US"/>
                      <a:t>.</a:t>
                    </a:r>
                  </a:p>
                </c:rich>
              </c:tx>
              <c:spPr>
                <a:solidFill>
                  <a:sysClr val="window" lastClr="FFFFFF">
                    <a:alpha val="41000"/>
                  </a:sysClr>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gd name="adj1" fmla="val -77375"/>
                        <a:gd name="adj2" fmla="val -47735"/>
                      </a:avLst>
                    </a:prstGeom>
                    <a:noFill/>
                    <a:ln>
                      <a:noFill/>
                    </a:ln>
                  </c15:spPr>
                  <c15:layout>
                    <c:manualLayout>
                      <c:w val="0.12124768858137495"/>
                      <c:h val="7.8569022181285142E-2"/>
                    </c:manualLayout>
                  </c15:layout>
                </c:ext>
                <c:ext xmlns:c16="http://schemas.microsoft.com/office/drawing/2014/chart" uri="{C3380CC4-5D6E-409C-BE32-E72D297353CC}">
                  <c16:uniqueId val="{0000001E-3656-418C-9A53-16737C6FC4D7}"/>
                </c:ext>
              </c:extLst>
            </c:dLbl>
            <c:dLbl>
              <c:idx val="31"/>
              <c:layout>
                <c:manualLayout>
                  <c:x val="3.5582390679665593E-2"/>
                  <c:y val="1.2831384242650143E-2"/>
                </c:manualLayout>
              </c:layout>
              <c:tx>
                <c:rich>
                  <a:bodyPr/>
                  <a:lstStyle/>
                  <a:p>
                    <a:fld id="{FB5C9D2C-5303-4A7B-93EC-F0778ACCD6C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1F-3656-418C-9A53-16737C6FC4D7}"/>
                </c:ext>
              </c:extLst>
            </c:dLbl>
            <c:dLbl>
              <c:idx val="32"/>
              <c:layout>
                <c:manualLayout>
                  <c:x val="-9.8535852491915071E-2"/>
                  <c:y val="-4.2417156704507561E-2"/>
                </c:manualLayout>
              </c:layout>
              <c:tx>
                <c:rich>
                  <a:bodyPr/>
                  <a:lstStyle/>
                  <a:p>
                    <a:fld id="{78A65F4D-40A0-448E-B88D-A8277F4797D2}"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0-3656-418C-9A53-16737C6FC4D7}"/>
                </c:ext>
              </c:extLst>
            </c:dLbl>
            <c:dLbl>
              <c:idx val="33"/>
              <c:layout>
                <c:manualLayout>
                  <c:x val="7.1500437445319254E-2"/>
                  <c:y val="5.1520897907321485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12CAAF54-757B-46C4-9726-6D1C9F0FF372}"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1"/>
                </c:ext>
                <c:ext xmlns:c16="http://schemas.microsoft.com/office/drawing/2014/chart" uri="{C3380CC4-5D6E-409C-BE32-E72D297353CC}">
                  <c16:uniqueId val="{00000021-3656-418C-9A53-16737C6FC4D7}"/>
                </c:ext>
              </c:extLst>
            </c:dLbl>
            <c:dLbl>
              <c:idx val="34"/>
              <c:layout>
                <c:manualLayout>
                  <c:x val="-0.17416225749559083"/>
                  <c:y val="2.7303754266211521E-2"/>
                </c:manualLayout>
              </c:layout>
              <c:tx>
                <c:rich>
                  <a:bodyPr/>
                  <a:lstStyle/>
                  <a:p>
                    <a:fld id="{60CF2FC8-2C80-4AD0-B47B-9065DCEC3BF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2-3656-418C-9A53-16737C6FC4D7}"/>
                </c:ext>
              </c:extLst>
            </c:dLbl>
            <c:dLbl>
              <c:idx val="35"/>
              <c:layout>
                <c:manualLayout>
                  <c:x val="-9.4018456026330036E-2"/>
                  <c:y val="-5.6532387376492611E-2"/>
                </c:manualLayout>
              </c:layout>
              <c:tx>
                <c:rich>
                  <a:bodyPr/>
                  <a:lstStyle/>
                  <a:p>
                    <a:fld id="{11116971-8221-4FC5-B2EF-F7FD148A1E61}"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3-3656-418C-9A53-16737C6FC4D7}"/>
                </c:ext>
              </c:extLst>
            </c:dLbl>
            <c:dLbl>
              <c:idx val="36"/>
              <c:layout>
                <c:manualLayout>
                  <c:x val="-0.17918940687969559"/>
                  <c:y val="3.8175500067381553E-2"/>
                </c:manualLayout>
              </c:layout>
              <c:tx>
                <c:rich>
                  <a:bodyPr/>
                  <a:lstStyle/>
                  <a:p>
                    <a:fld id="{5A958658-B394-4480-B37F-34EEE402ABF3}"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4-3656-418C-9A53-16737C6FC4D7}"/>
                </c:ext>
              </c:extLst>
            </c:dLbl>
            <c:dLbl>
              <c:idx val="37"/>
              <c:layout>
                <c:manualLayout>
                  <c:x val="-0.11990567151328306"/>
                  <c:y val="-3.9147912134455162E-2"/>
                </c:manualLayout>
              </c:layout>
              <c:tx>
                <c:rich>
                  <a:bodyPr/>
                  <a:lstStyle/>
                  <a:p>
                    <a:fld id="{AE6D00C2-AEAA-4CCD-9143-5D1AF9224950}"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5-3656-418C-9A53-16737C6FC4D7}"/>
                </c:ext>
              </c:extLst>
            </c:dLbl>
            <c:dLbl>
              <c:idx val="38"/>
              <c:layout>
                <c:manualLayout>
                  <c:x val="-0.13914545404046716"/>
                  <c:y val="8.727932541439655E-2"/>
                </c:manualLayout>
              </c:layout>
              <c:tx>
                <c:rich>
                  <a:bodyPr/>
                  <a:lstStyle/>
                  <a:p>
                    <a:fld id="{42D3743F-B249-4C90-98C3-E132F1A69266}"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6-3656-418C-9A53-16737C6FC4D7}"/>
                </c:ext>
              </c:extLst>
            </c:dLbl>
            <c:dLbl>
              <c:idx val="39"/>
              <c:layout>
                <c:manualLayout>
                  <c:x val="-0.25714294393756337"/>
                  <c:y val="1.1293972212517803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dk1">
                            <a:lumMod val="65000"/>
                            <a:lumOff val="35000"/>
                          </a:schemeClr>
                        </a:solidFill>
                        <a:latin typeface="+mn-lt"/>
                        <a:ea typeface="+mn-ea"/>
                        <a:cs typeface="+mn-cs"/>
                      </a:defRPr>
                    </a:pPr>
                    <a:fld id="{F3D4C6B7-7845-4D2F-92EA-F8A134AB5B47}" type="CELLRANGE">
                      <a:rPr lang="en-US"/>
                      <a:pPr>
                        <a:defRPr sz="500" b="0" i="0" u="none" strike="noStrike" kern="1200" baseline="0">
                          <a:solidFill>
                            <a:schemeClr val="dk1">
                              <a:lumMod val="65000"/>
                              <a:lumOff val="35000"/>
                            </a:schemeClr>
                          </a:solidFill>
                          <a:latin typeface="+mn-lt"/>
                          <a:ea typeface="+mn-ea"/>
                          <a:cs typeface="+mn-cs"/>
                        </a:defRPr>
                      </a:pPr>
                      <a:t>[OBLAST BUNĚK]</a:t>
                    </a:fld>
                    <a:endParaRPr lang="cs-CZ"/>
                  </a:p>
                </c:rich>
              </c:tx>
              <c:spPr>
                <a:solidFill>
                  <a:sysClr val="window" lastClr="FFFFFF">
                    <a:alpha val="41000"/>
                  </a:sysClr>
                </a:solidFill>
                <a:ln>
                  <a:solidFill>
                    <a:sysClr val="windowText" lastClr="000000">
                      <a:lumMod val="25000"/>
                      <a:lumOff val="75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manualLayout>
                      <c:w val="0.15986769014984237"/>
                      <c:h val="4.3024276610900407E-2"/>
                    </c:manualLayout>
                  </c15:layout>
                  <c15:dlblFieldTable/>
                  <c15:showDataLabelsRange val="1"/>
                </c:ext>
                <c:ext xmlns:c16="http://schemas.microsoft.com/office/drawing/2014/chart" uri="{C3380CC4-5D6E-409C-BE32-E72D297353CC}">
                  <c16:uniqueId val="{00000027-3656-418C-9A53-16737C6FC4D7}"/>
                </c:ext>
              </c:extLst>
            </c:dLbl>
            <c:dLbl>
              <c:idx val="40"/>
              <c:layout>
                <c:manualLayout>
                  <c:x val="-0.20452703828688082"/>
                  <c:y val="8.1360914848969068E-2"/>
                </c:manualLayout>
              </c:layout>
              <c:tx>
                <c:rich>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r>
                      <a:rPr lang="en-US"/>
                      <a:t>Podpora rovnosti žen a mužů</a:t>
                    </a:r>
                  </a:p>
                </c:rich>
              </c:tx>
              <c:spPr>
                <a:solidFill>
                  <a:sysClr val="window" lastClr="FFFFFF">
                    <a:alpha val="41000"/>
                  </a:sysClr>
                </a:solidFill>
                <a:ln>
                  <a:solidFill>
                    <a:sysClr val="windowText" lastClr="000000">
                      <a:lumMod val="25000"/>
                      <a:lumOff val="75000"/>
                      <a:alpha val="36000"/>
                    </a:sysClr>
                  </a:solid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layout/>
                </c:ext>
                <c:ext xmlns:c16="http://schemas.microsoft.com/office/drawing/2014/chart" uri="{C3380CC4-5D6E-409C-BE32-E72D297353CC}">
                  <c16:uniqueId val="{00000028-3656-418C-9A53-16737C6FC4D7}"/>
                </c:ext>
              </c:extLst>
            </c:dLbl>
            <c:dLbl>
              <c:idx val="41"/>
              <c:layout>
                <c:manualLayout>
                  <c:x val="-0.14970489799886125"/>
                  <c:y val="4.5602487341893996E-2"/>
                </c:manualLayout>
              </c:layout>
              <c:tx>
                <c:rich>
                  <a:bodyPr/>
                  <a:lstStyle/>
                  <a:p>
                    <a:fld id="{226A592D-E5AE-4142-8EF6-FF85C2DEB551}"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9-3656-418C-9A53-16737C6FC4D7}"/>
                </c:ext>
              </c:extLst>
            </c:dLbl>
            <c:dLbl>
              <c:idx val="42"/>
              <c:layout>
                <c:manualLayout>
                  <c:x val="-3.855403491230263E-2"/>
                  <c:y val="4.2509096509635559E-2"/>
                </c:manualLayout>
              </c:layout>
              <c:tx>
                <c:rich>
                  <a:bodyPr/>
                  <a:lstStyle/>
                  <a:p>
                    <a:fld id="{431387A5-4E94-4A6A-8BE6-55BF0ABA3B8B}" type="CELLRANGE">
                      <a:rPr lang="en-US"/>
                      <a:pPr/>
                      <a:t>[OBLAST BUNĚK]</a:t>
                    </a:fld>
                    <a:endParaRPr lang="cs-CZ"/>
                  </a:p>
                </c:rich>
              </c:tx>
              <c:showLegendKey val="0"/>
              <c:showVal val="0"/>
              <c:showCatName val="0"/>
              <c:showSerName val="0"/>
              <c:showPercent val="0"/>
              <c:showBubbleSize val="0"/>
              <c:extLst xmlns:c16r2="http://schemas.microsoft.com/office/drawing/2015/06/chart">
                <c:ext xmlns:c15="http://schemas.microsoft.com/office/drawing/2012/chart" uri="{CE6537A1-D6FC-4f65-9D91-7224C49458BB}">
                  <c15:layout/>
                  <c15:dlblFieldTable/>
                  <c15:showDataLabelsRange val="1"/>
                </c:ext>
                <c:ext xmlns:c16="http://schemas.microsoft.com/office/drawing/2014/chart" uri="{C3380CC4-5D6E-409C-BE32-E72D297353CC}">
                  <c16:uniqueId val="{0000002A-3656-418C-9A53-16737C6FC4D7}"/>
                </c:ext>
              </c:extLst>
            </c:dLbl>
            <c:spPr>
              <a:solidFill>
                <a:sysClr val="window" lastClr="FFFFFF">
                  <a:alpha val="41000"/>
                </a:sysClr>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15:showDataLabelsRange val="1"/>
                <c15:showLeaderLines val="0"/>
              </c:ext>
            </c:extLst>
          </c:dLbls>
          <c:xVal>
            <c:numRef>
              <c:f>'Data pro grafy'!$C$2:$C$44</c:f>
              <c:numCache>
                <c:formatCode>0.0</c:formatCode>
                <c:ptCount val="43"/>
                <c:pt idx="0">
                  <c:v>27.6</c:v>
                </c:pt>
                <c:pt idx="1">
                  <c:v>26.1</c:v>
                </c:pt>
                <c:pt idx="2">
                  <c:v>25.44</c:v>
                </c:pt>
                <c:pt idx="3">
                  <c:v>23.1</c:v>
                </c:pt>
                <c:pt idx="4">
                  <c:v>25.3</c:v>
                </c:pt>
                <c:pt idx="5">
                  <c:v>17.299999999999997</c:v>
                </c:pt>
                <c:pt idx="6">
                  <c:v>21.08</c:v>
                </c:pt>
                <c:pt idx="7">
                  <c:v>23.14</c:v>
                </c:pt>
                <c:pt idx="8">
                  <c:v>23.8</c:v>
                </c:pt>
                <c:pt idx="9">
                  <c:v>22.7</c:v>
                </c:pt>
                <c:pt idx="10">
                  <c:v>26.628571428571426</c:v>
                </c:pt>
                <c:pt idx="11">
                  <c:v>26.228571428571428</c:v>
                </c:pt>
                <c:pt idx="12">
                  <c:v>23.6</c:v>
                </c:pt>
                <c:pt idx="13">
                  <c:v>23.34</c:v>
                </c:pt>
                <c:pt idx="14">
                  <c:v>24.66</c:v>
                </c:pt>
                <c:pt idx="15">
                  <c:v>27.18</c:v>
                </c:pt>
                <c:pt idx="16">
                  <c:v>23.5</c:v>
                </c:pt>
                <c:pt idx="17">
                  <c:v>23.38</c:v>
                </c:pt>
                <c:pt idx="18">
                  <c:v>24.38</c:v>
                </c:pt>
                <c:pt idx="19">
                  <c:v>22.240000000000002</c:v>
                </c:pt>
                <c:pt idx="20">
                  <c:v>23.7</c:v>
                </c:pt>
                <c:pt idx="21">
                  <c:v>25.3</c:v>
                </c:pt>
                <c:pt idx="22">
                  <c:v>25.9</c:v>
                </c:pt>
                <c:pt idx="23">
                  <c:v>22.6</c:v>
                </c:pt>
                <c:pt idx="24">
                  <c:v>23.15</c:v>
                </c:pt>
                <c:pt idx="25">
                  <c:v>21.675000000000001</c:v>
                </c:pt>
                <c:pt idx="26">
                  <c:v>21.9</c:v>
                </c:pt>
                <c:pt idx="27">
                  <c:v>19.2</c:v>
                </c:pt>
                <c:pt idx="28">
                  <c:v>20.7</c:v>
                </c:pt>
                <c:pt idx="29">
                  <c:v>24.86</c:v>
                </c:pt>
                <c:pt idx="30">
                  <c:v>26.16</c:v>
                </c:pt>
                <c:pt idx="31">
                  <c:v>25.1</c:v>
                </c:pt>
                <c:pt idx="32">
                  <c:v>19.52</c:v>
                </c:pt>
                <c:pt idx="33">
                  <c:v>22</c:v>
                </c:pt>
                <c:pt idx="34">
                  <c:v>20.779999999999998</c:v>
                </c:pt>
                <c:pt idx="35">
                  <c:v>23.54</c:v>
                </c:pt>
                <c:pt idx="36">
                  <c:v>18.2</c:v>
                </c:pt>
                <c:pt idx="37">
                  <c:v>16.675000000000001</c:v>
                </c:pt>
                <c:pt idx="38">
                  <c:v>22.619999999999997</c:v>
                </c:pt>
                <c:pt idx="39">
                  <c:v>22.1</c:v>
                </c:pt>
                <c:pt idx="40">
                  <c:v>21.22</c:v>
                </c:pt>
                <c:pt idx="41">
                  <c:v>21.6</c:v>
                </c:pt>
                <c:pt idx="42">
                  <c:v>15.5</c:v>
                </c:pt>
              </c:numCache>
            </c:numRef>
          </c:xVal>
          <c:yVal>
            <c:numRef>
              <c:f>'Data pro grafy'!$G$2:$G$44</c:f>
              <c:numCache>
                <c:formatCode>0.0</c:formatCode>
                <c:ptCount val="43"/>
                <c:pt idx="0">
                  <c:v>18.82</c:v>
                </c:pt>
                <c:pt idx="1">
                  <c:v>16.633333333333333</c:v>
                </c:pt>
                <c:pt idx="2">
                  <c:v>15.179999999999998</c:v>
                </c:pt>
                <c:pt idx="3">
                  <c:v>17.700000000000003</c:v>
                </c:pt>
                <c:pt idx="4">
                  <c:v>15.966666666666667</c:v>
                </c:pt>
                <c:pt idx="5">
                  <c:v>15.100000000000001</c:v>
                </c:pt>
                <c:pt idx="6">
                  <c:v>14.3</c:v>
                </c:pt>
                <c:pt idx="7">
                  <c:v>16.48</c:v>
                </c:pt>
                <c:pt idx="8">
                  <c:v>16.86</c:v>
                </c:pt>
                <c:pt idx="9">
                  <c:v>15.680000000000001</c:v>
                </c:pt>
                <c:pt idx="10">
                  <c:v>13.399999999999999</c:v>
                </c:pt>
                <c:pt idx="11">
                  <c:v>15.1</c:v>
                </c:pt>
                <c:pt idx="12">
                  <c:v>14.620000000000001</c:v>
                </c:pt>
                <c:pt idx="13">
                  <c:v>12.7</c:v>
                </c:pt>
                <c:pt idx="14">
                  <c:v>17.7</c:v>
                </c:pt>
                <c:pt idx="15">
                  <c:v>17.200000000000003</c:v>
                </c:pt>
                <c:pt idx="16">
                  <c:v>15.100000000000001</c:v>
                </c:pt>
                <c:pt idx="17">
                  <c:v>15.200000000000001</c:v>
                </c:pt>
                <c:pt idx="18">
                  <c:v>13.22</c:v>
                </c:pt>
                <c:pt idx="19">
                  <c:v>17.5</c:v>
                </c:pt>
                <c:pt idx="20">
                  <c:v>10.6</c:v>
                </c:pt>
                <c:pt idx="21">
                  <c:v>15.48</c:v>
                </c:pt>
                <c:pt idx="22">
                  <c:v>14.779999999999998</c:v>
                </c:pt>
                <c:pt idx="23">
                  <c:v>14.3</c:v>
                </c:pt>
                <c:pt idx="24">
                  <c:v>14.600000000000001</c:v>
                </c:pt>
                <c:pt idx="25">
                  <c:v>15</c:v>
                </c:pt>
                <c:pt idx="26">
                  <c:v>14.100000000000001</c:v>
                </c:pt>
                <c:pt idx="27">
                  <c:v>12.3</c:v>
                </c:pt>
                <c:pt idx="28">
                  <c:v>17.5</c:v>
                </c:pt>
                <c:pt idx="29">
                  <c:v>16.100000000000001</c:v>
                </c:pt>
                <c:pt idx="30">
                  <c:v>13.82</c:v>
                </c:pt>
                <c:pt idx="31">
                  <c:v>10.46</c:v>
                </c:pt>
                <c:pt idx="32">
                  <c:v>15.200000000000001</c:v>
                </c:pt>
                <c:pt idx="33">
                  <c:v>14.46</c:v>
                </c:pt>
                <c:pt idx="34">
                  <c:v>15.259999999999998</c:v>
                </c:pt>
                <c:pt idx="35">
                  <c:v>15.399999999999999</c:v>
                </c:pt>
                <c:pt idx="36">
                  <c:v>14.76</c:v>
                </c:pt>
                <c:pt idx="37">
                  <c:v>13.125</c:v>
                </c:pt>
                <c:pt idx="38">
                  <c:v>12</c:v>
                </c:pt>
                <c:pt idx="39">
                  <c:v>14.52</c:v>
                </c:pt>
                <c:pt idx="40">
                  <c:v>13.86</c:v>
                </c:pt>
                <c:pt idx="41">
                  <c:v>12.360000000000001</c:v>
                </c:pt>
                <c:pt idx="42">
                  <c:v>11.16</c:v>
                </c:pt>
              </c:numCache>
            </c:numRef>
          </c:yVal>
          <c:smooth val="0"/>
          <c:extLst xmlns:c16r2="http://schemas.microsoft.com/office/drawing/2015/06/chart">
            <c:ext xmlns:c15="http://schemas.microsoft.com/office/drawing/2012/chart" uri="{02D57815-91ED-43cb-92C2-25804820EDAC}">
              <c15:datalabelsRange>
                <c15:f>'Data pro grafy'!$A$2:$A$44</c15:f>
                <c15:dlblRangeCache>
                  <c:ptCount val="43"/>
                  <c:pt idx="0">
                    <c:v>Zlepšení kvality ovzduší</c:v>
                  </c:pt>
                  <c:pt idx="1">
                    <c:v>Ochrana a zlepšení stavu vody a vodního hospodářství</c:v>
                  </c:pt>
                  <c:pt idx="2">
                    <c:v>Ochrana a péče o přírodu a krajinu</c:v>
                  </c:pt>
                  <c:pt idx="3">
                    <c:v>Sanace míst s ekologickou zátěží a revitalizace brownfieldů</c:v>
                  </c:pt>
                  <c:pt idx="4">
                    <c:v>Oběhové hospodářství, odpady a účinné využívání zdrojů</c:v>
                  </c:pt>
                  <c:pt idx="5">
                    <c:v>Vytvoření zázemí pro vzdělávání pro udržitelný rozvoj</c:v>
                  </c:pt>
                  <c:pt idx="6">
                    <c:v>Zkvalitňování veřejných prostranství</c:v>
                  </c:pt>
                  <c:pt idx="7">
                    <c:v>Zajištění rovného přístupu ke vzdělání</c:v>
                  </c:pt>
                  <c:pt idx="8">
                    <c:v>Zlepšení vzdělávacího systému</c:v>
                  </c:pt>
                  <c:pt idx="9">
                    <c:v>Zvýšení kompetencí a kvality pracovníků ve vzdělávání</c:v>
                  </c:pt>
                  <c:pt idx="10">
                    <c:v>Zvýšení energetické účinnosti a úspory energie</c:v>
                  </c:pt>
                  <c:pt idx="11">
                    <c:v>NUH technologie a obnovitelné zdroje energie</c:v>
                  </c:pt>
                  <c:pt idx="12">
                    <c:v>Výroba, distribuce a akumulace tepelné energie</c:v>
                  </c:pt>
                  <c:pt idx="13">
                    <c:v>Modernizace výroby a distribuce energie</c:v>
                  </c:pt>
                  <c:pt idx="14">
                    <c:v>Rozvoj a zkvalitnění dopravní infrastruktury</c:v>
                  </c:pt>
                  <c:pt idx="15">
                    <c:v>Rozvoj a zlepšení integrace dopravy</c:v>
                  </c:pt>
                  <c:pt idx="16">
                    <c:v>Alternativní paliva v dopravě</c:v>
                  </c:pt>
                  <c:pt idx="17">
                    <c:v>Využívání vozidel s alternativním pohonem ve veřejné dopravě</c:v>
                  </c:pt>
                  <c:pt idx="18">
                    <c:v>Zavedení moderních technologií pro organizaci dopravy</c:v>
                  </c:pt>
                  <c:pt idx="19">
                    <c:v>Rozvoj bezmotorové dopravy</c:v>
                  </c:pt>
                  <c:pt idx="20">
                    <c:v>Efektivní využití multimodální nákladní dopravy</c:v>
                  </c:pt>
                  <c:pt idx="21">
                    <c:v>Zavedení digitální ekonomiky a průmyslu 4.0 ve firmách</c:v>
                  </c:pt>
                  <c:pt idx="22">
                    <c:v>Zlepšení inovační schopnosti MSP</c:v>
                  </c:pt>
                  <c:pt idx="23">
                    <c:v>Zvýšení přidané hodnoty výrobků a služeb podniků</c:v>
                  </c:pt>
                  <c:pt idx="24">
                    <c:v>Klientsky orientované sociální služby</c:v>
                  </c:pt>
                  <c:pt idx="25">
                    <c:v>Sociální začleňování</c:v>
                  </c:pt>
                  <c:pt idx="26">
                    <c:v>Kvalitní a dostupná zdravotní péče</c:v>
                  </c:pt>
                  <c:pt idx="27">
                    <c:v>Sociální bydlení</c:v>
                  </c:pt>
                  <c:pt idx="28">
                    <c:v>Ochrana, rozvoj a podpora kulturního dědictví</c:v>
                  </c:pt>
                  <c:pt idx="29">
                    <c:v>Rozvoj zázemí pro kvalitní a relevantní výzkum</c:v>
                  </c:pt>
                  <c:pt idx="30">
                    <c:v>Podpora inovace prostřednictvím výzkumu a vývoje</c:v>
                  </c:pt>
                  <c:pt idx="31">
                    <c:v>Zkvalitnění strategického řízení VaVaI</c:v>
                  </c:pt>
                  <c:pt idx="32">
                    <c:v>Udržitelný cestovní ruch</c:v>
                  </c:pt>
                  <c:pt idx="33">
                    <c:v>Elektronizace výkonu veřejné správy</c:v>
                  </c:pt>
                  <c:pt idx="34">
                    <c:v>Zefektivnění veřejné správy</c:v>
                  </c:pt>
                  <c:pt idx="35">
                    <c:v>Kybernetická bezpečnost</c:v>
                  </c:pt>
                  <c:pt idx="36">
                    <c:v>Ochrana obyvatelstva</c:v>
                  </c:pt>
                  <c:pt idx="37">
                    <c:v>Digitalizace územního plánování</c:v>
                  </c:pt>
                  <c:pt idx="38">
                    <c:v>Fungující systém dalšího profesního vzdělávání</c:v>
                  </c:pt>
                  <c:pt idx="39">
                    <c:v>Zvýšení účasti znevýhodněných skupin na trhu práce</c:v>
                  </c:pt>
                  <c:pt idx="40">
                    <c:v>Podpora rovných příležitostí</c:v>
                  </c:pt>
                  <c:pt idx="41">
                    <c:v>Modernizace institucí na trhu práce</c:v>
                  </c:pt>
                  <c:pt idx="42">
                    <c:v>Podpora a využití pracovní mobility</c:v>
                  </c:pt>
                </c15:dlblRangeCache>
              </c15:datalabelsRange>
            </c:ext>
            <c:ext xmlns:c16="http://schemas.microsoft.com/office/drawing/2014/chart" uri="{C3380CC4-5D6E-409C-BE32-E72D297353CC}">
              <c16:uniqueId val="{0000002B-3656-418C-9A53-16737C6FC4D7}"/>
            </c:ext>
          </c:extLst>
        </c:ser>
        <c:ser>
          <c:idx val="4"/>
          <c:order val="1"/>
          <c:tx>
            <c:strRef>
              <c:f>'Data pro grafy'!$C$1:$C$44</c:f>
              <c:strCache>
                <c:ptCount val="44"/>
                <c:pt idx="0">
                  <c:v>Důležitost</c:v>
                </c:pt>
                <c:pt idx="1">
                  <c:v>27,6</c:v>
                </c:pt>
                <c:pt idx="2">
                  <c:v>26,1</c:v>
                </c:pt>
                <c:pt idx="3">
                  <c:v>25,4</c:v>
                </c:pt>
                <c:pt idx="4">
                  <c:v>23,1</c:v>
                </c:pt>
                <c:pt idx="5">
                  <c:v>25,3</c:v>
                </c:pt>
                <c:pt idx="6">
                  <c:v>17,3</c:v>
                </c:pt>
                <c:pt idx="7">
                  <c:v>21,1</c:v>
                </c:pt>
                <c:pt idx="8">
                  <c:v>23,1</c:v>
                </c:pt>
                <c:pt idx="9">
                  <c:v>23,8</c:v>
                </c:pt>
                <c:pt idx="10">
                  <c:v>22,7</c:v>
                </c:pt>
                <c:pt idx="11">
                  <c:v>26,6</c:v>
                </c:pt>
                <c:pt idx="12">
                  <c:v>26,2</c:v>
                </c:pt>
                <c:pt idx="13">
                  <c:v>23,6</c:v>
                </c:pt>
                <c:pt idx="14">
                  <c:v>23,3</c:v>
                </c:pt>
                <c:pt idx="15">
                  <c:v>24,7</c:v>
                </c:pt>
                <c:pt idx="16">
                  <c:v>27,2</c:v>
                </c:pt>
                <c:pt idx="17">
                  <c:v>23,5</c:v>
                </c:pt>
                <c:pt idx="18">
                  <c:v>23,4</c:v>
                </c:pt>
                <c:pt idx="19">
                  <c:v>24,4</c:v>
                </c:pt>
                <c:pt idx="20">
                  <c:v>22,2</c:v>
                </c:pt>
                <c:pt idx="21">
                  <c:v>23,7</c:v>
                </c:pt>
                <c:pt idx="22">
                  <c:v>25,3</c:v>
                </c:pt>
                <c:pt idx="23">
                  <c:v>25,9</c:v>
                </c:pt>
                <c:pt idx="24">
                  <c:v>22,6</c:v>
                </c:pt>
                <c:pt idx="25">
                  <c:v>23,2</c:v>
                </c:pt>
                <c:pt idx="26">
                  <c:v>21,7</c:v>
                </c:pt>
                <c:pt idx="27">
                  <c:v>21,9</c:v>
                </c:pt>
                <c:pt idx="28">
                  <c:v>19,2</c:v>
                </c:pt>
                <c:pt idx="29">
                  <c:v>20,7</c:v>
                </c:pt>
                <c:pt idx="30">
                  <c:v>24,9</c:v>
                </c:pt>
                <c:pt idx="31">
                  <c:v>26,2</c:v>
                </c:pt>
                <c:pt idx="32">
                  <c:v>25,1</c:v>
                </c:pt>
                <c:pt idx="33">
                  <c:v>19,5</c:v>
                </c:pt>
                <c:pt idx="34">
                  <c:v>22,0</c:v>
                </c:pt>
                <c:pt idx="35">
                  <c:v>20,8</c:v>
                </c:pt>
                <c:pt idx="36">
                  <c:v>23,5</c:v>
                </c:pt>
                <c:pt idx="37">
                  <c:v>18,2</c:v>
                </c:pt>
                <c:pt idx="38">
                  <c:v>16,7</c:v>
                </c:pt>
                <c:pt idx="39">
                  <c:v>22,6</c:v>
                </c:pt>
                <c:pt idx="40">
                  <c:v>22,1</c:v>
                </c:pt>
                <c:pt idx="41">
                  <c:v>21,2</c:v>
                </c:pt>
                <c:pt idx="42">
                  <c:v>21,6</c:v>
                </c:pt>
                <c:pt idx="43">
                  <c:v>15,5</c:v>
                </c:pt>
              </c:strCache>
            </c:strRef>
          </c:tx>
          <c:spPr>
            <a:ln w="25400" cap="rnd">
              <a:noFill/>
              <a:round/>
            </a:ln>
            <a:effectLst/>
          </c:spPr>
          <c:marker>
            <c:symbol val="circle"/>
            <c:size val="5"/>
            <c:spPr>
              <a:solidFill>
                <a:schemeClr val="accent5"/>
              </a:solidFill>
              <a:ln w="9525">
                <a:solidFill>
                  <a:schemeClr val="accent5"/>
                </a:solidFill>
              </a:ln>
              <a:effectLst/>
            </c:spPr>
          </c:marker>
          <c:yVal>
            <c:numLit>
              <c:formatCode>General</c:formatCode>
              <c:ptCount val="1"/>
              <c:pt idx="0">
                <c:v>1</c:v>
              </c:pt>
            </c:numLit>
          </c:yVal>
          <c:smooth val="0"/>
          <c:extLst xmlns:c16r2="http://schemas.microsoft.com/office/drawing/2015/06/chart">
            <c:ext xmlns:c16="http://schemas.microsoft.com/office/drawing/2014/chart" uri="{C3380CC4-5D6E-409C-BE32-E72D297353CC}">
              <c16:uniqueId val="{0000002C-3656-418C-9A53-16737C6FC4D7}"/>
            </c:ext>
          </c:extLst>
        </c:ser>
        <c:dLbls>
          <c:showLegendKey val="0"/>
          <c:showVal val="0"/>
          <c:showCatName val="0"/>
          <c:showSerName val="0"/>
          <c:showPercent val="0"/>
          <c:showBubbleSize val="0"/>
        </c:dLbls>
        <c:axId val="35163136"/>
        <c:axId val="36402688"/>
        <c:extLst xmlns:c16r2="http://schemas.microsoft.com/office/drawing/2015/06/chart">
          <c:ext xmlns:c15="http://schemas.microsoft.com/office/drawing/2012/chart" uri="{02D57815-91ED-43cb-92C2-25804820EDAC}">
            <c15:filteredScatterSeries>
              <c15:ser>
                <c:idx val="0"/>
                <c:order val="0"/>
                <c:tx>
                  <c:strRef>
                    <c:extLst>
                      <c:ext uri="{02D57815-91ED-43cb-92C2-25804820EDAC}">
                        <c15:formulaRef>
                          <c15:sqref>'Data pro grafy'!$D$1</c15:sqref>
                        </c15:formulaRef>
                      </c:ext>
                    </c:extLst>
                    <c:strCache>
                      <c:ptCount val="1"/>
                      <c:pt idx="0">
                        <c:v>Strategie</c:v>
                      </c:pt>
                    </c:strCache>
                  </c:strRef>
                </c:tx>
                <c:spPr>
                  <a:ln w="25400" cap="rnd">
                    <a:noFill/>
                    <a:round/>
                  </a:ln>
                  <a:effectLst/>
                </c:spPr>
                <c:marker>
                  <c:symbol val="circle"/>
                  <c:size val="5"/>
                  <c:spPr>
                    <a:solidFill>
                      <a:schemeClr val="accent1"/>
                    </a:solidFill>
                    <a:ln w="9525">
                      <a:solidFill>
                        <a:schemeClr val="accent1"/>
                      </a:solidFill>
                    </a:ln>
                    <a:effectLst/>
                  </c:spPr>
                </c:marker>
                <c:xVal>
                  <c:numRef>
                    <c:extLst>
                      <c:ext uri="{02D57815-91ED-43cb-92C2-25804820EDAC}">
                        <c15:formulaRef>
                          <c15:sqref>'Data pro grafy'!$C$2:$C$44</c15:sqref>
                        </c15:formulaRef>
                      </c:ext>
                    </c:extLst>
                    <c:numCache>
                      <c:formatCode>0.0</c:formatCode>
                      <c:ptCount val="43"/>
                      <c:pt idx="0">
                        <c:v>27.6</c:v>
                      </c:pt>
                      <c:pt idx="1">
                        <c:v>26.1</c:v>
                      </c:pt>
                      <c:pt idx="2">
                        <c:v>25.44</c:v>
                      </c:pt>
                      <c:pt idx="3">
                        <c:v>23.1</c:v>
                      </c:pt>
                      <c:pt idx="4">
                        <c:v>25.3</c:v>
                      </c:pt>
                      <c:pt idx="5">
                        <c:v>17.299999999999997</c:v>
                      </c:pt>
                      <c:pt idx="6">
                        <c:v>21.08</c:v>
                      </c:pt>
                      <c:pt idx="7">
                        <c:v>23.14</c:v>
                      </c:pt>
                      <c:pt idx="8">
                        <c:v>23.8</c:v>
                      </c:pt>
                      <c:pt idx="9">
                        <c:v>22.7</c:v>
                      </c:pt>
                      <c:pt idx="10">
                        <c:v>26.628571428571426</c:v>
                      </c:pt>
                      <c:pt idx="11">
                        <c:v>26.228571428571428</c:v>
                      </c:pt>
                      <c:pt idx="12">
                        <c:v>23.6</c:v>
                      </c:pt>
                      <c:pt idx="13">
                        <c:v>23.34</c:v>
                      </c:pt>
                      <c:pt idx="14">
                        <c:v>24.66</c:v>
                      </c:pt>
                      <c:pt idx="15">
                        <c:v>27.18</c:v>
                      </c:pt>
                      <c:pt idx="16">
                        <c:v>23.5</c:v>
                      </c:pt>
                      <c:pt idx="17">
                        <c:v>23.38</c:v>
                      </c:pt>
                      <c:pt idx="18">
                        <c:v>24.38</c:v>
                      </c:pt>
                      <c:pt idx="19">
                        <c:v>22.240000000000002</c:v>
                      </c:pt>
                      <c:pt idx="20">
                        <c:v>23.7</c:v>
                      </c:pt>
                      <c:pt idx="21">
                        <c:v>25.3</c:v>
                      </c:pt>
                      <c:pt idx="22">
                        <c:v>25.9</c:v>
                      </c:pt>
                      <c:pt idx="23">
                        <c:v>22.6</c:v>
                      </c:pt>
                      <c:pt idx="24">
                        <c:v>23.15</c:v>
                      </c:pt>
                      <c:pt idx="25">
                        <c:v>21.675000000000001</c:v>
                      </c:pt>
                      <c:pt idx="26">
                        <c:v>21.9</c:v>
                      </c:pt>
                      <c:pt idx="27">
                        <c:v>19.2</c:v>
                      </c:pt>
                      <c:pt idx="28">
                        <c:v>20.7</c:v>
                      </c:pt>
                      <c:pt idx="29">
                        <c:v>24.86</c:v>
                      </c:pt>
                      <c:pt idx="30">
                        <c:v>26.16</c:v>
                      </c:pt>
                      <c:pt idx="31">
                        <c:v>25.1</c:v>
                      </c:pt>
                      <c:pt idx="32">
                        <c:v>19.52</c:v>
                      </c:pt>
                      <c:pt idx="33">
                        <c:v>22</c:v>
                      </c:pt>
                      <c:pt idx="34">
                        <c:v>20.779999999999998</c:v>
                      </c:pt>
                      <c:pt idx="35">
                        <c:v>23.54</c:v>
                      </c:pt>
                      <c:pt idx="36">
                        <c:v>18.2</c:v>
                      </c:pt>
                      <c:pt idx="37">
                        <c:v>16.675000000000001</c:v>
                      </c:pt>
                      <c:pt idx="38">
                        <c:v>22.619999999999997</c:v>
                      </c:pt>
                      <c:pt idx="39">
                        <c:v>22.1</c:v>
                      </c:pt>
                      <c:pt idx="40">
                        <c:v>21.22</c:v>
                      </c:pt>
                      <c:pt idx="41">
                        <c:v>21.6</c:v>
                      </c:pt>
                      <c:pt idx="42">
                        <c:v>15.5</c:v>
                      </c:pt>
                    </c:numCache>
                  </c:numRef>
                </c:xVal>
                <c:yVal>
                  <c:numRef>
                    <c:extLst>
                      <c:ext uri="{02D57815-91ED-43cb-92C2-25804820EDAC}">
                        <c15:formulaRef>
                          <c15:sqref>'Data pro grafy'!$D$2:$D$44</c15:sqref>
                        </c15:formulaRef>
                      </c:ext>
                    </c:extLst>
                    <c:numCache>
                      <c:formatCode>0.0</c:formatCode>
                      <c:ptCount val="43"/>
                      <c:pt idx="0">
                        <c:v>16.8</c:v>
                      </c:pt>
                      <c:pt idx="1">
                        <c:v>17.100000000000001</c:v>
                      </c:pt>
                      <c:pt idx="2">
                        <c:v>18</c:v>
                      </c:pt>
                      <c:pt idx="3">
                        <c:v>15.540000000000001</c:v>
                      </c:pt>
                      <c:pt idx="4">
                        <c:v>16.214285714285715</c:v>
                      </c:pt>
                      <c:pt idx="5">
                        <c:v>15.600000000000001</c:v>
                      </c:pt>
                      <c:pt idx="6">
                        <c:v>15</c:v>
                      </c:pt>
                      <c:pt idx="7">
                        <c:v>13.14</c:v>
                      </c:pt>
                      <c:pt idx="8">
                        <c:v>12.620000000000001</c:v>
                      </c:pt>
                      <c:pt idx="9">
                        <c:v>13.14</c:v>
                      </c:pt>
                      <c:pt idx="10">
                        <c:v>15.7</c:v>
                      </c:pt>
                      <c:pt idx="11">
                        <c:v>13.771428571428572</c:v>
                      </c:pt>
                      <c:pt idx="12">
                        <c:v>14.8</c:v>
                      </c:pt>
                      <c:pt idx="13">
                        <c:v>15.600000000000001</c:v>
                      </c:pt>
                      <c:pt idx="14">
                        <c:v>17.3</c:v>
                      </c:pt>
                      <c:pt idx="15">
                        <c:v>15.399999999999999</c:v>
                      </c:pt>
                      <c:pt idx="16">
                        <c:v>14.9</c:v>
                      </c:pt>
                      <c:pt idx="17">
                        <c:v>14.625000000000002</c:v>
                      </c:pt>
                      <c:pt idx="18">
                        <c:v>14.4</c:v>
                      </c:pt>
                      <c:pt idx="19">
                        <c:v>11.3</c:v>
                      </c:pt>
                      <c:pt idx="20">
                        <c:v>16.5</c:v>
                      </c:pt>
                      <c:pt idx="21">
                        <c:v>16.7</c:v>
                      </c:pt>
                      <c:pt idx="22">
                        <c:v>13.259999999999998</c:v>
                      </c:pt>
                      <c:pt idx="23">
                        <c:v>12.68</c:v>
                      </c:pt>
                      <c:pt idx="24">
                        <c:v>16.599999999999998</c:v>
                      </c:pt>
                      <c:pt idx="25">
                        <c:v>14.3</c:v>
                      </c:pt>
                      <c:pt idx="26">
                        <c:v>13.899999999999999</c:v>
                      </c:pt>
                      <c:pt idx="27">
                        <c:v>15.5</c:v>
                      </c:pt>
                      <c:pt idx="28">
                        <c:v>13.000000000000002</c:v>
                      </c:pt>
                      <c:pt idx="29">
                        <c:v>16.260000000000002</c:v>
                      </c:pt>
                      <c:pt idx="30">
                        <c:v>16.399999999999999</c:v>
                      </c:pt>
                      <c:pt idx="31">
                        <c:v>15.240000000000002</c:v>
                      </c:pt>
                      <c:pt idx="32">
                        <c:v>13.700000000000001</c:v>
                      </c:pt>
                      <c:pt idx="33">
                        <c:v>12.899999999999999</c:v>
                      </c:pt>
                      <c:pt idx="34">
                        <c:v>15.219999999999999</c:v>
                      </c:pt>
                      <c:pt idx="35">
                        <c:v>11.260000000000002</c:v>
                      </c:pt>
                      <c:pt idx="36">
                        <c:v>11.22</c:v>
                      </c:pt>
                      <c:pt idx="37">
                        <c:v>9.1</c:v>
                      </c:pt>
                      <c:pt idx="38">
                        <c:v>13.76</c:v>
                      </c:pt>
                      <c:pt idx="39">
                        <c:v>14.919999999999998</c:v>
                      </c:pt>
                      <c:pt idx="40">
                        <c:v>12.940000000000001</c:v>
                      </c:pt>
                      <c:pt idx="41">
                        <c:v>14.96</c:v>
                      </c:pt>
                      <c:pt idx="42">
                        <c:v>11.08</c:v>
                      </c:pt>
                    </c:numCache>
                  </c:numRef>
                </c:yVal>
                <c:smooth val="0"/>
                <c:extLst>
                  <c:ext xmlns:c16="http://schemas.microsoft.com/office/drawing/2014/chart" uri="{C3380CC4-5D6E-409C-BE32-E72D297353CC}">
                    <c16:uniqueId val="{0000002D-3656-418C-9A53-16737C6FC4D7}"/>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'Data pro grafy'!$E$1</c15:sqref>
                        </c15:formulaRef>
                      </c:ext>
                    </c:extLst>
                    <c:strCache>
                      <c:ptCount val="1"/>
                      <c:pt idx="0">
                        <c:v>Cíle</c:v>
                      </c:pt>
                    </c:strCache>
                  </c:strRef>
                </c:tx>
                <c:spPr>
                  <a:ln w="25400" cap="rnd">
                    <a:noFill/>
                    <a:round/>
                  </a:ln>
                  <a:effectLst/>
                </c:spPr>
                <c:marker>
                  <c:symbol val="circle"/>
                  <c:size val="5"/>
                  <c:spPr>
                    <a:solidFill>
                      <a:schemeClr val="accent2"/>
                    </a:solidFill>
                    <a:ln w="9525">
                      <a:solidFill>
                        <a:schemeClr val="accent2"/>
                      </a:solidFill>
                    </a:ln>
                    <a:effectLst/>
                  </c:spPr>
                </c:marker>
                <c:xVal>
                  <c:numRef>
                    <c:extLst xmlns:c15="http://schemas.microsoft.com/office/drawing/2012/chart">
                      <c:ext xmlns:c15="http://schemas.microsoft.com/office/drawing/2012/chart" uri="{02D57815-91ED-43cb-92C2-25804820EDAC}">
                        <c15:formulaRef>
                          <c15:sqref>'Data pro grafy'!$C$2:$C$44</c15:sqref>
                        </c15:formulaRef>
                      </c:ext>
                    </c:extLst>
                    <c:numCache>
                      <c:formatCode>0.0</c:formatCode>
                      <c:ptCount val="43"/>
                      <c:pt idx="0">
                        <c:v>27.6</c:v>
                      </c:pt>
                      <c:pt idx="1">
                        <c:v>26.1</c:v>
                      </c:pt>
                      <c:pt idx="2">
                        <c:v>25.44</c:v>
                      </c:pt>
                      <c:pt idx="3">
                        <c:v>23.1</c:v>
                      </c:pt>
                      <c:pt idx="4">
                        <c:v>25.3</c:v>
                      </c:pt>
                      <c:pt idx="5">
                        <c:v>17.299999999999997</c:v>
                      </c:pt>
                      <c:pt idx="6">
                        <c:v>21.08</c:v>
                      </c:pt>
                      <c:pt idx="7">
                        <c:v>23.14</c:v>
                      </c:pt>
                      <c:pt idx="8">
                        <c:v>23.8</c:v>
                      </c:pt>
                      <c:pt idx="9">
                        <c:v>22.7</c:v>
                      </c:pt>
                      <c:pt idx="10">
                        <c:v>26.628571428571426</c:v>
                      </c:pt>
                      <c:pt idx="11">
                        <c:v>26.228571428571428</c:v>
                      </c:pt>
                      <c:pt idx="12">
                        <c:v>23.6</c:v>
                      </c:pt>
                      <c:pt idx="13">
                        <c:v>23.34</c:v>
                      </c:pt>
                      <c:pt idx="14">
                        <c:v>24.66</c:v>
                      </c:pt>
                      <c:pt idx="15">
                        <c:v>27.18</c:v>
                      </c:pt>
                      <c:pt idx="16">
                        <c:v>23.5</c:v>
                      </c:pt>
                      <c:pt idx="17">
                        <c:v>23.38</c:v>
                      </c:pt>
                      <c:pt idx="18">
                        <c:v>24.38</c:v>
                      </c:pt>
                      <c:pt idx="19">
                        <c:v>22.240000000000002</c:v>
                      </c:pt>
                      <c:pt idx="20">
                        <c:v>23.7</c:v>
                      </c:pt>
                      <c:pt idx="21">
                        <c:v>25.3</c:v>
                      </c:pt>
                      <c:pt idx="22">
                        <c:v>25.9</c:v>
                      </c:pt>
                      <c:pt idx="23">
                        <c:v>22.6</c:v>
                      </c:pt>
                      <c:pt idx="24">
                        <c:v>23.15</c:v>
                      </c:pt>
                      <c:pt idx="25">
                        <c:v>21.675000000000001</c:v>
                      </c:pt>
                      <c:pt idx="26">
                        <c:v>21.9</c:v>
                      </c:pt>
                      <c:pt idx="27">
                        <c:v>19.2</c:v>
                      </c:pt>
                      <c:pt idx="28">
                        <c:v>20.7</c:v>
                      </c:pt>
                      <c:pt idx="29">
                        <c:v>24.86</c:v>
                      </c:pt>
                      <c:pt idx="30">
                        <c:v>26.16</c:v>
                      </c:pt>
                      <c:pt idx="31">
                        <c:v>25.1</c:v>
                      </c:pt>
                      <c:pt idx="32">
                        <c:v>19.52</c:v>
                      </c:pt>
                      <c:pt idx="33">
                        <c:v>22</c:v>
                      </c:pt>
                      <c:pt idx="34">
                        <c:v>20.779999999999998</c:v>
                      </c:pt>
                      <c:pt idx="35">
                        <c:v>23.54</c:v>
                      </c:pt>
                      <c:pt idx="36">
                        <c:v>18.2</c:v>
                      </c:pt>
                      <c:pt idx="37">
                        <c:v>16.675000000000001</c:v>
                      </c:pt>
                      <c:pt idx="38">
                        <c:v>22.619999999999997</c:v>
                      </c:pt>
                      <c:pt idx="39">
                        <c:v>22.1</c:v>
                      </c:pt>
                      <c:pt idx="40">
                        <c:v>21.22</c:v>
                      </c:pt>
                      <c:pt idx="41">
                        <c:v>21.6</c:v>
                      </c:pt>
                      <c:pt idx="42">
                        <c:v>15.5</c:v>
                      </c:pt>
                    </c:numCache>
                  </c:numRef>
                </c:xVal>
                <c:yVal>
                  <c:numRef>
                    <c:extLst xmlns:c15="http://schemas.microsoft.com/office/drawing/2012/chart">
                      <c:ext xmlns:c15="http://schemas.microsoft.com/office/drawing/2012/chart" uri="{02D57815-91ED-43cb-92C2-25804820EDAC}">
                        <c15:formulaRef>
                          <c15:sqref>'Data pro grafy'!$E$2:$E$44</c15:sqref>
                        </c15:formulaRef>
                      </c:ext>
                    </c:extLst>
                    <c:numCache>
                      <c:formatCode>0.0</c:formatCode>
                      <c:ptCount val="43"/>
                      <c:pt idx="0">
                        <c:v>11.3</c:v>
                      </c:pt>
                      <c:pt idx="1">
                        <c:v>9.1999999999999993</c:v>
                      </c:pt>
                      <c:pt idx="2">
                        <c:v>10.200000000000001</c:v>
                      </c:pt>
                      <c:pt idx="3">
                        <c:v>9.3000000000000007</c:v>
                      </c:pt>
                      <c:pt idx="4">
                        <c:v>9.9</c:v>
                      </c:pt>
                      <c:pt idx="5">
                        <c:v>10.5</c:v>
                      </c:pt>
                      <c:pt idx="6">
                        <c:v>9.8000000000000007</c:v>
                      </c:pt>
                      <c:pt idx="7">
                        <c:v>9.86</c:v>
                      </c:pt>
                      <c:pt idx="8">
                        <c:v>9.48</c:v>
                      </c:pt>
                      <c:pt idx="9">
                        <c:v>10.219999999999999</c:v>
                      </c:pt>
                      <c:pt idx="10">
                        <c:v>9.4</c:v>
                      </c:pt>
                      <c:pt idx="11">
                        <c:v>9.1999999999999993</c:v>
                      </c:pt>
                      <c:pt idx="12">
                        <c:v>7</c:v>
                      </c:pt>
                      <c:pt idx="13">
                        <c:v>7</c:v>
                      </c:pt>
                      <c:pt idx="14">
                        <c:v>9.86</c:v>
                      </c:pt>
                      <c:pt idx="15">
                        <c:v>9.1199999999999992</c:v>
                      </c:pt>
                      <c:pt idx="16">
                        <c:v>9.8000000000000007</c:v>
                      </c:pt>
                      <c:pt idx="17">
                        <c:v>9.08</c:v>
                      </c:pt>
                      <c:pt idx="18">
                        <c:v>9.08</c:v>
                      </c:pt>
                      <c:pt idx="19">
                        <c:v>6.98</c:v>
                      </c:pt>
                      <c:pt idx="20">
                        <c:v>8.16</c:v>
                      </c:pt>
                      <c:pt idx="21">
                        <c:v>10.3</c:v>
                      </c:pt>
                      <c:pt idx="22">
                        <c:v>9.3000000000000007</c:v>
                      </c:pt>
                      <c:pt idx="23">
                        <c:v>7.1</c:v>
                      </c:pt>
                      <c:pt idx="24">
                        <c:v>9.9499999999999993</c:v>
                      </c:pt>
                      <c:pt idx="25">
                        <c:v>9.65</c:v>
                      </c:pt>
                      <c:pt idx="26">
                        <c:v>9.6999999999999993</c:v>
                      </c:pt>
                      <c:pt idx="27">
                        <c:v>9.6999999999999993</c:v>
                      </c:pt>
                      <c:pt idx="28">
                        <c:v>8.6000000000000014</c:v>
                      </c:pt>
                      <c:pt idx="29">
                        <c:v>9</c:v>
                      </c:pt>
                      <c:pt idx="30">
                        <c:v>8.9</c:v>
                      </c:pt>
                      <c:pt idx="31">
                        <c:v>9</c:v>
                      </c:pt>
                      <c:pt idx="32">
                        <c:v>8.3000000000000007</c:v>
                      </c:pt>
                      <c:pt idx="33">
                        <c:v>9.6</c:v>
                      </c:pt>
                      <c:pt idx="34">
                        <c:v>8.48</c:v>
                      </c:pt>
                      <c:pt idx="35">
                        <c:v>9.0599999999999987</c:v>
                      </c:pt>
                      <c:pt idx="36">
                        <c:v>7.7200000000000006</c:v>
                      </c:pt>
                      <c:pt idx="37">
                        <c:v>8.0749999999999993</c:v>
                      </c:pt>
                      <c:pt idx="38">
                        <c:v>8.1999999999999993</c:v>
                      </c:pt>
                      <c:pt idx="39">
                        <c:v>9</c:v>
                      </c:pt>
                      <c:pt idx="40">
                        <c:v>8.6999999999999993</c:v>
                      </c:pt>
                      <c:pt idx="41">
                        <c:v>8.6000000000000014</c:v>
                      </c:pt>
                      <c:pt idx="42">
                        <c:v>8.14</c:v>
                      </c:pt>
                    </c:numCache>
                  </c:numRef>
                </c:yVal>
                <c:smooth val="0"/>
                <c:extLst xmlns:c15="http://schemas.microsoft.com/office/drawing/2012/chart">
                  <c:ext xmlns:c16="http://schemas.microsoft.com/office/drawing/2014/chart" uri="{C3380CC4-5D6E-409C-BE32-E72D297353CC}">
                    <c16:uniqueId val="{0000002E-3656-418C-9A53-16737C6FC4D7}"/>
                  </c:ext>
                </c:extLst>
              </c15:ser>
            </c15:filteredScatterSeries>
            <c15:filteredScatterSeries>
              <c15:ser>
                <c:idx val="2"/>
                <c:order val="2"/>
                <c:tx>
                  <c:strRef>
                    <c:extLst xmlns:c15="http://schemas.microsoft.com/office/drawing/2012/chart">
                      <c:ext xmlns:c15="http://schemas.microsoft.com/office/drawing/2012/chart" uri="{02D57815-91ED-43cb-92C2-25804820EDAC}">
                        <c15:formulaRef>
                          <c15:sqref>'Data pro grafy'!$F$1</c15:sqref>
                        </c15:formulaRef>
                      </c:ext>
                    </c:extLst>
                    <c:strCache>
                      <c:ptCount val="1"/>
                      <c:pt idx="0">
                        <c:v>Posun</c:v>
                      </c:pt>
                    </c:strCache>
                  </c:strRef>
                </c:tx>
                <c:spPr>
                  <a:ln w="25400" cap="rnd">
                    <a:no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'Data pro grafy'!$C$2:$C$44</c15:sqref>
                        </c15:formulaRef>
                      </c:ext>
                    </c:extLst>
                    <c:numCache>
                      <c:formatCode>0.0</c:formatCode>
                      <c:ptCount val="43"/>
                      <c:pt idx="0">
                        <c:v>27.6</c:v>
                      </c:pt>
                      <c:pt idx="1">
                        <c:v>26.1</c:v>
                      </c:pt>
                      <c:pt idx="2">
                        <c:v>25.44</c:v>
                      </c:pt>
                      <c:pt idx="3">
                        <c:v>23.1</c:v>
                      </c:pt>
                      <c:pt idx="4">
                        <c:v>25.3</c:v>
                      </c:pt>
                      <c:pt idx="5">
                        <c:v>17.299999999999997</c:v>
                      </c:pt>
                      <c:pt idx="6">
                        <c:v>21.08</c:v>
                      </c:pt>
                      <c:pt idx="7">
                        <c:v>23.14</c:v>
                      </c:pt>
                      <c:pt idx="8">
                        <c:v>23.8</c:v>
                      </c:pt>
                      <c:pt idx="9">
                        <c:v>22.7</c:v>
                      </c:pt>
                      <c:pt idx="10">
                        <c:v>26.628571428571426</c:v>
                      </c:pt>
                      <c:pt idx="11">
                        <c:v>26.228571428571428</c:v>
                      </c:pt>
                      <c:pt idx="12">
                        <c:v>23.6</c:v>
                      </c:pt>
                      <c:pt idx="13">
                        <c:v>23.34</c:v>
                      </c:pt>
                      <c:pt idx="14">
                        <c:v>24.66</c:v>
                      </c:pt>
                      <c:pt idx="15">
                        <c:v>27.18</c:v>
                      </c:pt>
                      <c:pt idx="16">
                        <c:v>23.5</c:v>
                      </c:pt>
                      <c:pt idx="17">
                        <c:v>23.38</c:v>
                      </c:pt>
                      <c:pt idx="18">
                        <c:v>24.38</c:v>
                      </c:pt>
                      <c:pt idx="19">
                        <c:v>22.240000000000002</c:v>
                      </c:pt>
                      <c:pt idx="20">
                        <c:v>23.7</c:v>
                      </c:pt>
                      <c:pt idx="21">
                        <c:v>25.3</c:v>
                      </c:pt>
                      <c:pt idx="22">
                        <c:v>25.9</c:v>
                      </c:pt>
                      <c:pt idx="23">
                        <c:v>22.6</c:v>
                      </c:pt>
                      <c:pt idx="24">
                        <c:v>23.15</c:v>
                      </c:pt>
                      <c:pt idx="25">
                        <c:v>21.675000000000001</c:v>
                      </c:pt>
                      <c:pt idx="26">
                        <c:v>21.9</c:v>
                      </c:pt>
                      <c:pt idx="27">
                        <c:v>19.2</c:v>
                      </c:pt>
                      <c:pt idx="28">
                        <c:v>20.7</c:v>
                      </c:pt>
                      <c:pt idx="29">
                        <c:v>24.86</c:v>
                      </c:pt>
                      <c:pt idx="30">
                        <c:v>26.16</c:v>
                      </c:pt>
                      <c:pt idx="31">
                        <c:v>25.1</c:v>
                      </c:pt>
                      <c:pt idx="32">
                        <c:v>19.52</c:v>
                      </c:pt>
                      <c:pt idx="33">
                        <c:v>22</c:v>
                      </c:pt>
                      <c:pt idx="34">
                        <c:v>20.779999999999998</c:v>
                      </c:pt>
                      <c:pt idx="35">
                        <c:v>23.54</c:v>
                      </c:pt>
                      <c:pt idx="36">
                        <c:v>18.2</c:v>
                      </c:pt>
                      <c:pt idx="37">
                        <c:v>16.675000000000001</c:v>
                      </c:pt>
                      <c:pt idx="38">
                        <c:v>22.619999999999997</c:v>
                      </c:pt>
                      <c:pt idx="39">
                        <c:v>22.1</c:v>
                      </c:pt>
                      <c:pt idx="40">
                        <c:v>21.22</c:v>
                      </c:pt>
                      <c:pt idx="41">
                        <c:v>21.6</c:v>
                      </c:pt>
                      <c:pt idx="42">
                        <c:v>15.5</c:v>
                      </c:pt>
                    </c:numCache>
                  </c:numRef>
                </c:xVal>
                <c:yVal>
                  <c:numRef>
                    <c:extLst xmlns:c15="http://schemas.microsoft.com/office/drawing/2012/chart">
                      <c:ext xmlns:c15="http://schemas.microsoft.com/office/drawing/2012/chart" uri="{02D57815-91ED-43cb-92C2-25804820EDAC}">
                        <c15:formulaRef>
                          <c15:sqref>'Data pro grafy'!$F$2:$F$44</c15:sqref>
                        </c15:formulaRef>
                      </c:ext>
                    </c:extLst>
                    <c:numCache>
                      <c:formatCode>0.0</c:formatCode>
                      <c:ptCount val="43"/>
                      <c:pt idx="0">
                        <c:v>8.3000000000000007</c:v>
                      </c:pt>
                      <c:pt idx="1">
                        <c:v>8.75</c:v>
                      </c:pt>
                      <c:pt idx="2">
                        <c:v>8.5</c:v>
                      </c:pt>
                      <c:pt idx="3">
                        <c:v>8.8000000000000007</c:v>
                      </c:pt>
                      <c:pt idx="4">
                        <c:v>8.6999999999999993</c:v>
                      </c:pt>
                      <c:pt idx="5">
                        <c:v>8.3000000000000007</c:v>
                      </c:pt>
                      <c:pt idx="6">
                        <c:v>8.0599999999999987</c:v>
                      </c:pt>
                      <c:pt idx="7">
                        <c:v>8.48</c:v>
                      </c:pt>
                      <c:pt idx="8">
                        <c:v>8.3000000000000007</c:v>
                      </c:pt>
                      <c:pt idx="9">
                        <c:v>8.82</c:v>
                      </c:pt>
                      <c:pt idx="10">
                        <c:v>7.8857142857142852</c:v>
                      </c:pt>
                      <c:pt idx="11">
                        <c:v>7.1999999999999993</c:v>
                      </c:pt>
                      <c:pt idx="12">
                        <c:v>6</c:v>
                      </c:pt>
                      <c:pt idx="13">
                        <c:v>7.16</c:v>
                      </c:pt>
                      <c:pt idx="14">
                        <c:v>8.6</c:v>
                      </c:pt>
                      <c:pt idx="15">
                        <c:v>7.48</c:v>
                      </c:pt>
                      <c:pt idx="16">
                        <c:v>7.5200000000000005</c:v>
                      </c:pt>
                      <c:pt idx="17">
                        <c:v>7.44</c:v>
                      </c:pt>
                      <c:pt idx="18">
                        <c:v>6.8</c:v>
                      </c:pt>
                      <c:pt idx="19">
                        <c:v>5.6</c:v>
                      </c:pt>
                      <c:pt idx="20">
                        <c:v>5.34</c:v>
                      </c:pt>
                      <c:pt idx="21">
                        <c:v>6.8</c:v>
                      </c:pt>
                      <c:pt idx="22">
                        <c:v>7.46</c:v>
                      </c:pt>
                      <c:pt idx="23">
                        <c:v>7.06</c:v>
                      </c:pt>
                      <c:pt idx="24">
                        <c:v>7.1999999999999993</c:v>
                      </c:pt>
                      <c:pt idx="25">
                        <c:v>6.7749999999999995</c:v>
                      </c:pt>
                      <c:pt idx="26">
                        <c:v>6.8</c:v>
                      </c:pt>
                      <c:pt idx="27">
                        <c:v>6.0500000000000007</c:v>
                      </c:pt>
                      <c:pt idx="28">
                        <c:v>8.26</c:v>
                      </c:pt>
                      <c:pt idx="29">
                        <c:v>8.82</c:v>
                      </c:pt>
                      <c:pt idx="30">
                        <c:v>7.3</c:v>
                      </c:pt>
                      <c:pt idx="31">
                        <c:v>6.18</c:v>
                      </c:pt>
                      <c:pt idx="32">
                        <c:v>7.2</c:v>
                      </c:pt>
                      <c:pt idx="33">
                        <c:v>7.66</c:v>
                      </c:pt>
                      <c:pt idx="34">
                        <c:v>7.66</c:v>
                      </c:pt>
                      <c:pt idx="35">
                        <c:v>6.7</c:v>
                      </c:pt>
                      <c:pt idx="36">
                        <c:v>6.0600000000000005</c:v>
                      </c:pt>
                      <c:pt idx="37">
                        <c:v>7.4666666666666668</c:v>
                      </c:pt>
                      <c:pt idx="38">
                        <c:v>6.5200000000000005</c:v>
                      </c:pt>
                      <c:pt idx="39">
                        <c:v>7.32</c:v>
                      </c:pt>
                      <c:pt idx="40">
                        <c:v>6.9599999999999991</c:v>
                      </c:pt>
                      <c:pt idx="41">
                        <c:v>6</c:v>
                      </c:pt>
                      <c:pt idx="42">
                        <c:v>6.0600000000000005</c:v>
                      </c:pt>
                    </c:numCache>
                  </c:numRef>
                </c:yVal>
                <c:smooth val="0"/>
                <c:extLst xmlns:c15="http://schemas.microsoft.com/office/drawing/2012/chart">
                  <c:ext xmlns:c16="http://schemas.microsoft.com/office/drawing/2014/chart" uri="{C3380CC4-5D6E-409C-BE32-E72D297353CC}">
                    <c16:uniqueId val="{0000002F-3656-418C-9A53-16737C6FC4D7}"/>
                  </c:ext>
                </c:extLst>
              </c15:ser>
            </c15:filteredScatterSeries>
          </c:ext>
        </c:extLst>
      </c:scatterChart>
      <c:valAx>
        <c:axId val="35163136"/>
        <c:scaling>
          <c:orientation val="minMax"/>
          <c:max val="28"/>
          <c:min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Důležitost (škála</a:t>
                </a:r>
                <a:r>
                  <a:rPr lang="cs-CZ" baseline="0"/>
                  <a:t> 0 - 30)</a:t>
                </a:r>
                <a:endParaRPr lang="cs-CZ"/>
              </a:p>
            </c:rich>
          </c:tx>
          <c:overlay val="0"/>
          <c:spPr>
            <a:noFill/>
            <a:ln>
              <a:noFill/>
            </a:ln>
            <a:effectLst/>
          </c:spPr>
        </c:title>
        <c:numFmt formatCode="0.0" sourceLinked="1"/>
        <c:majorTickMark val="none"/>
        <c:minorTickMark val="none"/>
        <c:tickLblPos val="low"/>
        <c:spPr>
          <a:noFill/>
          <a:ln w="25400" cap="flat" cmpd="sng" algn="ctr">
            <a:solidFill>
              <a:srgbClr val="FF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6402688"/>
        <c:crossesAt val="14.8"/>
        <c:crossBetween val="midCat"/>
      </c:valAx>
      <c:valAx>
        <c:axId val="36402688"/>
        <c:scaling>
          <c:orientation val="minMax"/>
          <c:max val="19"/>
          <c:min val="1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Absorpční</a:t>
                </a:r>
                <a:r>
                  <a:rPr lang="cs-CZ" baseline="0"/>
                  <a:t> kapacita (škála 0  - 20) </a:t>
                </a:r>
                <a:endParaRPr lang="cs-CZ"/>
              </a:p>
            </c:rich>
          </c:tx>
          <c:overlay val="0"/>
          <c:spPr>
            <a:noFill/>
            <a:ln>
              <a:noFill/>
            </a:ln>
            <a:effectLst/>
          </c:spPr>
        </c:title>
        <c:numFmt formatCode="0.0" sourceLinked="1"/>
        <c:majorTickMark val="none"/>
        <c:minorTickMark val="none"/>
        <c:tickLblPos val="low"/>
        <c:spPr>
          <a:noFill/>
          <a:ln w="25400" cap="flat" cmpd="sng" algn="ctr">
            <a:solidFill>
              <a:srgbClr val="FF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5163136"/>
        <c:crossesAt val="22.9"/>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dcb9bc-8d52-4d3e-a595-09c2d5420a48">MMR22-929250655-86</_dlc_DocId>
    <_dlc_DocIdUrl xmlns="a5dcb9bc-8d52-4d3e-a595-09c2d5420a48">
      <Url>https://mmrcz.sharepoint.com/sites/22/224/_layouts/15/DocIdRedir.aspx?ID=MMR22-929250655-86</Url>
      <Description>MMR22-929250655-86</Description>
    </_dlc_DocIdUrl>
    <SharedWithUsers xmlns="a5dcb9bc-8d52-4d3e-a595-09c2d5420a48">
      <UserInfo>
        <DisplayName>Brázová Věra-Karin</DisplayName>
        <AccountId>27</AccountId>
        <AccountType/>
      </UserInfo>
      <UserInfo>
        <DisplayName>Švec Jakub</DisplayName>
        <AccountId>66</AccountId>
        <AccountType/>
      </UserInfo>
      <UserInfo>
        <DisplayName>Němeček Jiří</DisplayName>
        <AccountId>74</AccountId>
        <AccountType/>
      </UserInfo>
      <UserInfo>
        <DisplayName>Hartmann Igor</DisplayName>
        <AccountId>78</AccountId>
        <AccountType/>
      </UserInfo>
      <UserInfo>
        <DisplayName>Valenta Petr</DisplayName>
        <AccountId>75</AccountId>
        <AccountType/>
      </UserInfo>
      <UserInfo>
        <DisplayName>Škorňa David</DisplayName>
        <AccountId>20</AccountId>
        <AccountType/>
      </UserInfo>
      <UserInfo>
        <DisplayName>Vránová Dagmar</DisplayName>
        <AccountId>19</AccountId>
        <AccountType/>
      </UserInfo>
      <UserInfo>
        <DisplayName>Veselý Robert</DisplayName>
        <AccountId>21</AccountId>
        <AccountType/>
      </UserInfo>
      <UserInfo>
        <DisplayName>Témová Tereza</DisplayName>
        <AccountId>299</AccountId>
        <AccountType/>
      </UserInfo>
      <UserInfo>
        <DisplayName>Krouzová Lenka-Kristýna</DisplayName>
        <AccountId>72</AccountId>
        <AccountType/>
      </UserInfo>
      <UserInfo>
        <DisplayName>Valíček David</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45F4FF732F663438DC7BBDE7D2A92A5" ma:contentTypeVersion="4" ma:contentTypeDescription="Vytvoří nový dokument" ma:contentTypeScope="" ma:versionID="a53418b6f6e518d13d38ca70e2ccc597">
  <xsd:schema xmlns:xsd="http://www.w3.org/2001/XMLSchema" xmlns:xs="http://www.w3.org/2001/XMLSchema" xmlns:p="http://schemas.microsoft.com/office/2006/metadata/properties" xmlns:ns2="a5dcb9bc-8d52-4d3e-a595-09c2d5420a48" xmlns:ns3="c21e7edb-b367-4ac7-a92d-02aa336f11bf" targetNamespace="http://schemas.microsoft.com/office/2006/metadata/properties" ma:root="true" ma:fieldsID="4a6f632d16916570da4a7416b5919e9d" ns2:_="" ns3:_="">
    <xsd:import namespace="a5dcb9bc-8d52-4d3e-a595-09c2d5420a48"/>
    <xsd:import namespace="c21e7edb-b367-4ac7-a92d-02aa336f11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b9bc-8d52-4d3e-a595-09c2d5420a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_dlc_DocId" ma:index="12" nillable="true" ma:displayName="Hodnota ID dokumentu" ma:description="Hodnota ID dokumentu přiřazená této položce" ma:internalName="_dlc_DocId" ma:readOnly="true">
      <xsd:simpleType>
        <xsd:restriction base="dms:Text"/>
      </xsd:simpleType>
    </xsd:element>
    <xsd:element name="_dlc_DocIdUrl" ma:index="13"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1e7edb-b367-4ac7-a92d-02aa336f11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AF0E34-1325-4180-9CC3-FB6D84694E3E}">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c21e7edb-b367-4ac7-a92d-02aa336f11bf"/>
    <ds:schemaRef ds:uri="a5dcb9bc-8d52-4d3e-a595-09c2d5420a4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DCC3D7A-52F5-4BD4-A10F-69C1D37C4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b9bc-8d52-4d3e-a595-09c2d5420a48"/>
    <ds:schemaRef ds:uri="c21e7edb-b367-4ac7-a92d-02aa336f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1169D-D3F8-4947-A887-B4292A6571CF}">
  <ds:schemaRefs>
    <ds:schemaRef ds:uri="http://schemas.microsoft.com/sharepoint/events"/>
  </ds:schemaRefs>
</ds:datastoreItem>
</file>

<file path=customXml/itemProps4.xml><?xml version="1.0" encoding="utf-8"?>
<ds:datastoreItem xmlns:ds="http://schemas.openxmlformats.org/officeDocument/2006/customXml" ds:itemID="{83F8DBDE-7020-4029-9E88-C0A0745F8545}">
  <ds:schemaRefs>
    <ds:schemaRef ds:uri="http://schemas.microsoft.com/sharepoint/v3/contenttype/forms"/>
  </ds:schemaRefs>
</ds:datastoreItem>
</file>

<file path=customXml/itemProps5.xml><?xml version="1.0" encoding="utf-8"?>
<ds:datastoreItem xmlns:ds="http://schemas.openxmlformats.org/officeDocument/2006/customXml" ds:itemID="{6B515E06-2C8C-4839-903B-AAF22CC2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33875</Words>
  <Characters>199863</Characters>
  <Application>Microsoft Office Word</Application>
  <DocSecurity>4</DocSecurity>
  <Lines>1665</Lines>
  <Paragraphs>466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233272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oddělení předběžných podmínek</dc:creator>
  <cp:lastModifiedBy>Skučková Blanka</cp:lastModifiedBy>
  <cp:revision>2</cp:revision>
  <cp:lastPrinted>2019-05-21T18:05:00Z</cp:lastPrinted>
  <dcterms:created xsi:type="dcterms:W3CDTF">2019-09-02T09:09:00Z</dcterms:created>
  <dcterms:modified xsi:type="dcterms:W3CDTF">2019-09-02T09:09:00Z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0x010100745F4FF732F663438DC7BBDE7D2A92A5</vt:lpwstr>
  </property>
  <property fmtid="{D5CDD505-2E9C-101B-9397-08002B2CF9AE}" pid="4" name="_dlc_DocIdItemGuid">
    <vt:lpwstr>549a95f0-f24e-48b3-84a9-0d84f3d5125d</vt:lpwstr>
  </property>
</Properties>
</file>