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7E2C8" w14:textId="192BAA17" w:rsidR="00E026D7" w:rsidRDefault="00E026D7" w:rsidP="00E026D7">
      <w:pPr>
        <w:pStyle w:val="Nadpis1"/>
        <w:ind w:left="6371"/>
        <w:rPr>
          <w:rFonts w:ascii="AlfaPID" w:hAnsi="AlfaPID"/>
          <w:b w:val="0"/>
          <w:sz w:val="52"/>
          <w:szCs w:val="52"/>
        </w:rPr>
      </w:pPr>
      <w:r w:rsidRPr="00E026D7">
        <w:rPr>
          <w:rFonts w:ascii="AlfaPID" w:hAnsi="AlfaPID"/>
          <w:b w:val="0"/>
          <w:sz w:val="52"/>
          <w:szCs w:val="52"/>
        </w:rPr>
        <w:t>MKCRX00ERRB5</w:t>
      </w:r>
    </w:p>
    <w:p w14:paraId="3B28EB34" w14:textId="7D34559E" w:rsidR="00E026D7" w:rsidRPr="00E026D7" w:rsidRDefault="00E026D7" w:rsidP="00E026D7">
      <w:pPr>
        <w:spacing w:after="240"/>
        <w:jc w:val="right"/>
      </w:pPr>
      <w:proofErr w:type="gramStart"/>
      <w:r>
        <w:t>Č.j.</w:t>
      </w:r>
      <w:proofErr w:type="gramEnd"/>
      <w:r>
        <w:t xml:space="preserve"> </w:t>
      </w:r>
      <w:r w:rsidRPr="00E026D7">
        <w:t>MK 85426/2019 OULK</w:t>
      </w:r>
    </w:p>
    <w:p w14:paraId="2F55A9E7" w14:textId="77777777" w:rsidR="00CA0CED" w:rsidRDefault="004E6AEA" w:rsidP="00CA0CED">
      <w:pPr>
        <w:pStyle w:val="Nadpis1"/>
        <w:spacing w:before="0"/>
      </w:pPr>
      <w:r w:rsidRPr="00B844FC">
        <w:t xml:space="preserve">Metodický </w:t>
      </w:r>
      <w:r w:rsidRPr="004A7F5A">
        <w:t>pokyn</w:t>
      </w:r>
      <w:r w:rsidRPr="00B844FC">
        <w:t xml:space="preserve"> Ministerstva kultury</w:t>
      </w:r>
    </w:p>
    <w:p w14:paraId="24886486" w14:textId="77777777" w:rsidR="00CA0CED" w:rsidRDefault="004E6AEA" w:rsidP="00CA0CED">
      <w:pPr>
        <w:pStyle w:val="Nadpis1"/>
        <w:spacing w:before="0"/>
      </w:pPr>
      <w:r w:rsidRPr="00B844FC">
        <w:t>k vymezení standardu veřejných knihovnických a informačních služeb</w:t>
      </w:r>
    </w:p>
    <w:p w14:paraId="1F0649E1" w14:textId="77777777" w:rsidR="00CA0CED" w:rsidRDefault="004E6AEA" w:rsidP="00CA0CED">
      <w:pPr>
        <w:pStyle w:val="Nadpis1"/>
        <w:spacing w:before="0"/>
      </w:pPr>
      <w:r w:rsidRPr="00B844FC">
        <w:t>poskytovaných knihovnami zřizovanými a/nebo provozovanými obcemi</w:t>
      </w:r>
    </w:p>
    <w:p w14:paraId="1753F76F" w14:textId="5526E579" w:rsidR="004E6AEA" w:rsidRPr="00B844FC" w:rsidRDefault="004E6AEA" w:rsidP="00CA0CED">
      <w:pPr>
        <w:pStyle w:val="Nadpis1"/>
        <w:spacing w:before="0"/>
      </w:pPr>
      <w:r w:rsidRPr="00B844FC">
        <w:t>a kraji na území České republiky</w:t>
      </w:r>
    </w:p>
    <w:p w14:paraId="0B48270F" w14:textId="77777777" w:rsidR="004E6AEA" w:rsidRPr="00F31A9F" w:rsidRDefault="004E6AEA" w:rsidP="00F31A9F">
      <w:pPr>
        <w:pStyle w:val="Prosttext1"/>
        <w:ind w:firstLine="0"/>
        <w:rPr>
          <w:rFonts w:ascii="Times New Roman" w:hAnsi="Times New Roman"/>
        </w:rPr>
      </w:pPr>
    </w:p>
    <w:p w14:paraId="6A0F13BC" w14:textId="6BB5985C" w:rsidR="004E6AEA" w:rsidRPr="00B844FC" w:rsidRDefault="004E6AEA" w:rsidP="003404E9">
      <w:r w:rsidRPr="00B844FC">
        <w:t>Mini</w:t>
      </w:r>
      <w:r w:rsidR="00A532B7">
        <w:t>sterstvo kultury</w:t>
      </w:r>
      <w:r w:rsidRPr="00B844FC">
        <w:t xml:space="preserve"> (dále jen „ministerstvo“) v návaznosti na zákon č. 257/2001 Sb., o knihovnách a podmínkách provozování veřejných knihovnických a</w:t>
      </w:r>
      <w:r w:rsidR="00720D3B">
        <w:t> </w:t>
      </w:r>
      <w:r w:rsidRPr="00B844FC">
        <w:t>informačních služeb (knihovní zákon), a v </w:t>
      </w:r>
      <w:r w:rsidRPr="008E4229">
        <w:t>souladu s</w:t>
      </w:r>
      <w:r w:rsidR="00B24D98" w:rsidRPr="008E4229">
        <w:t xml:space="preserve">e </w:t>
      </w:r>
      <w:r w:rsidR="00B24D98" w:rsidRPr="006D625F">
        <w:t>Státní kulturní politikou na léta 20</w:t>
      </w:r>
      <w:r w:rsidR="00B00DC6" w:rsidRPr="006D625F">
        <w:t>15- 2020 (s výhledem do roku 2025)</w:t>
      </w:r>
      <w:r w:rsidR="00B00DC6" w:rsidRPr="008E4229">
        <w:rPr>
          <w:rStyle w:val="Znakapoznpodarou"/>
        </w:rPr>
        <w:footnoteReference w:id="1"/>
      </w:r>
      <w:r w:rsidR="00B24D98" w:rsidRPr="008E4229">
        <w:t xml:space="preserve"> </w:t>
      </w:r>
      <w:r w:rsidRPr="008E4229">
        <w:t>vydává metodický pokyn k vymezení</w:t>
      </w:r>
      <w:r w:rsidRPr="00B844FC">
        <w:t xml:space="preserve"> standardu veřejných knihovnických a informačních služeb poskytovaných knihovnami zřizovanými a/nebo provozovanými obcemi a kraji na území ČR.</w:t>
      </w:r>
    </w:p>
    <w:p w14:paraId="2435C3D4" w14:textId="77777777" w:rsidR="004E6AEA" w:rsidRPr="00B844FC" w:rsidRDefault="004E6AEA" w:rsidP="003404E9">
      <w:pPr>
        <w:pStyle w:val="Nadpis4"/>
      </w:pPr>
      <w:r w:rsidRPr="004A7F5A">
        <w:t>Úvod</w:t>
      </w:r>
    </w:p>
    <w:p w14:paraId="3DA65DA7" w14:textId="77777777" w:rsidR="004E6AEA" w:rsidRPr="00B844FC" w:rsidRDefault="004E6AEA" w:rsidP="00507F89">
      <w:r w:rsidRPr="004A7F5A">
        <w:t xml:space="preserve">Poskytování veřejných knihovnických a informačních služeb (dále jen „knihovnických služeb“) je </w:t>
      </w:r>
      <w:r w:rsidRPr="00BC5CFD">
        <w:t>upraveno zákonem č. 257/2001 Sb., o knihovnách a podmínkách provozování veřejných knihovnických a informačních služeb</w:t>
      </w:r>
      <w:r w:rsidRPr="00B844FC">
        <w:t xml:space="preserve"> (knihovní zákon). Poskytované knihovnické služby jsou definovány v § 4 tohoto zákona. Knihovnické služby zakotvené v § 4 odst. 1 je provozovatel knihovny povinen poskytovat bezplatně s výjimkou služeb vymezených v § 4</w:t>
      </w:r>
      <w:r w:rsidR="00B00DC6">
        <w:t> </w:t>
      </w:r>
      <w:r w:rsidRPr="00B844FC">
        <w:t xml:space="preserve">odst. 2. Za služby taxativně vymezené v § 4 odst. </w:t>
      </w:r>
      <w:smartTag w:uri="urn:schemas-microsoft-com:office:smarttags" w:element="metricconverter">
        <w:smartTagPr>
          <w:attr w:name="ProductID" w:val="2 a"/>
        </w:smartTagPr>
        <w:r w:rsidRPr="00B844FC">
          <w:t>2 a</w:t>
        </w:r>
      </w:smartTag>
      <w:r w:rsidRPr="00B844FC">
        <w:t xml:space="preserve"> další služby demonstrativně uvedené v</w:t>
      </w:r>
      <w:r w:rsidR="00317543">
        <w:t> </w:t>
      </w:r>
      <w:r w:rsidRPr="00B844FC">
        <w:t>§ 4 odst. 3 je provozovatel knihovny oprávněn požadovat úhradu skutečně vynaložených nákladů.</w:t>
      </w:r>
    </w:p>
    <w:p w14:paraId="3263AE01" w14:textId="0923CACA" w:rsidR="004E6AEA" w:rsidRDefault="004E6AEA" w:rsidP="003404E9">
      <w:r w:rsidRPr="00B844FC">
        <w:t>Knihovnické služby se poskytují na základě rovného principu všem bez rozdílu</w:t>
      </w:r>
      <w:r w:rsidR="00512A81">
        <w:t>.</w:t>
      </w:r>
      <w:r w:rsidR="00B47952">
        <w:rPr>
          <w:rStyle w:val="Znakapoznpodarou"/>
        </w:rPr>
        <w:footnoteReference w:id="2"/>
      </w:r>
      <w:r w:rsidRPr="00B844FC">
        <w:t xml:space="preserve"> Pro jejich poskytování však nejsou žádným právním předpisem vymezeny kvantitativní a</w:t>
      </w:r>
      <w:r w:rsidR="001B2FFE">
        <w:t> </w:t>
      </w:r>
      <w:r w:rsidRPr="00B844FC">
        <w:t>kvalitativní indikátory služeb, ani podmínky jejich dostupnosti uživatelům</w:t>
      </w:r>
      <w:r w:rsidR="00680824">
        <w:t>.</w:t>
      </w:r>
      <w:r w:rsidR="00680824">
        <w:rPr>
          <w:rStyle w:val="Znakapoznpodarou"/>
        </w:rPr>
        <w:footnoteReference w:id="3"/>
      </w:r>
    </w:p>
    <w:p w14:paraId="0D647459" w14:textId="106EA921" w:rsidR="00AF0518" w:rsidRPr="00B844FC" w:rsidRDefault="00AF0518" w:rsidP="003404E9">
      <w:r>
        <w:t xml:space="preserve">Evropská komise ve svém rozhodnutí </w:t>
      </w:r>
      <w:r w:rsidR="00AF7667">
        <w:t xml:space="preserve">č. C(2013) 1893 </w:t>
      </w:r>
      <w:proofErr w:type="spellStart"/>
      <w:r w:rsidR="00AF7667">
        <w:t>final</w:t>
      </w:r>
      <w:proofErr w:type="spellEnd"/>
      <w:r w:rsidR="00AF7667">
        <w:t xml:space="preserve"> ze dne 16. 4. 2013 konstatovala, že rozšiřováním významných informací plní české veřejné knihovny „skutečný veřejný úkol a povinnost</w:t>
      </w:r>
      <w:r w:rsidR="00680824">
        <w:t>“ s tím, že</w:t>
      </w:r>
      <w:r w:rsidR="00AF7667">
        <w:t xml:space="preserve"> přispívají k plnění úkolů státu ve vzdělávací, kulturní a sociální oblasti.</w:t>
      </w:r>
    </w:p>
    <w:p w14:paraId="5C2E5806" w14:textId="76CF6E53" w:rsidR="00166F08" w:rsidRDefault="004E6AEA" w:rsidP="00166F08">
      <w:r w:rsidRPr="00B844FC">
        <w:t>Metodický pokyn stanovuje základní kvantitativní a kvalitativní podmínky pro poskytování knihovnických služeb pro knihovny zřizované a/nebo provozované obcemi a</w:t>
      </w:r>
      <w:r w:rsidR="00B00DC6">
        <w:t> </w:t>
      </w:r>
      <w:r w:rsidRPr="00B844FC">
        <w:t>kraji na území ČR, zapsané v evidenci knihoven Ministerstva kultury</w:t>
      </w:r>
      <w:r w:rsidR="00B00DC6">
        <w:rPr>
          <w:rStyle w:val="Znakapoznpodarou"/>
        </w:rPr>
        <w:footnoteReference w:id="4"/>
      </w:r>
      <w:r w:rsidRPr="00B844FC">
        <w:t xml:space="preserve">. </w:t>
      </w:r>
      <w:r w:rsidR="00680824">
        <w:t>N</w:t>
      </w:r>
      <w:r w:rsidR="006F7209">
        <w:t>avazuje na právní řád České republiky a v</w:t>
      </w:r>
      <w:r w:rsidRPr="00B844FC">
        <w:t>šechna</w:t>
      </w:r>
      <w:r w:rsidR="00680824">
        <w:t xml:space="preserve"> jeho ustanovení</w:t>
      </w:r>
      <w:r w:rsidRPr="00B844FC">
        <w:t xml:space="preserve"> mají povahu doporučení, pokud nejsou </w:t>
      </w:r>
      <w:r w:rsidRPr="00B844FC">
        <w:lastRenderedPageBreak/>
        <w:t xml:space="preserve">totožná s ustanoveními </w:t>
      </w:r>
      <w:r w:rsidR="006F7209">
        <w:t xml:space="preserve">platných právních předpisů, zejména </w:t>
      </w:r>
      <w:r w:rsidRPr="00B844FC">
        <w:t>knihovního zákona. Pro krajské knihovny a knihovny působící ve velkoměstech se doporučené indikátory použijí přiměřeně s ohledem na funkce knihovny a</w:t>
      </w:r>
      <w:r w:rsidR="001B2FFE">
        <w:t> </w:t>
      </w:r>
      <w:r w:rsidR="00166F08">
        <w:t>její postavení ve městě.</w:t>
      </w:r>
    </w:p>
    <w:p w14:paraId="54B86F62" w14:textId="1020FA48" w:rsidR="004E6AEA" w:rsidRPr="00B844FC" w:rsidRDefault="004E6AEA" w:rsidP="00166F08">
      <w:r w:rsidRPr="00B844FC">
        <w:t xml:space="preserve">Metodický pokyn vychází z obecných principů Manifestu IFLA/UNESCO o veřejných knihovnách z roku </w:t>
      </w:r>
      <w:r w:rsidR="000C7031">
        <w:t>1994</w:t>
      </w:r>
      <w:r w:rsidR="00B8526C">
        <w:rPr>
          <w:rStyle w:val="Znakapoznpodarou"/>
        </w:rPr>
        <w:footnoteReference w:id="5"/>
      </w:r>
      <w:r w:rsidRPr="00B844FC">
        <w:t xml:space="preserve"> a návazné směrnice IFLA</w:t>
      </w:r>
      <w:r w:rsidRPr="00870AAC">
        <w:t>: Služby veřejných knihoven z roku 201</w:t>
      </w:r>
      <w:r w:rsidR="000C7031" w:rsidRPr="00870AAC">
        <w:t>2</w:t>
      </w:r>
      <w:r w:rsidRPr="00870AAC">
        <w:rPr>
          <w:rStyle w:val="Znakapoznpodarou"/>
        </w:rPr>
        <w:footnoteReference w:id="6"/>
      </w:r>
      <w:r w:rsidRPr="00870AAC">
        <w:t>.</w:t>
      </w:r>
    </w:p>
    <w:p w14:paraId="4295E74E" w14:textId="77777777" w:rsidR="004E6AEA" w:rsidRDefault="004E6AEA" w:rsidP="003404E9">
      <w:r w:rsidRPr="00B844FC">
        <w:t>Ostatní knihovny, například vysokoškolské, akademické, lékařské, muzejní apod. mají specializovaný charakter a jsou primárně určeny vymezenému okruhu uživatelů (vysokoškolským studentům, uživatelům z oblasti výzkumu a vývoje apod.) a nelze je tedy strukturovat podle počtu obyvatel. Z hlediska celkové koncepce knihovnických služeb není účelné je standardizovat. Pro specifikaci dostupnosti služeb těchto knihoven je postačující uplatnění hlavního principu knihovního zákona, tedy poskytování knihovnických služeb způsobem zaručujícím rovný přístup všem bez rozdílu.</w:t>
      </w:r>
    </w:p>
    <w:p w14:paraId="0BD779F9" w14:textId="77777777" w:rsidR="00E76FAB" w:rsidRPr="006D5754" w:rsidRDefault="00E76FAB" w:rsidP="003404E9">
      <w:pPr>
        <w:pStyle w:val="Nadpis4"/>
      </w:pPr>
      <w:r w:rsidRPr="00244882">
        <w:t>Článek 1.</w:t>
      </w:r>
      <w:r w:rsidR="00BC5CFD" w:rsidRPr="00244882">
        <w:br/>
      </w:r>
      <w:r w:rsidR="00B844FC" w:rsidRPr="00244882">
        <w:t xml:space="preserve">Poslání </w:t>
      </w:r>
      <w:r w:rsidRPr="00244882">
        <w:t>knihovny,</w:t>
      </w:r>
      <w:r w:rsidR="00BC5CFD" w:rsidRPr="006D5754">
        <w:br/>
      </w:r>
      <w:r w:rsidRPr="006D5754">
        <w:t>cíle a působnost standardu knihovnických služeb</w:t>
      </w:r>
    </w:p>
    <w:p w14:paraId="646F08BE" w14:textId="77777777" w:rsidR="00B24D98" w:rsidRPr="003404E9" w:rsidRDefault="006D5754" w:rsidP="003404E9">
      <w:pPr>
        <w:rPr>
          <w:i/>
        </w:rPr>
      </w:pPr>
      <w:r>
        <w:rPr>
          <w:i/>
        </w:rPr>
        <w:t>„</w:t>
      </w:r>
      <w:r w:rsidR="00B24D98" w:rsidRPr="003404E9">
        <w:rPr>
          <w:i/>
        </w:rPr>
        <w:t>Veřejná knihovna je místní branou do světa vědomostí a základním předpokladem celoživotního vzdělávání, nezávislého rozhodování a kulturního rozvoje jednotlivců i</w:t>
      </w:r>
      <w:r w:rsidR="0039160C" w:rsidRPr="003404E9">
        <w:rPr>
          <w:i/>
        </w:rPr>
        <w:t> </w:t>
      </w:r>
      <w:r w:rsidR="00B24D98" w:rsidRPr="003404E9">
        <w:rPr>
          <w:i/>
        </w:rPr>
        <w:t>společenských skupin.</w:t>
      </w:r>
    </w:p>
    <w:p w14:paraId="12AF3F36" w14:textId="413E4F5A" w:rsidR="00B24D98" w:rsidRPr="003404E9" w:rsidRDefault="00B24D98" w:rsidP="003404E9">
      <w:pPr>
        <w:rPr>
          <w:i/>
        </w:rPr>
      </w:pPr>
      <w:r w:rsidRPr="003404E9">
        <w:rPr>
          <w:i/>
        </w:rPr>
        <w:t xml:space="preserve">Jádrem služeb veřejné knihovny </w:t>
      </w:r>
      <w:r w:rsidR="005755C5" w:rsidRPr="003404E9">
        <w:rPr>
          <w:i/>
        </w:rPr>
        <w:t>mají</w:t>
      </w:r>
      <w:r w:rsidRPr="003404E9">
        <w:rPr>
          <w:i/>
        </w:rPr>
        <w:t xml:space="preserve"> být následující klíčové činnosti vztahující se k</w:t>
      </w:r>
      <w:r w:rsidR="0039160C" w:rsidRPr="003404E9">
        <w:rPr>
          <w:i/>
        </w:rPr>
        <w:t> </w:t>
      </w:r>
      <w:r w:rsidRPr="003404E9">
        <w:rPr>
          <w:i/>
        </w:rPr>
        <w:t>informacím, gra</w:t>
      </w:r>
      <w:r w:rsidR="00F31A9F">
        <w:rPr>
          <w:i/>
        </w:rPr>
        <w:t>motnosti, vzdělávání a kultuře:</w:t>
      </w:r>
    </w:p>
    <w:p w14:paraId="6818BA74" w14:textId="09732A66" w:rsidR="00B24D98" w:rsidRPr="000959CF" w:rsidRDefault="00B24D98" w:rsidP="003404E9">
      <w:pPr>
        <w:pStyle w:val="slovn"/>
      </w:pPr>
      <w:r w:rsidRPr="000959CF">
        <w:t>vytváření a posilování čtenář</w:t>
      </w:r>
      <w:r w:rsidR="00F31A9F">
        <w:t>ských návyků od raného dětství;</w:t>
      </w:r>
    </w:p>
    <w:p w14:paraId="17B5EB0E" w14:textId="651302B4" w:rsidR="00B24D98" w:rsidRPr="000959CF" w:rsidRDefault="00B24D98" w:rsidP="003404E9">
      <w:pPr>
        <w:pStyle w:val="slovn"/>
      </w:pPr>
      <w:r w:rsidRPr="000959CF">
        <w:t>podpora samostatného sebevzdělávání i všech stupňů ško</w:t>
      </w:r>
      <w:r w:rsidR="00F31A9F">
        <w:t>lského vzdělávání;</w:t>
      </w:r>
    </w:p>
    <w:p w14:paraId="390735AE" w14:textId="4698E756" w:rsidR="00B24D98" w:rsidRPr="00355F6B" w:rsidRDefault="00B24D98" w:rsidP="003404E9">
      <w:pPr>
        <w:pStyle w:val="slovn"/>
      </w:pPr>
      <w:r w:rsidRPr="00355F6B">
        <w:t>poskytování příleži</w:t>
      </w:r>
      <w:r w:rsidR="00F31A9F">
        <w:t>tosti pro osobní tvůrčí rozvoj;</w:t>
      </w:r>
    </w:p>
    <w:p w14:paraId="64A31386" w14:textId="6DA2EFB9" w:rsidR="00B24D98" w:rsidRPr="00355F6B" w:rsidRDefault="00B24D98" w:rsidP="003404E9">
      <w:pPr>
        <w:pStyle w:val="slovn"/>
      </w:pPr>
      <w:r w:rsidRPr="00355F6B">
        <w:t>povzbuzování imagina</w:t>
      </w:r>
      <w:r w:rsidR="00F31A9F">
        <w:t>ce a kreativity dětí a mládeže;</w:t>
      </w:r>
    </w:p>
    <w:p w14:paraId="5F30E82D" w14:textId="32A20235" w:rsidR="00B24D98" w:rsidRPr="008B5135" w:rsidRDefault="00B24D98" w:rsidP="003404E9">
      <w:pPr>
        <w:pStyle w:val="slovn"/>
      </w:pPr>
      <w:r w:rsidRPr="008B5135">
        <w:t>podpora uvědomělého přístupu ke kulturnímu dědictví a k hodnotám umění a</w:t>
      </w:r>
      <w:r w:rsidR="00317543">
        <w:t> </w:t>
      </w:r>
      <w:r w:rsidR="00F31A9F">
        <w:t>pokroku vědy;</w:t>
      </w:r>
    </w:p>
    <w:p w14:paraId="7247E0C9" w14:textId="5EC7856C" w:rsidR="00B24D98" w:rsidRPr="00507F89" w:rsidRDefault="00B24D98" w:rsidP="003404E9">
      <w:pPr>
        <w:pStyle w:val="slovn"/>
      </w:pPr>
      <w:r w:rsidRPr="00F613AF">
        <w:t xml:space="preserve">zajišťování přístupu ke všem kulturním formám </w:t>
      </w:r>
      <w:r w:rsidR="00F31A9F">
        <w:t>prezentace reprodukčního umění;</w:t>
      </w:r>
    </w:p>
    <w:p w14:paraId="4A876213" w14:textId="3637C32C" w:rsidR="00B24D98" w:rsidRPr="00507F89" w:rsidRDefault="00B24D98" w:rsidP="003404E9">
      <w:pPr>
        <w:pStyle w:val="slovn"/>
      </w:pPr>
      <w:r w:rsidRPr="00507F89">
        <w:t>podpora dialogu mezi kul</w:t>
      </w:r>
      <w:r w:rsidR="00F31A9F">
        <w:t>turami a kulturní rozmanitosti;</w:t>
      </w:r>
    </w:p>
    <w:p w14:paraId="46CA51D6" w14:textId="0AB0DBA2" w:rsidR="00B24D98" w:rsidRPr="00507F89" w:rsidRDefault="00B24D98" w:rsidP="003404E9">
      <w:pPr>
        <w:pStyle w:val="slovn"/>
      </w:pPr>
      <w:r w:rsidRPr="00507F89">
        <w:t>podp</w:t>
      </w:r>
      <w:r w:rsidR="00F31A9F">
        <w:t>ora tradice lidové slovesnosti;</w:t>
      </w:r>
    </w:p>
    <w:p w14:paraId="5AB25DE6" w14:textId="51FDF85D" w:rsidR="00B24D98" w:rsidRPr="00507F89" w:rsidRDefault="00B24D98" w:rsidP="003404E9">
      <w:pPr>
        <w:pStyle w:val="slovn"/>
      </w:pPr>
      <w:r w:rsidRPr="00507F89">
        <w:t xml:space="preserve">zpřístupňování </w:t>
      </w:r>
      <w:r w:rsidR="00F31A9F">
        <w:t>všech druhů obecních informací;</w:t>
      </w:r>
    </w:p>
    <w:p w14:paraId="07C9349F" w14:textId="5A31FAE3" w:rsidR="00B24D98" w:rsidRPr="00507F89" w:rsidRDefault="00B24D98" w:rsidP="003404E9">
      <w:pPr>
        <w:pStyle w:val="slovn"/>
      </w:pPr>
      <w:r w:rsidRPr="00507F89">
        <w:t>poskytování informačních služeb místním podnikům, sdružením a zájmovým skupiná</w:t>
      </w:r>
      <w:r w:rsidR="00F31A9F">
        <w:t>m;</w:t>
      </w:r>
    </w:p>
    <w:p w14:paraId="4CF47919" w14:textId="2C0ADBB5" w:rsidR="00B24D98" w:rsidRPr="00507F89" w:rsidRDefault="00B24D98" w:rsidP="003404E9">
      <w:pPr>
        <w:pStyle w:val="slovn"/>
      </w:pPr>
      <w:r w:rsidRPr="00507F89">
        <w:t>podpora rozvoje infor</w:t>
      </w:r>
      <w:r w:rsidR="00F31A9F">
        <w:t>mační a počítačové gramotnosti;</w:t>
      </w:r>
    </w:p>
    <w:p w14:paraId="59D69CE8" w14:textId="379B8A51" w:rsidR="00B24D98" w:rsidRPr="000959CF" w:rsidRDefault="00B24D98" w:rsidP="003404E9">
      <w:pPr>
        <w:pStyle w:val="slovn"/>
      </w:pPr>
      <w:r w:rsidRPr="000959CF">
        <w:t>podpora a podíl na všech akcích a programech zabývajících se odstraňováním negramotnosti, resp. - je-li to třeba - podněcování takových aktivit.</w:t>
      </w:r>
      <w:r w:rsidR="006D5754">
        <w:t>“</w:t>
      </w:r>
    </w:p>
    <w:p w14:paraId="194E4E8B" w14:textId="77777777" w:rsidR="00B24D98" w:rsidRPr="008A0E1A" w:rsidRDefault="00B24D98" w:rsidP="00F31A9F">
      <w:pPr>
        <w:pStyle w:val="Nadpis1"/>
        <w:jc w:val="right"/>
        <w:rPr>
          <w:b w:val="0"/>
          <w:i/>
          <w:sz w:val="20"/>
          <w:szCs w:val="20"/>
        </w:rPr>
      </w:pPr>
      <w:r w:rsidRPr="008A0E1A">
        <w:rPr>
          <w:b w:val="0"/>
          <w:i/>
          <w:sz w:val="20"/>
          <w:szCs w:val="20"/>
        </w:rPr>
        <w:t>(Manifest IFLA/UNESCO o veřejných knihovnách)</w:t>
      </w:r>
    </w:p>
    <w:p w14:paraId="6C27F14D" w14:textId="77777777" w:rsidR="008B5135" w:rsidRPr="008A0E1A" w:rsidRDefault="008B5135" w:rsidP="00F31A9F">
      <w:pPr>
        <w:ind w:firstLine="0"/>
        <w:rPr>
          <w:sz w:val="20"/>
          <w:szCs w:val="20"/>
        </w:rPr>
      </w:pPr>
    </w:p>
    <w:p w14:paraId="536109C3" w14:textId="77777777" w:rsidR="004E6AEA" w:rsidRDefault="004E6AEA" w:rsidP="003404E9">
      <w:pPr>
        <w:pStyle w:val="slovn3a"/>
        <w:rPr>
          <w:iCs/>
        </w:rPr>
      </w:pPr>
      <w:r w:rsidRPr="00B844FC">
        <w:lastRenderedPageBreak/>
        <w:t xml:space="preserve">Cílem standardu knihovnických služeb je zlepšení dostupnosti a kvality knihovnických služeb </w:t>
      </w:r>
      <w:r w:rsidRPr="00B844FC">
        <w:rPr>
          <w:iCs/>
        </w:rPr>
        <w:t>jejich uživatelům.</w:t>
      </w:r>
    </w:p>
    <w:p w14:paraId="0190195B" w14:textId="49FDE231" w:rsidR="00291ED9" w:rsidRPr="00B844FC" w:rsidRDefault="00291ED9" w:rsidP="00291ED9">
      <w:pPr>
        <w:pStyle w:val="slovn3a"/>
        <w:rPr>
          <w:iCs/>
        </w:rPr>
      </w:pPr>
      <w:r w:rsidRPr="00B844FC">
        <w:t>Standard knihovnických služeb umožňuje knihovnám, provozovatelům knihoven, obcím, krajům a ústředním orgánům státní správy provádět srovnání a kontrolu dostupnosti a</w:t>
      </w:r>
      <w:r>
        <w:t> </w:t>
      </w:r>
      <w:r w:rsidRPr="00B844FC">
        <w:t>kvality knihovnických služeb a systematicky uplatňovat formy podpory jejich rozvoje.</w:t>
      </w:r>
    </w:p>
    <w:p w14:paraId="7E366F19" w14:textId="77777777" w:rsidR="00291ED9" w:rsidRPr="00B844FC" w:rsidRDefault="00291ED9" w:rsidP="00291ED9">
      <w:pPr>
        <w:pStyle w:val="slovn3a"/>
      </w:pPr>
      <w:r w:rsidRPr="00B844FC">
        <w:t>Standard knihovnických služeb je nástrojem motivace a jeho indikátory jsou využívány při poskytování a využívání peněžních prostředků z veřejných rozpočtů za účelem podpory rozvoje knihovnických služeb.</w:t>
      </w:r>
    </w:p>
    <w:p w14:paraId="6C9EFF74" w14:textId="77777777" w:rsidR="00291ED9" w:rsidRPr="00B844FC" w:rsidRDefault="00291ED9" w:rsidP="00291ED9">
      <w:pPr>
        <w:pStyle w:val="slovn3a"/>
        <w:rPr>
          <w:iCs/>
        </w:rPr>
      </w:pPr>
      <w:r w:rsidRPr="00B844FC">
        <w:t>Působnost standardu je omezena na knihovnické služby poskytované knihovnami zřizovanými a/nebo provozovanými obcemi a kraji. Tyto knihovny tvoří základní infrastrukturu, která uživatelům zajišťuje dostupnost knihovnických služeb.</w:t>
      </w:r>
    </w:p>
    <w:p w14:paraId="5494BE63" w14:textId="77777777" w:rsidR="004E6AEA" w:rsidRPr="00B844FC" w:rsidRDefault="004E6AEA" w:rsidP="003404E9">
      <w:pPr>
        <w:pStyle w:val="Nadpis4"/>
      </w:pPr>
      <w:r w:rsidRPr="00B844FC">
        <w:t>Článek 2.</w:t>
      </w:r>
      <w:r w:rsidR="00355F6B">
        <w:br/>
      </w:r>
      <w:r w:rsidRPr="00B844FC">
        <w:t>Předmět standardu knihovnických služeb</w:t>
      </w:r>
    </w:p>
    <w:p w14:paraId="6958AD69" w14:textId="77777777" w:rsidR="004E6AEA" w:rsidRPr="00B844FC" w:rsidRDefault="004E6AEA" w:rsidP="003404E9">
      <w:pPr>
        <w:numPr>
          <w:ilvl w:val="0"/>
          <w:numId w:val="2"/>
        </w:numPr>
      </w:pPr>
      <w:r w:rsidRPr="00B844FC">
        <w:t>Standard knihovnických služeb vymezuje následující kategorie a v nich indikátory (kritéria), za kterých jsou v knihovnách poskytovány služby uživatelům.</w:t>
      </w:r>
    </w:p>
    <w:p w14:paraId="0A017FFF" w14:textId="77777777" w:rsidR="004E6AEA" w:rsidRPr="00B844FC" w:rsidRDefault="004E6AEA" w:rsidP="002B1B50">
      <w:pPr>
        <w:numPr>
          <w:ilvl w:val="1"/>
          <w:numId w:val="2"/>
        </w:numPr>
        <w:spacing w:before="0"/>
        <w:ind w:left="714" w:hanging="357"/>
      </w:pPr>
      <w:r w:rsidRPr="00B844FC">
        <w:t>provozní doba knihovny pro veřejnost,</w:t>
      </w:r>
    </w:p>
    <w:p w14:paraId="76980DDC" w14:textId="77777777" w:rsidR="004E6AEA" w:rsidRPr="00B844FC" w:rsidRDefault="004E6AEA" w:rsidP="002B1B50">
      <w:pPr>
        <w:numPr>
          <w:ilvl w:val="1"/>
          <w:numId w:val="2"/>
        </w:numPr>
        <w:spacing w:before="0"/>
        <w:ind w:left="714" w:hanging="357"/>
      </w:pPr>
      <w:r w:rsidRPr="00B844FC">
        <w:t>tvorba knihovního fondu a informačních zdrojů,</w:t>
      </w:r>
    </w:p>
    <w:p w14:paraId="4258A1EA" w14:textId="77777777" w:rsidR="004E6AEA" w:rsidRPr="00F105A1" w:rsidRDefault="004E6AEA" w:rsidP="002B1B50">
      <w:pPr>
        <w:numPr>
          <w:ilvl w:val="1"/>
          <w:numId w:val="2"/>
        </w:numPr>
        <w:spacing w:before="0"/>
        <w:ind w:left="714" w:hanging="357"/>
      </w:pPr>
      <w:r w:rsidRPr="00F105A1">
        <w:t>umístění knihovny v obci,</w:t>
      </w:r>
    </w:p>
    <w:p w14:paraId="5D48648C" w14:textId="77777777" w:rsidR="004E6AEA" w:rsidRPr="00F105A1" w:rsidRDefault="004E6AEA" w:rsidP="002B1B50">
      <w:pPr>
        <w:numPr>
          <w:ilvl w:val="1"/>
          <w:numId w:val="2"/>
        </w:numPr>
        <w:spacing w:before="0"/>
        <w:ind w:left="714" w:hanging="357"/>
      </w:pPr>
      <w:r w:rsidRPr="00F105A1">
        <w:t>plocha knihovny určená pro uživatele,</w:t>
      </w:r>
    </w:p>
    <w:p w14:paraId="3D464732" w14:textId="77777777" w:rsidR="004E6AEA" w:rsidRPr="00F105A1" w:rsidRDefault="004E6AEA" w:rsidP="002B1B50">
      <w:pPr>
        <w:numPr>
          <w:ilvl w:val="1"/>
          <w:numId w:val="2"/>
        </w:numPr>
        <w:spacing w:before="0"/>
        <w:ind w:left="714" w:hanging="357"/>
      </w:pPr>
      <w:r w:rsidRPr="00F105A1">
        <w:t>studijní místa pro uživatele knihovny,</w:t>
      </w:r>
    </w:p>
    <w:p w14:paraId="4C261810" w14:textId="77777777" w:rsidR="004E6AEA" w:rsidRPr="00F105A1" w:rsidRDefault="004E6AEA" w:rsidP="002B1B50">
      <w:pPr>
        <w:numPr>
          <w:ilvl w:val="1"/>
          <w:numId w:val="2"/>
        </w:numPr>
        <w:spacing w:before="0"/>
        <w:ind w:left="714" w:hanging="357"/>
      </w:pPr>
      <w:r w:rsidRPr="00F105A1">
        <w:t>přístup k internetu a informačním technologiím,</w:t>
      </w:r>
    </w:p>
    <w:p w14:paraId="6C7601EA" w14:textId="0711245D" w:rsidR="004E6AEA" w:rsidRPr="00F105A1" w:rsidRDefault="004E6AEA" w:rsidP="00D346A9">
      <w:pPr>
        <w:numPr>
          <w:ilvl w:val="1"/>
          <w:numId w:val="2"/>
        </w:numPr>
        <w:spacing w:before="0"/>
        <w:ind w:left="714" w:hanging="357"/>
      </w:pPr>
      <w:r w:rsidRPr="00F105A1">
        <w:t xml:space="preserve">webová </w:t>
      </w:r>
      <w:r w:rsidR="00496980" w:rsidRPr="00F105A1">
        <w:t xml:space="preserve">stránka </w:t>
      </w:r>
      <w:r w:rsidRPr="00F105A1">
        <w:t>knihovny,</w:t>
      </w:r>
    </w:p>
    <w:p w14:paraId="063461A0" w14:textId="77777777" w:rsidR="004E6AEA" w:rsidRPr="00F105A1" w:rsidRDefault="004E6AEA" w:rsidP="00D346A9">
      <w:pPr>
        <w:numPr>
          <w:ilvl w:val="1"/>
          <w:numId w:val="2"/>
        </w:numPr>
        <w:spacing w:before="0"/>
        <w:ind w:left="714" w:hanging="357"/>
      </w:pPr>
      <w:r w:rsidRPr="00F105A1">
        <w:t>elektronický katalog knihovny na internetu,</w:t>
      </w:r>
    </w:p>
    <w:p w14:paraId="2291F518" w14:textId="40771E50" w:rsidR="004E6AEA" w:rsidRPr="00F105A1" w:rsidRDefault="00B26F11" w:rsidP="00D346A9">
      <w:pPr>
        <w:numPr>
          <w:ilvl w:val="1"/>
          <w:numId w:val="2"/>
        </w:numPr>
        <w:spacing w:before="0"/>
        <w:ind w:left="714" w:hanging="357"/>
      </w:pPr>
      <w:r w:rsidRPr="00F105A1">
        <w:t xml:space="preserve">personální </w:t>
      </w:r>
      <w:r w:rsidR="000F3282" w:rsidRPr="00F105A1">
        <w:t xml:space="preserve">zajištění </w:t>
      </w:r>
      <w:r w:rsidRPr="00F105A1">
        <w:t>knihovny</w:t>
      </w:r>
      <w:r w:rsidR="004E6AEA" w:rsidRPr="00F105A1">
        <w:t>,</w:t>
      </w:r>
    </w:p>
    <w:p w14:paraId="54745583" w14:textId="3EFD2000" w:rsidR="00EE46E8" w:rsidRPr="00F105A1" w:rsidRDefault="00F80DE1" w:rsidP="00D346A9">
      <w:pPr>
        <w:numPr>
          <w:ilvl w:val="1"/>
          <w:numId w:val="2"/>
        </w:numPr>
        <w:spacing w:before="0"/>
        <w:ind w:left="714" w:hanging="357"/>
      </w:pPr>
      <w:r w:rsidRPr="00F105A1">
        <w:t>kvalifikace a vzdělávání pracovníků knihoven</w:t>
      </w:r>
      <w:r w:rsidR="00426FD2" w:rsidRPr="00F105A1">
        <w:t>,</w:t>
      </w:r>
    </w:p>
    <w:p w14:paraId="0E015A7C" w14:textId="77777777" w:rsidR="00D346A9" w:rsidRPr="00F105A1" w:rsidRDefault="004E6AEA" w:rsidP="00D346A9">
      <w:pPr>
        <w:numPr>
          <w:ilvl w:val="1"/>
          <w:numId w:val="2"/>
        </w:numPr>
        <w:spacing w:before="0"/>
        <w:ind w:left="714" w:hanging="357"/>
      </w:pPr>
      <w:r w:rsidRPr="00F105A1">
        <w:t>měření spokojenosti uživatelů knihovny</w:t>
      </w:r>
      <w:r w:rsidR="00D346A9" w:rsidRPr="00F105A1">
        <w:t>,</w:t>
      </w:r>
    </w:p>
    <w:p w14:paraId="64F8FCFE" w14:textId="0FC179FE" w:rsidR="00744BE6" w:rsidRPr="00F105A1" w:rsidRDefault="00C67817" w:rsidP="00D346A9">
      <w:pPr>
        <w:numPr>
          <w:ilvl w:val="1"/>
          <w:numId w:val="2"/>
        </w:numPr>
        <w:spacing w:before="0"/>
        <w:ind w:left="714" w:hanging="357"/>
      </w:pPr>
      <w:r w:rsidRPr="00F105A1">
        <w:t xml:space="preserve">kulturní, </w:t>
      </w:r>
      <w:r w:rsidR="00744BE6" w:rsidRPr="00F105A1">
        <w:t xml:space="preserve">vzdělávací a komunitní </w:t>
      </w:r>
      <w:r w:rsidR="000F3282" w:rsidRPr="00F105A1">
        <w:t xml:space="preserve">aktivity </w:t>
      </w:r>
      <w:r w:rsidR="00744BE6" w:rsidRPr="00F105A1">
        <w:t>knihovny</w:t>
      </w:r>
      <w:r w:rsidR="00426FD2" w:rsidRPr="00F105A1">
        <w:t>.</w:t>
      </w:r>
    </w:p>
    <w:p w14:paraId="3F0E9416" w14:textId="77777777" w:rsidR="004E6AEA" w:rsidRPr="00B844FC" w:rsidRDefault="004E6AEA" w:rsidP="003404E9">
      <w:pPr>
        <w:numPr>
          <w:ilvl w:val="0"/>
          <w:numId w:val="2"/>
        </w:numPr>
      </w:pPr>
      <w:r w:rsidRPr="00B844FC">
        <w:t>Hodnoty indikátorů stanovených standardem knihovnických služeb jsou definovány jako optimální. Jejich dosažení garantuje dobré podmínky pro poskytování služeb uživatelům. Standard knihovnických služeb uvádí u jednotlivých kritérií jako indikativní údaj i</w:t>
      </w:r>
      <w:r w:rsidR="003F7B9F">
        <w:t> </w:t>
      </w:r>
      <w:r w:rsidRPr="00B844FC">
        <w:t>hodnoty, které odpovídají hodnotám celostátního průměru.</w:t>
      </w:r>
      <w:r w:rsidRPr="00B844FC">
        <w:rPr>
          <w:rStyle w:val="Znakapoznpodarou"/>
        </w:rPr>
        <w:footnoteReference w:id="7"/>
      </w:r>
    </w:p>
    <w:p w14:paraId="2D53D47A" w14:textId="77777777" w:rsidR="004E6AEA" w:rsidRPr="00B844FC" w:rsidRDefault="004E6AEA" w:rsidP="003404E9">
      <w:pPr>
        <w:numPr>
          <w:ilvl w:val="0"/>
          <w:numId w:val="2"/>
        </w:numPr>
      </w:pPr>
      <w:r w:rsidRPr="00B844FC">
        <w:t>Indikátory podmínek pro poskytování knihovnických služeb jsou diferencovány pro knihovny působící v různých velikostních kategoriích obcí a měst. Za základní kritérium byl zvolen počet obyvatel v obci.</w:t>
      </w:r>
    </w:p>
    <w:p w14:paraId="040B26EA" w14:textId="77777777" w:rsidR="004E6AEA" w:rsidRPr="00B844FC" w:rsidRDefault="004E6AEA" w:rsidP="003404E9">
      <w:pPr>
        <w:numPr>
          <w:ilvl w:val="0"/>
          <w:numId w:val="2"/>
        </w:numPr>
      </w:pPr>
      <w:r w:rsidRPr="00B844FC">
        <w:t>Hodnota konkrétního indikátoru v jednotlivých kategoriích se použije přiměřeně k počtu obyvatel obce, spádové oblasti a místním podmínkám.</w:t>
      </w:r>
    </w:p>
    <w:p w14:paraId="5218EAF9" w14:textId="77777777" w:rsidR="004E6AEA" w:rsidRPr="00B844FC" w:rsidRDefault="00110362" w:rsidP="00E026D7">
      <w:pPr>
        <w:pStyle w:val="Nadpis1"/>
        <w:spacing w:after="240"/>
        <w:rPr>
          <w:b w:val="0"/>
        </w:rPr>
      </w:pPr>
      <w:r w:rsidRPr="00B844FC">
        <w:t>Článek 3</w:t>
      </w:r>
      <w:r w:rsidR="004E6AEA" w:rsidRPr="00B844FC">
        <w:t>.</w:t>
      </w:r>
      <w:r w:rsidR="008B5135">
        <w:br/>
      </w:r>
      <w:r w:rsidR="004E6AEA" w:rsidRPr="00B844FC">
        <w:t>Provozní doba knihovny pro veřejnost</w:t>
      </w:r>
    </w:p>
    <w:p w14:paraId="1F209232" w14:textId="3EF39B11" w:rsidR="00973D50" w:rsidRDefault="00973D50" w:rsidP="003404E9">
      <w:r w:rsidRPr="00A532B7">
        <w:rPr>
          <w:i/>
        </w:rPr>
        <w:t>„</w:t>
      </w:r>
      <w:r w:rsidR="004E6AEA" w:rsidRPr="00A532B7">
        <w:rPr>
          <w:i/>
        </w:rPr>
        <w:t>Optimální přístup ke knihovnickým službám vyžaduje, aby knihovna byla otevřena v</w:t>
      </w:r>
      <w:r w:rsidR="003F7B9F" w:rsidRPr="00A532B7">
        <w:rPr>
          <w:i/>
        </w:rPr>
        <w:t> </w:t>
      </w:r>
      <w:r w:rsidR="004E6AEA" w:rsidRPr="00A532B7">
        <w:rPr>
          <w:i/>
        </w:rPr>
        <w:t xml:space="preserve">době maximálně vyhovující těm, kteří žijí, pracují a studují v místě jejího působení. Tento </w:t>
      </w:r>
      <w:r w:rsidR="004E6AEA" w:rsidRPr="00A532B7">
        <w:rPr>
          <w:i/>
        </w:rPr>
        <w:lastRenderedPageBreak/>
        <w:t xml:space="preserve">přístup </w:t>
      </w:r>
      <w:r w:rsidR="006D04A4" w:rsidRPr="00A532B7">
        <w:rPr>
          <w:i/>
        </w:rPr>
        <w:t xml:space="preserve">lze rozšířit </w:t>
      </w:r>
      <w:r w:rsidR="004E6AEA" w:rsidRPr="00A532B7">
        <w:rPr>
          <w:i/>
        </w:rPr>
        <w:t>udržování</w:t>
      </w:r>
      <w:r w:rsidR="006D04A4" w:rsidRPr="00A532B7">
        <w:rPr>
          <w:i/>
        </w:rPr>
        <w:t>m</w:t>
      </w:r>
      <w:r w:rsidR="004E6AEA" w:rsidRPr="00A532B7">
        <w:rPr>
          <w:i/>
        </w:rPr>
        <w:t xml:space="preserve"> telefonického spojení 24 hodin denně nebo zajištění</w:t>
      </w:r>
      <w:r w:rsidR="006D04A4" w:rsidRPr="00A532B7">
        <w:rPr>
          <w:i/>
        </w:rPr>
        <w:t>m</w:t>
      </w:r>
      <w:r w:rsidR="004E6AEA" w:rsidRPr="00A532B7">
        <w:rPr>
          <w:i/>
        </w:rPr>
        <w:t xml:space="preserve"> přístupu </w:t>
      </w:r>
      <w:r w:rsidR="006D04A4" w:rsidRPr="00A532B7">
        <w:rPr>
          <w:i/>
        </w:rPr>
        <w:t xml:space="preserve">k vybraným službám prostřednictvím </w:t>
      </w:r>
      <w:r w:rsidR="004E6AEA" w:rsidRPr="00A532B7">
        <w:rPr>
          <w:i/>
        </w:rPr>
        <w:t>webový</w:t>
      </w:r>
      <w:r w:rsidR="006D04A4" w:rsidRPr="00A532B7">
        <w:rPr>
          <w:i/>
        </w:rPr>
        <w:t>ch</w:t>
      </w:r>
      <w:r w:rsidR="004E6AEA" w:rsidRPr="00A532B7">
        <w:rPr>
          <w:i/>
        </w:rPr>
        <w:t xml:space="preserve"> strán</w:t>
      </w:r>
      <w:r w:rsidR="006D04A4" w:rsidRPr="00A532B7">
        <w:rPr>
          <w:i/>
        </w:rPr>
        <w:t>e</w:t>
      </w:r>
      <w:r w:rsidR="004E6AEA" w:rsidRPr="00A532B7">
        <w:rPr>
          <w:i/>
        </w:rPr>
        <w:t>k</w:t>
      </w:r>
      <w:r w:rsidRPr="00A532B7">
        <w:rPr>
          <w:i/>
        </w:rPr>
        <w:t>.“</w:t>
      </w:r>
    </w:p>
    <w:p w14:paraId="20FB246E" w14:textId="05A8FC27" w:rsidR="004E6AEA" w:rsidRPr="00A532B7" w:rsidRDefault="004E6AEA" w:rsidP="00A532B7">
      <w:pPr>
        <w:ind w:left="3539"/>
        <w:rPr>
          <w:i/>
          <w:sz w:val="20"/>
          <w:szCs w:val="20"/>
        </w:rPr>
      </w:pPr>
      <w:r w:rsidRPr="00A532B7">
        <w:rPr>
          <w:i/>
          <w:sz w:val="20"/>
          <w:szCs w:val="20"/>
        </w:rPr>
        <w:t>(Směrnice IFLA: Služby veřejných knihoven</w:t>
      </w:r>
      <w:r w:rsidR="006D04A4" w:rsidRPr="00A532B7">
        <w:rPr>
          <w:i/>
          <w:sz w:val="20"/>
          <w:szCs w:val="20"/>
        </w:rPr>
        <w:t>, článek 3.9.2</w:t>
      </w:r>
      <w:r w:rsidRPr="00A532B7">
        <w:rPr>
          <w:i/>
          <w:sz w:val="20"/>
          <w:szCs w:val="20"/>
        </w:rPr>
        <w:t>)</w:t>
      </w:r>
    </w:p>
    <w:p w14:paraId="78910206" w14:textId="77777777" w:rsidR="004E6AEA" w:rsidRPr="00B844FC" w:rsidRDefault="004E6AEA" w:rsidP="00861CB3">
      <w:pPr>
        <w:spacing w:after="240"/>
        <w:ind w:firstLine="0"/>
        <w:rPr>
          <w:b/>
        </w:rPr>
      </w:pPr>
      <w:r w:rsidRPr="00B844FC">
        <w:rPr>
          <w:b/>
        </w:rPr>
        <w:t>Indikátor:</w:t>
      </w:r>
      <w:r w:rsidRPr="00B844FC">
        <w:t xml:space="preserve"> počet provozních hodin</w:t>
      </w:r>
      <w:r w:rsidRPr="00B844FC">
        <w:rPr>
          <w:rStyle w:val="Znakapoznpodarou"/>
        </w:rPr>
        <w:footnoteReference w:id="8"/>
      </w:r>
      <w:r w:rsidRPr="00B844FC">
        <w:t xml:space="preserve"> pro veřejnost týdně</w:t>
      </w:r>
    </w:p>
    <w:tbl>
      <w:tblPr>
        <w:tblW w:w="6804" w:type="dxa"/>
        <w:jc w:val="center"/>
        <w:tblCellMar>
          <w:left w:w="70" w:type="dxa"/>
          <w:right w:w="70" w:type="dxa"/>
        </w:tblCellMar>
        <w:tblLook w:val="04A0" w:firstRow="1" w:lastRow="0" w:firstColumn="1" w:lastColumn="0" w:noHBand="0" w:noVBand="1"/>
      </w:tblPr>
      <w:tblGrid>
        <w:gridCol w:w="2268"/>
        <w:gridCol w:w="2268"/>
        <w:gridCol w:w="2268"/>
      </w:tblGrid>
      <w:tr w:rsidR="00310360" w:rsidRPr="00B844FC" w14:paraId="0B5B10D0" w14:textId="77777777" w:rsidTr="00310360">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DB713" w14:textId="77777777" w:rsidR="00310360" w:rsidRPr="00B844FC" w:rsidRDefault="00310360" w:rsidP="003404E9">
            <w:pPr>
              <w:ind w:firstLine="0"/>
              <w:jc w:val="left"/>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0253623" w14:textId="77777777" w:rsidR="00310360" w:rsidRPr="00F105A1" w:rsidRDefault="00310360" w:rsidP="00507F89">
            <w:pPr>
              <w:ind w:firstLine="0"/>
              <w:jc w:val="center"/>
            </w:pPr>
            <w:r w:rsidRPr="00F105A1">
              <w:t>Doporučená hodnota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E9A9535" w14:textId="4DE2F7E0" w:rsidR="00310360" w:rsidRPr="00D22021" w:rsidRDefault="00310360" w:rsidP="006879C9">
            <w:pPr>
              <w:ind w:firstLine="0"/>
              <w:jc w:val="center"/>
              <w:rPr>
                <w:snapToGrid w:val="0"/>
              </w:rPr>
            </w:pPr>
            <w:r w:rsidRPr="00D22021">
              <w:rPr>
                <w:snapToGrid w:val="0"/>
              </w:rPr>
              <w:t xml:space="preserve">Celostátní průměr </w:t>
            </w:r>
            <w:r w:rsidR="006879C9" w:rsidRPr="00D22021">
              <w:rPr>
                <w:snapToGrid w:val="0"/>
              </w:rPr>
              <w:t>201</w:t>
            </w:r>
            <w:r w:rsidR="005758BA" w:rsidRPr="00D22021">
              <w:rPr>
                <w:snapToGrid w:val="0"/>
              </w:rPr>
              <w:t>8</w:t>
            </w:r>
          </w:p>
        </w:tc>
      </w:tr>
      <w:tr w:rsidR="00310360" w:rsidRPr="00B844FC" w14:paraId="7CB5414D" w14:textId="77777777" w:rsidTr="00310360">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0A719" w14:textId="77777777" w:rsidR="00310360" w:rsidRPr="00B844FC" w:rsidRDefault="00310360" w:rsidP="003404E9">
            <w:pPr>
              <w:ind w:firstLine="0"/>
              <w:jc w:val="left"/>
            </w:pPr>
            <w:r w:rsidRPr="00B844FC">
              <w:t>Počet obyvatel</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373204" w14:textId="77777777" w:rsidR="00310360" w:rsidRPr="00F105A1" w:rsidRDefault="0082656D" w:rsidP="003404E9">
            <w:pPr>
              <w:ind w:hanging="69"/>
              <w:jc w:val="center"/>
            </w:pPr>
            <w:r w:rsidRPr="00F105A1">
              <w:t>Počet hodin</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D868552" w14:textId="77777777" w:rsidR="00310360" w:rsidRPr="00D22021" w:rsidRDefault="0082656D" w:rsidP="00507F89">
            <w:pPr>
              <w:ind w:firstLine="0"/>
              <w:jc w:val="center"/>
            </w:pPr>
            <w:r w:rsidRPr="00D22021">
              <w:t>Počet hodin</w:t>
            </w:r>
          </w:p>
        </w:tc>
      </w:tr>
      <w:tr w:rsidR="00310360" w:rsidRPr="00B844FC" w14:paraId="20EB6F45"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50970EBF" w14:textId="77777777" w:rsidR="00310360" w:rsidRPr="00B844FC" w:rsidRDefault="00310360" w:rsidP="00F613AF">
            <w:pPr>
              <w:ind w:firstLine="0"/>
              <w:jc w:val="left"/>
            </w:pPr>
            <w:r w:rsidRPr="00B844FC">
              <w:t>Do 500</w:t>
            </w:r>
          </w:p>
        </w:tc>
        <w:tc>
          <w:tcPr>
            <w:tcW w:w="2268" w:type="dxa"/>
            <w:tcBorders>
              <w:top w:val="nil"/>
              <w:left w:val="nil"/>
              <w:bottom w:val="single" w:sz="4" w:space="0" w:color="auto"/>
              <w:right w:val="single" w:sz="4" w:space="0" w:color="auto"/>
            </w:tcBorders>
            <w:shd w:val="clear" w:color="auto" w:fill="auto"/>
            <w:noWrap/>
            <w:vAlign w:val="center"/>
          </w:tcPr>
          <w:p w14:paraId="4E1DA541" w14:textId="784B1785" w:rsidR="00310360" w:rsidRPr="00F105A1" w:rsidRDefault="002E0E77" w:rsidP="003404E9">
            <w:pPr>
              <w:ind w:hanging="69"/>
              <w:jc w:val="center"/>
            </w:pPr>
            <w:r w:rsidRPr="00F105A1">
              <w:rPr>
                <w:snapToGrid w:val="0"/>
              </w:rPr>
              <w:t>4</w:t>
            </w:r>
            <w:r w:rsidR="00310360" w:rsidRPr="00F105A1">
              <w:rPr>
                <w:snapToGrid w:val="0"/>
              </w:rPr>
              <w:t xml:space="preserve"> - 10</w:t>
            </w:r>
          </w:p>
        </w:tc>
        <w:tc>
          <w:tcPr>
            <w:tcW w:w="2268" w:type="dxa"/>
            <w:tcBorders>
              <w:top w:val="nil"/>
              <w:left w:val="nil"/>
              <w:bottom w:val="single" w:sz="4" w:space="0" w:color="auto"/>
              <w:right w:val="single" w:sz="4" w:space="0" w:color="auto"/>
            </w:tcBorders>
            <w:shd w:val="clear" w:color="auto" w:fill="auto"/>
            <w:noWrap/>
            <w:vAlign w:val="center"/>
          </w:tcPr>
          <w:p w14:paraId="62598FB8" w14:textId="1C762DE3" w:rsidR="00310360" w:rsidRPr="00D22021" w:rsidRDefault="006879C9" w:rsidP="003404E9">
            <w:pPr>
              <w:ind w:firstLine="0"/>
              <w:jc w:val="center"/>
            </w:pPr>
            <w:r w:rsidRPr="00D22021">
              <w:t>2,</w:t>
            </w:r>
            <w:r w:rsidR="005758BA" w:rsidRPr="00D22021">
              <w:t>4</w:t>
            </w:r>
          </w:p>
        </w:tc>
      </w:tr>
      <w:tr w:rsidR="00310360" w:rsidRPr="00B844FC" w14:paraId="4C0BE953"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0318735A" w14:textId="77777777" w:rsidR="00310360" w:rsidRPr="00B844FC" w:rsidRDefault="00310360" w:rsidP="00F613AF">
            <w:pPr>
              <w:ind w:firstLine="0"/>
              <w:jc w:val="left"/>
            </w:pPr>
            <w:r w:rsidRPr="00B844FC">
              <w:t>501-1</w:t>
            </w:r>
            <w:r>
              <w:t xml:space="preserve"> </w:t>
            </w:r>
            <w:r w:rsidRPr="00B844FC">
              <w:t>000</w:t>
            </w:r>
          </w:p>
        </w:tc>
        <w:tc>
          <w:tcPr>
            <w:tcW w:w="2268" w:type="dxa"/>
            <w:tcBorders>
              <w:top w:val="nil"/>
              <w:left w:val="nil"/>
              <w:bottom w:val="single" w:sz="4" w:space="0" w:color="auto"/>
              <w:right w:val="single" w:sz="4" w:space="0" w:color="auto"/>
            </w:tcBorders>
            <w:shd w:val="clear" w:color="auto" w:fill="auto"/>
            <w:noWrap/>
            <w:vAlign w:val="center"/>
          </w:tcPr>
          <w:p w14:paraId="5C0DE988" w14:textId="77777777" w:rsidR="00310360" w:rsidRPr="00F105A1" w:rsidRDefault="00310360" w:rsidP="003404E9">
            <w:pPr>
              <w:ind w:hanging="69"/>
              <w:jc w:val="center"/>
            </w:pPr>
            <w:r w:rsidRPr="00F105A1">
              <w:t>5 – 15</w:t>
            </w:r>
          </w:p>
        </w:tc>
        <w:tc>
          <w:tcPr>
            <w:tcW w:w="2268" w:type="dxa"/>
            <w:tcBorders>
              <w:top w:val="nil"/>
              <w:left w:val="nil"/>
              <w:bottom w:val="single" w:sz="4" w:space="0" w:color="auto"/>
              <w:right w:val="single" w:sz="4" w:space="0" w:color="auto"/>
            </w:tcBorders>
            <w:shd w:val="clear" w:color="auto" w:fill="auto"/>
            <w:noWrap/>
            <w:vAlign w:val="center"/>
          </w:tcPr>
          <w:p w14:paraId="1CC4FC33" w14:textId="77777777" w:rsidR="00310360" w:rsidRPr="00D22021" w:rsidRDefault="00F2615D" w:rsidP="003404E9">
            <w:pPr>
              <w:ind w:firstLine="0"/>
              <w:jc w:val="center"/>
            </w:pPr>
            <w:r w:rsidRPr="00D22021">
              <w:t>4</w:t>
            </w:r>
          </w:p>
        </w:tc>
      </w:tr>
      <w:tr w:rsidR="00310360" w:rsidRPr="00B844FC" w14:paraId="6E01A38B"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0002E2DB" w14:textId="77777777" w:rsidR="00310360" w:rsidRPr="00B844FC" w:rsidRDefault="00310360" w:rsidP="00F613AF">
            <w:pPr>
              <w:ind w:firstLine="0"/>
              <w:jc w:val="left"/>
            </w:pPr>
            <w:r w:rsidRPr="00B844FC">
              <w:t>1</w:t>
            </w:r>
            <w:r>
              <w:t xml:space="preserve"> </w:t>
            </w:r>
            <w:r w:rsidRPr="00B844FC">
              <w:t>001-3</w:t>
            </w:r>
            <w:r>
              <w:t xml:space="preserve"> </w:t>
            </w:r>
            <w:r w:rsidRPr="00B844FC">
              <w:t>000</w:t>
            </w:r>
          </w:p>
        </w:tc>
        <w:tc>
          <w:tcPr>
            <w:tcW w:w="2268" w:type="dxa"/>
            <w:tcBorders>
              <w:top w:val="nil"/>
              <w:left w:val="nil"/>
              <w:bottom w:val="single" w:sz="4" w:space="0" w:color="auto"/>
              <w:right w:val="single" w:sz="4" w:space="0" w:color="auto"/>
            </w:tcBorders>
            <w:shd w:val="clear" w:color="auto" w:fill="auto"/>
            <w:noWrap/>
            <w:vAlign w:val="center"/>
          </w:tcPr>
          <w:p w14:paraId="09C5ACE6" w14:textId="77777777" w:rsidR="00310360" w:rsidRPr="00F105A1" w:rsidRDefault="00310360" w:rsidP="003404E9">
            <w:pPr>
              <w:ind w:hanging="69"/>
              <w:jc w:val="center"/>
            </w:pPr>
            <w:r w:rsidRPr="00F105A1">
              <w:rPr>
                <w:snapToGrid w:val="0"/>
              </w:rPr>
              <w:t>15 až 23</w:t>
            </w:r>
          </w:p>
        </w:tc>
        <w:tc>
          <w:tcPr>
            <w:tcW w:w="2268" w:type="dxa"/>
            <w:tcBorders>
              <w:top w:val="nil"/>
              <w:left w:val="nil"/>
              <w:bottom w:val="single" w:sz="4" w:space="0" w:color="auto"/>
              <w:right w:val="single" w:sz="4" w:space="0" w:color="auto"/>
            </w:tcBorders>
            <w:shd w:val="clear" w:color="auto" w:fill="auto"/>
            <w:noWrap/>
            <w:vAlign w:val="center"/>
          </w:tcPr>
          <w:p w14:paraId="7F86B604" w14:textId="30409DBE" w:rsidR="00310360" w:rsidRPr="00D22021" w:rsidRDefault="006879C9" w:rsidP="003404E9">
            <w:pPr>
              <w:ind w:firstLine="0"/>
              <w:jc w:val="center"/>
            </w:pPr>
            <w:r w:rsidRPr="00D22021">
              <w:t>10,5</w:t>
            </w:r>
          </w:p>
        </w:tc>
      </w:tr>
      <w:tr w:rsidR="00310360" w:rsidRPr="00B844FC" w14:paraId="3B378F79"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4FEC088D" w14:textId="77777777" w:rsidR="00310360" w:rsidRPr="00B844FC" w:rsidRDefault="00310360" w:rsidP="00F613AF">
            <w:pPr>
              <w:ind w:firstLine="0"/>
              <w:jc w:val="left"/>
            </w:pPr>
            <w:r w:rsidRPr="00B844FC">
              <w:t>3</w:t>
            </w:r>
            <w:r>
              <w:t xml:space="preserve"> </w:t>
            </w:r>
            <w:r w:rsidRPr="00B844FC">
              <w:t>001-5</w:t>
            </w:r>
            <w:r>
              <w:t xml:space="preserve"> </w:t>
            </w:r>
            <w:r w:rsidRPr="00B844FC">
              <w:t>000</w:t>
            </w:r>
          </w:p>
        </w:tc>
        <w:tc>
          <w:tcPr>
            <w:tcW w:w="2268" w:type="dxa"/>
            <w:tcBorders>
              <w:top w:val="nil"/>
              <w:left w:val="nil"/>
              <w:bottom w:val="single" w:sz="4" w:space="0" w:color="auto"/>
              <w:right w:val="single" w:sz="4" w:space="0" w:color="auto"/>
            </w:tcBorders>
            <w:shd w:val="clear" w:color="auto" w:fill="auto"/>
            <w:noWrap/>
            <w:vAlign w:val="center"/>
          </w:tcPr>
          <w:p w14:paraId="2D10E935" w14:textId="77777777" w:rsidR="00310360" w:rsidRPr="00F105A1" w:rsidRDefault="00310360" w:rsidP="003404E9">
            <w:pPr>
              <w:ind w:hanging="69"/>
              <w:jc w:val="center"/>
            </w:pPr>
            <w:r w:rsidRPr="00F105A1">
              <w:rPr>
                <w:snapToGrid w:val="0"/>
              </w:rPr>
              <w:t>23 až 28</w:t>
            </w:r>
          </w:p>
        </w:tc>
        <w:tc>
          <w:tcPr>
            <w:tcW w:w="2268" w:type="dxa"/>
            <w:tcBorders>
              <w:top w:val="nil"/>
              <w:left w:val="nil"/>
              <w:bottom w:val="single" w:sz="4" w:space="0" w:color="auto"/>
              <w:right w:val="single" w:sz="4" w:space="0" w:color="auto"/>
            </w:tcBorders>
            <w:shd w:val="clear" w:color="auto" w:fill="auto"/>
            <w:noWrap/>
            <w:vAlign w:val="center"/>
          </w:tcPr>
          <w:p w14:paraId="7CCF63E0" w14:textId="16DF9BE5" w:rsidR="00310360" w:rsidRPr="00D22021" w:rsidRDefault="006879C9" w:rsidP="003404E9">
            <w:pPr>
              <w:ind w:firstLine="0"/>
              <w:jc w:val="center"/>
            </w:pPr>
            <w:r w:rsidRPr="00D22021">
              <w:t>2</w:t>
            </w:r>
            <w:r w:rsidR="005758BA" w:rsidRPr="00D22021">
              <w:t>3</w:t>
            </w:r>
          </w:p>
        </w:tc>
      </w:tr>
      <w:tr w:rsidR="00310360" w:rsidRPr="00B844FC" w14:paraId="723811AC"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5D87DB9D" w14:textId="77777777" w:rsidR="00310360" w:rsidRPr="00B844FC" w:rsidRDefault="00310360" w:rsidP="00F613AF">
            <w:pPr>
              <w:ind w:firstLine="0"/>
              <w:jc w:val="left"/>
            </w:pPr>
            <w:r w:rsidRPr="00B844FC">
              <w:t>5</w:t>
            </w:r>
            <w:r>
              <w:t xml:space="preserve"> </w:t>
            </w:r>
            <w:r w:rsidRPr="00B844FC">
              <w:t>001-10</w:t>
            </w:r>
            <w:r>
              <w:t xml:space="preserve"> </w:t>
            </w:r>
            <w:r w:rsidRPr="00B844FC">
              <w:t>000</w:t>
            </w:r>
          </w:p>
        </w:tc>
        <w:tc>
          <w:tcPr>
            <w:tcW w:w="2268" w:type="dxa"/>
            <w:tcBorders>
              <w:top w:val="nil"/>
              <w:left w:val="nil"/>
              <w:bottom w:val="single" w:sz="4" w:space="0" w:color="auto"/>
              <w:right w:val="single" w:sz="4" w:space="0" w:color="auto"/>
            </w:tcBorders>
            <w:shd w:val="clear" w:color="auto" w:fill="auto"/>
            <w:noWrap/>
            <w:vAlign w:val="center"/>
          </w:tcPr>
          <w:p w14:paraId="4000FAE4" w14:textId="77777777" w:rsidR="00310360" w:rsidRPr="00F105A1" w:rsidRDefault="00310360" w:rsidP="003404E9">
            <w:pPr>
              <w:ind w:hanging="69"/>
              <w:jc w:val="center"/>
            </w:pPr>
            <w:r w:rsidRPr="00F105A1">
              <w:rPr>
                <w:snapToGrid w:val="0"/>
              </w:rPr>
              <w:t>28 až 40</w:t>
            </w:r>
          </w:p>
        </w:tc>
        <w:tc>
          <w:tcPr>
            <w:tcW w:w="2268" w:type="dxa"/>
            <w:tcBorders>
              <w:top w:val="nil"/>
              <w:left w:val="nil"/>
              <w:bottom w:val="single" w:sz="4" w:space="0" w:color="auto"/>
              <w:right w:val="single" w:sz="4" w:space="0" w:color="auto"/>
            </w:tcBorders>
            <w:shd w:val="clear" w:color="auto" w:fill="auto"/>
            <w:noWrap/>
            <w:vAlign w:val="center"/>
          </w:tcPr>
          <w:p w14:paraId="00A5C30A" w14:textId="54CA616A" w:rsidR="00310360" w:rsidRPr="00D22021" w:rsidRDefault="006879C9" w:rsidP="003404E9">
            <w:pPr>
              <w:ind w:firstLine="0"/>
              <w:jc w:val="center"/>
            </w:pPr>
            <w:r w:rsidRPr="00D22021">
              <w:t>29</w:t>
            </w:r>
          </w:p>
        </w:tc>
      </w:tr>
      <w:tr w:rsidR="00310360" w:rsidRPr="00B844FC" w14:paraId="3FBFC8D3"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6C0AF8C8" w14:textId="77777777" w:rsidR="00310360" w:rsidRPr="00B844FC" w:rsidRDefault="00310360" w:rsidP="00F613AF">
            <w:pPr>
              <w:ind w:firstLine="0"/>
              <w:jc w:val="left"/>
            </w:pPr>
            <w:r w:rsidRPr="00B844FC">
              <w:t>10</w:t>
            </w:r>
            <w:r>
              <w:t xml:space="preserve"> </w:t>
            </w:r>
            <w:r w:rsidRPr="00B844FC">
              <w:t>001-20</w:t>
            </w:r>
            <w:r>
              <w:t xml:space="preserve"> </w:t>
            </w:r>
            <w:r w:rsidRPr="00B844FC">
              <w:t>000</w:t>
            </w:r>
          </w:p>
        </w:tc>
        <w:tc>
          <w:tcPr>
            <w:tcW w:w="2268" w:type="dxa"/>
            <w:tcBorders>
              <w:top w:val="nil"/>
              <w:left w:val="nil"/>
              <w:bottom w:val="single" w:sz="4" w:space="0" w:color="auto"/>
              <w:right w:val="single" w:sz="4" w:space="0" w:color="auto"/>
            </w:tcBorders>
            <w:shd w:val="clear" w:color="auto" w:fill="auto"/>
            <w:noWrap/>
            <w:vAlign w:val="center"/>
          </w:tcPr>
          <w:p w14:paraId="7BF6FB6D" w14:textId="77777777" w:rsidR="00310360" w:rsidRPr="00F105A1" w:rsidRDefault="00310360" w:rsidP="003404E9">
            <w:pPr>
              <w:ind w:hanging="69"/>
              <w:jc w:val="center"/>
            </w:pPr>
            <w:r w:rsidRPr="00F105A1">
              <w:rPr>
                <w:snapToGrid w:val="0"/>
              </w:rPr>
              <w:t>40 až 45</w:t>
            </w:r>
          </w:p>
        </w:tc>
        <w:tc>
          <w:tcPr>
            <w:tcW w:w="2268" w:type="dxa"/>
            <w:tcBorders>
              <w:top w:val="nil"/>
              <w:left w:val="nil"/>
              <w:bottom w:val="single" w:sz="4" w:space="0" w:color="auto"/>
              <w:right w:val="single" w:sz="4" w:space="0" w:color="auto"/>
            </w:tcBorders>
            <w:shd w:val="clear" w:color="auto" w:fill="auto"/>
            <w:noWrap/>
            <w:vAlign w:val="center"/>
          </w:tcPr>
          <w:p w14:paraId="4D187EA8" w14:textId="7307FA78" w:rsidR="00310360" w:rsidRPr="00D22021" w:rsidRDefault="006879C9" w:rsidP="003404E9">
            <w:pPr>
              <w:ind w:firstLine="0"/>
              <w:jc w:val="center"/>
            </w:pPr>
            <w:r w:rsidRPr="00D22021">
              <w:t>37</w:t>
            </w:r>
          </w:p>
        </w:tc>
      </w:tr>
      <w:tr w:rsidR="00310360" w:rsidRPr="00B844FC" w14:paraId="64CADBFB"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3B881FAB" w14:textId="77777777" w:rsidR="00310360" w:rsidRPr="00B844FC" w:rsidRDefault="00310360" w:rsidP="00F613AF">
            <w:pPr>
              <w:ind w:firstLine="0"/>
              <w:jc w:val="left"/>
            </w:pPr>
            <w:r>
              <w:t>20 001 – 40 000</w:t>
            </w:r>
          </w:p>
        </w:tc>
        <w:tc>
          <w:tcPr>
            <w:tcW w:w="2268" w:type="dxa"/>
            <w:tcBorders>
              <w:top w:val="nil"/>
              <w:left w:val="nil"/>
              <w:bottom w:val="single" w:sz="4" w:space="0" w:color="auto"/>
              <w:right w:val="single" w:sz="4" w:space="0" w:color="auto"/>
            </w:tcBorders>
            <w:shd w:val="clear" w:color="auto" w:fill="auto"/>
            <w:noWrap/>
            <w:vAlign w:val="center"/>
          </w:tcPr>
          <w:p w14:paraId="7033B4DE" w14:textId="77777777" w:rsidR="00310360" w:rsidRPr="00F105A1" w:rsidRDefault="00310360" w:rsidP="003404E9">
            <w:pPr>
              <w:ind w:hanging="69"/>
              <w:jc w:val="center"/>
              <w:rPr>
                <w:snapToGrid w:val="0"/>
              </w:rPr>
            </w:pPr>
            <w:r w:rsidRPr="00F105A1">
              <w:rPr>
                <w:snapToGrid w:val="0"/>
              </w:rPr>
              <w:t>45 až 50</w:t>
            </w:r>
          </w:p>
        </w:tc>
        <w:tc>
          <w:tcPr>
            <w:tcW w:w="2268" w:type="dxa"/>
            <w:tcBorders>
              <w:top w:val="nil"/>
              <w:left w:val="nil"/>
              <w:bottom w:val="single" w:sz="4" w:space="0" w:color="auto"/>
              <w:right w:val="single" w:sz="4" w:space="0" w:color="auto"/>
            </w:tcBorders>
            <w:shd w:val="clear" w:color="auto" w:fill="auto"/>
            <w:noWrap/>
            <w:vAlign w:val="center"/>
          </w:tcPr>
          <w:p w14:paraId="0AAE8903" w14:textId="26AD0EF7" w:rsidR="00310360" w:rsidRPr="00D22021" w:rsidRDefault="006879C9" w:rsidP="00507F89">
            <w:pPr>
              <w:ind w:firstLine="0"/>
              <w:jc w:val="center"/>
            </w:pPr>
            <w:r w:rsidRPr="00D22021">
              <w:t>4</w:t>
            </w:r>
            <w:r w:rsidR="005758BA" w:rsidRPr="00D22021">
              <w:t>3</w:t>
            </w:r>
          </w:p>
        </w:tc>
      </w:tr>
      <w:tr w:rsidR="00310360" w:rsidRPr="00B844FC" w14:paraId="7EB6FA52" w14:textId="77777777" w:rsidTr="00310360">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5566063F" w14:textId="560BF733" w:rsidR="00310360" w:rsidRDefault="00FE1A2A" w:rsidP="00E96176">
            <w:pPr>
              <w:ind w:firstLine="0"/>
              <w:jc w:val="left"/>
            </w:pPr>
            <w:r>
              <w:t>Více než 40 00</w:t>
            </w:r>
            <w:r w:rsidR="00E96176">
              <w:t>0</w:t>
            </w:r>
          </w:p>
        </w:tc>
        <w:tc>
          <w:tcPr>
            <w:tcW w:w="2268" w:type="dxa"/>
            <w:tcBorders>
              <w:top w:val="nil"/>
              <w:left w:val="nil"/>
              <w:bottom w:val="single" w:sz="4" w:space="0" w:color="auto"/>
              <w:right w:val="single" w:sz="4" w:space="0" w:color="auto"/>
            </w:tcBorders>
            <w:shd w:val="clear" w:color="auto" w:fill="auto"/>
            <w:noWrap/>
            <w:vAlign w:val="center"/>
          </w:tcPr>
          <w:p w14:paraId="460A8577" w14:textId="77777777" w:rsidR="00310360" w:rsidRPr="00F105A1" w:rsidRDefault="00310360" w:rsidP="003404E9">
            <w:pPr>
              <w:ind w:hanging="69"/>
              <w:jc w:val="center"/>
              <w:rPr>
                <w:snapToGrid w:val="0"/>
              </w:rPr>
            </w:pPr>
            <w:r w:rsidRPr="00F105A1">
              <w:rPr>
                <w:snapToGrid w:val="0"/>
              </w:rPr>
              <w:t>50 a více</w:t>
            </w:r>
          </w:p>
        </w:tc>
        <w:tc>
          <w:tcPr>
            <w:tcW w:w="2268" w:type="dxa"/>
            <w:tcBorders>
              <w:top w:val="nil"/>
              <w:left w:val="nil"/>
              <w:bottom w:val="single" w:sz="4" w:space="0" w:color="auto"/>
              <w:right w:val="single" w:sz="4" w:space="0" w:color="auto"/>
            </w:tcBorders>
            <w:shd w:val="clear" w:color="auto" w:fill="auto"/>
            <w:noWrap/>
            <w:vAlign w:val="center"/>
          </w:tcPr>
          <w:p w14:paraId="1CAEF342" w14:textId="46B53D30" w:rsidR="00310360" w:rsidRPr="00D22021" w:rsidRDefault="006879C9" w:rsidP="00507F89">
            <w:pPr>
              <w:ind w:firstLine="0"/>
              <w:jc w:val="center"/>
            </w:pPr>
            <w:r w:rsidRPr="00D22021">
              <w:t>48</w:t>
            </w:r>
          </w:p>
        </w:tc>
      </w:tr>
    </w:tbl>
    <w:p w14:paraId="4CAE29B4" w14:textId="77777777" w:rsidR="00112603" w:rsidRDefault="00112603" w:rsidP="00C700EA">
      <w:pPr>
        <w:ind w:firstLine="0"/>
      </w:pPr>
    </w:p>
    <w:p w14:paraId="5082B96E" w14:textId="77777777" w:rsidR="00F904D5" w:rsidRPr="00284737" w:rsidRDefault="004E6AEA" w:rsidP="003404E9">
      <w:pPr>
        <w:pStyle w:val="slovn3a"/>
        <w:numPr>
          <w:ilvl w:val="0"/>
          <w:numId w:val="21"/>
        </w:numPr>
      </w:pPr>
      <w:r w:rsidRPr="00284737">
        <w:t>Podle situace v místě je vhodné stanovit proporce provozní doby v dopoledních a</w:t>
      </w:r>
      <w:r w:rsidR="004D2084">
        <w:t> </w:t>
      </w:r>
      <w:r w:rsidRPr="00284737">
        <w:t>odpoledních hodinách a také v sobotu a v neděli.</w:t>
      </w:r>
    </w:p>
    <w:p w14:paraId="42107F09" w14:textId="77777777" w:rsidR="004E6AEA" w:rsidRPr="00284737" w:rsidRDefault="004E6AEA" w:rsidP="003404E9">
      <w:pPr>
        <w:pStyle w:val="slovn3a"/>
        <w:numPr>
          <w:ilvl w:val="0"/>
          <w:numId w:val="21"/>
        </w:numPr>
      </w:pPr>
      <w:r w:rsidRPr="00284737">
        <w:t>Rozsah provozní doby knihovny není totožný s celkovým objemem pracovní kapacity nezbytné pro zajištění činností knihovny. Pra</w:t>
      </w:r>
      <w:r w:rsidR="00F904D5" w:rsidRPr="00284737">
        <w:t xml:space="preserve">covní doba pracovníka knihovny </w:t>
      </w:r>
      <w:r w:rsidRPr="00284737">
        <w:t>v obcích do 1000 obyvatel by měla být orientačně o jednu třetinu delší než provozní doba knihovny. Ve větších knihovnách se přiměřeně přihlédne k celkovému rozsahu činností knihovny.</w:t>
      </w:r>
    </w:p>
    <w:p w14:paraId="0DE66074" w14:textId="77777777" w:rsidR="004E6AEA" w:rsidRPr="00B844FC" w:rsidRDefault="00110362" w:rsidP="003404E9">
      <w:pPr>
        <w:pStyle w:val="Nadpis4"/>
      </w:pPr>
      <w:r w:rsidRPr="00B844FC">
        <w:t>Článek 4</w:t>
      </w:r>
      <w:r w:rsidR="004E6AEA" w:rsidRPr="00B844FC">
        <w:t>.</w:t>
      </w:r>
      <w:r w:rsidR="005F542E">
        <w:br/>
      </w:r>
      <w:r w:rsidR="004E6AEA" w:rsidRPr="00B844FC">
        <w:t>Tvorba knihovního fondu a informačních zdrojů</w:t>
      </w:r>
    </w:p>
    <w:p w14:paraId="5A0EEFFF" w14:textId="77777777" w:rsidR="004E6AEA" w:rsidRPr="003404E9" w:rsidRDefault="00605CBA" w:rsidP="003404E9">
      <w:pPr>
        <w:pStyle w:val="Normlnweb"/>
        <w:rPr>
          <w:i/>
        </w:rPr>
      </w:pPr>
      <w:r>
        <w:t>„</w:t>
      </w:r>
      <w:r w:rsidR="004E6AEA" w:rsidRPr="003404E9">
        <w:rPr>
          <w:i/>
        </w:rPr>
        <w:t>Knihovna zpřístupňuje knihovní fond a další informační zdroje odpovídající zájmům všech věkových vrstev. Knihovní fond obsahuje jak tradiční materiály, tak všechny další druhy moderních informačních médií a zdrojů. Základním požadavkem je vysoká kvalita fondů knihovny a jejich souvislost s místními potřebami. Fondy musí odrážet aktuální trendy a</w:t>
      </w:r>
      <w:r w:rsidR="00E87606">
        <w:rPr>
          <w:i/>
        </w:rPr>
        <w:t> </w:t>
      </w:r>
      <w:r w:rsidR="004E6AEA" w:rsidRPr="003404E9">
        <w:rPr>
          <w:i/>
        </w:rPr>
        <w:t>směry vývoje společnosti a být pamětí tvořivého úsilí lidstva.</w:t>
      </w:r>
      <w:r>
        <w:rPr>
          <w:i/>
        </w:rPr>
        <w:t>“</w:t>
      </w:r>
    </w:p>
    <w:p w14:paraId="0A19E9C6" w14:textId="0EFD1D9C" w:rsidR="00E87606" w:rsidRDefault="00162ECF" w:rsidP="003404E9">
      <w:pPr>
        <w:pStyle w:val="Normlnweb"/>
        <w:rPr>
          <w:i/>
        </w:rPr>
      </w:pPr>
      <w:r>
        <w:rPr>
          <w:i/>
        </w:rPr>
        <w:t>„</w:t>
      </w:r>
      <w:r w:rsidR="004E6AEA" w:rsidRPr="003404E9">
        <w:rPr>
          <w:i/>
        </w:rPr>
        <w:t>Fondy ani služby by neměly být ideologicky, politicky, ani z náboženských důvodů cenzurovány a nemě</w:t>
      </w:r>
      <w:r w:rsidR="00955B97">
        <w:rPr>
          <w:i/>
        </w:rPr>
        <w:t>ly by být pod komerčním tlakem.</w:t>
      </w:r>
      <w:r>
        <w:rPr>
          <w:i/>
        </w:rPr>
        <w:t>“</w:t>
      </w:r>
    </w:p>
    <w:p w14:paraId="1F2A0622" w14:textId="77777777" w:rsidR="004E6AEA" w:rsidRPr="003404E9" w:rsidRDefault="004E6AEA" w:rsidP="00EA45DB">
      <w:pPr>
        <w:pStyle w:val="Normlnweb"/>
        <w:ind w:firstLine="0"/>
        <w:jc w:val="right"/>
        <w:rPr>
          <w:i/>
          <w:sz w:val="20"/>
        </w:rPr>
      </w:pPr>
      <w:r w:rsidRPr="003404E9">
        <w:rPr>
          <w:i/>
          <w:sz w:val="20"/>
        </w:rPr>
        <w:lastRenderedPageBreak/>
        <w:t>(Manifest IFLA/UNESCO)</w:t>
      </w:r>
    </w:p>
    <w:p w14:paraId="2A39F87B" w14:textId="77777777" w:rsidR="004E6AEA" w:rsidRPr="00B844FC" w:rsidRDefault="004E6AEA" w:rsidP="003404E9">
      <w:pPr>
        <w:pStyle w:val="Normlnweb"/>
        <w:ind w:firstLine="0"/>
      </w:pPr>
      <w:r w:rsidRPr="00B844FC">
        <w:rPr>
          <w:b/>
        </w:rPr>
        <w:t>Indikátor:</w:t>
      </w:r>
      <w:r w:rsidRPr="00B844FC">
        <w:t xml:space="preserve"> Výdaj na nákup knihovního fondu a dalších informačních zdrojů, tj. částka v Kč na 1 obyvatele obce vydaná na nákup knihovního fondu a informačních zdrojů za jeden kalendářní rok.</w:t>
      </w:r>
      <w:r w:rsidRPr="00B844FC">
        <w:rPr>
          <w:rStyle w:val="Znakapoznpodarou"/>
        </w:rPr>
        <w:footnoteReference w:id="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2268"/>
        <w:gridCol w:w="2268"/>
      </w:tblGrid>
      <w:tr w:rsidR="00E87606" w:rsidRPr="008B5A9D" w14:paraId="136739F5" w14:textId="77777777" w:rsidTr="00F105A1">
        <w:trPr>
          <w:trHeight w:val="554"/>
          <w:jc w:val="center"/>
        </w:trPr>
        <w:tc>
          <w:tcPr>
            <w:tcW w:w="2551" w:type="dxa"/>
          </w:tcPr>
          <w:p w14:paraId="1303C64C" w14:textId="77777777" w:rsidR="004E6AEA" w:rsidRPr="00B844FC" w:rsidRDefault="004E6AEA" w:rsidP="003404E9">
            <w:pPr>
              <w:ind w:firstLine="0"/>
              <w:jc w:val="center"/>
            </w:pPr>
          </w:p>
        </w:tc>
        <w:tc>
          <w:tcPr>
            <w:tcW w:w="2268" w:type="dxa"/>
          </w:tcPr>
          <w:p w14:paraId="12DB1918" w14:textId="77777777" w:rsidR="004E6AEA" w:rsidRPr="00B844FC" w:rsidRDefault="004E6AEA" w:rsidP="00E87606">
            <w:pPr>
              <w:ind w:firstLine="0"/>
              <w:jc w:val="center"/>
            </w:pPr>
            <w:r w:rsidRPr="00B844FC">
              <w:rPr>
                <w:snapToGrid w:val="0"/>
              </w:rPr>
              <w:t>Doporučená hodnota</w:t>
            </w:r>
          </w:p>
        </w:tc>
        <w:tc>
          <w:tcPr>
            <w:tcW w:w="2268" w:type="dxa"/>
          </w:tcPr>
          <w:p w14:paraId="7A5E6C21" w14:textId="75414559" w:rsidR="004E6AEA" w:rsidRPr="00D22021" w:rsidRDefault="004E6AEA" w:rsidP="000A3289">
            <w:pPr>
              <w:ind w:firstLine="0"/>
              <w:jc w:val="center"/>
            </w:pPr>
            <w:r w:rsidRPr="00D22021">
              <w:rPr>
                <w:snapToGrid w:val="0"/>
              </w:rPr>
              <w:t xml:space="preserve">Celostátní průměr </w:t>
            </w:r>
            <w:r w:rsidR="000A3289" w:rsidRPr="00D22021">
              <w:rPr>
                <w:snapToGrid w:val="0"/>
              </w:rPr>
              <w:t>201</w:t>
            </w:r>
            <w:r w:rsidR="005758BA" w:rsidRPr="00D22021">
              <w:rPr>
                <w:snapToGrid w:val="0"/>
              </w:rPr>
              <w:t>8</w:t>
            </w:r>
          </w:p>
        </w:tc>
      </w:tr>
      <w:tr w:rsidR="00E87606" w:rsidRPr="008B5A9D" w14:paraId="02709061" w14:textId="77777777" w:rsidTr="00F105A1">
        <w:trPr>
          <w:trHeight w:val="525"/>
          <w:jc w:val="center"/>
        </w:trPr>
        <w:tc>
          <w:tcPr>
            <w:tcW w:w="2551" w:type="dxa"/>
          </w:tcPr>
          <w:p w14:paraId="7A272B2A" w14:textId="77777777" w:rsidR="004E6AEA" w:rsidRPr="00B844FC" w:rsidRDefault="004E6AEA" w:rsidP="003404E9">
            <w:pPr>
              <w:ind w:firstLine="0"/>
              <w:jc w:val="center"/>
            </w:pPr>
            <w:r w:rsidRPr="00B844FC">
              <w:rPr>
                <w:snapToGrid w:val="0"/>
              </w:rPr>
              <w:t>Částka v Kč/1 obyvatele</w:t>
            </w:r>
          </w:p>
        </w:tc>
        <w:tc>
          <w:tcPr>
            <w:tcW w:w="2268" w:type="dxa"/>
          </w:tcPr>
          <w:p w14:paraId="4BAFEF2E" w14:textId="77777777" w:rsidR="004E6AEA" w:rsidRPr="00B844FC" w:rsidRDefault="004E6AEA" w:rsidP="003404E9">
            <w:pPr>
              <w:ind w:hanging="40"/>
              <w:jc w:val="center"/>
            </w:pPr>
            <w:r w:rsidRPr="00B844FC">
              <w:rPr>
                <w:snapToGrid w:val="0"/>
              </w:rPr>
              <w:t>30 - 45</w:t>
            </w:r>
          </w:p>
        </w:tc>
        <w:tc>
          <w:tcPr>
            <w:tcW w:w="2268" w:type="dxa"/>
          </w:tcPr>
          <w:p w14:paraId="37779A8B" w14:textId="15ACDB48" w:rsidR="004E6AEA" w:rsidRPr="00D22021" w:rsidRDefault="00304782" w:rsidP="00210827">
            <w:pPr>
              <w:ind w:firstLine="0"/>
              <w:jc w:val="center"/>
            </w:pPr>
            <w:r w:rsidRPr="00D22021">
              <w:rPr>
                <w:snapToGrid w:val="0"/>
              </w:rPr>
              <w:t>2</w:t>
            </w:r>
            <w:r w:rsidR="005758BA" w:rsidRPr="00D22021">
              <w:rPr>
                <w:snapToGrid w:val="0"/>
              </w:rPr>
              <w:t>9</w:t>
            </w:r>
          </w:p>
        </w:tc>
      </w:tr>
    </w:tbl>
    <w:p w14:paraId="335F9076" w14:textId="77777777" w:rsidR="004E6AEA" w:rsidRPr="00F105A1" w:rsidRDefault="004E6AEA" w:rsidP="004E6AEA">
      <w:pPr>
        <w:pStyle w:val="Bezmezer"/>
        <w:rPr>
          <w:sz w:val="24"/>
          <w:szCs w:val="24"/>
        </w:rPr>
      </w:pPr>
    </w:p>
    <w:p w14:paraId="7435D3AF" w14:textId="77128F7A" w:rsidR="00680327" w:rsidRPr="00151DAA" w:rsidRDefault="00680327" w:rsidP="00151DAA">
      <w:pPr>
        <w:spacing w:after="240"/>
        <w:ind w:firstLine="0"/>
        <w:rPr>
          <w:b/>
        </w:rPr>
      </w:pPr>
      <w:r w:rsidRPr="00F105A1">
        <w:rPr>
          <w:b/>
        </w:rPr>
        <w:t>Indikátor:</w:t>
      </w:r>
      <w:r w:rsidRPr="00F105A1">
        <w:t xml:space="preserve"> </w:t>
      </w:r>
      <w:r w:rsidRPr="00F105A1">
        <w:rPr>
          <w:rStyle w:val="Normln2Char"/>
          <w:rFonts w:ascii="Times New Roman" w:hAnsi="Times New Roman" w:cs="Times New Roman"/>
          <w:b w:val="0"/>
          <w:sz w:val="24"/>
          <w:szCs w:val="24"/>
        </w:rPr>
        <w:t>Doporučený rozsah celkového objemu knihovního fondu</w:t>
      </w:r>
      <w:r w:rsidR="005758BA">
        <w:t xml:space="preserve"> </w:t>
      </w:r>
      <w:r w:rsidRPr="00F105A1">
        <w:t>= 2 až 3 knihovní jednotky na obyvatele.</w:t>
      </w:r>
    </w:p>
    <w:p w14:paraId="5006E918" w14:textId="77777777" w:rsidR="000162F0" w:rsidRDefault="000162F0" w:rsidP="004E6AEA">
      <w:pPr>
        <w:pStyle w:val="Bezmezer"/>
        <w:jc w:val="both"/>
        <w:rPr>
          <w:sz w:val="24"/>
          <w:szCs w:val="24"/>
        </w:rPr>
      </w:pPr>
      <w:r w:rsidRPr="00F105A1">
        <w:rPr>
          <w:b/>
          <w:sz w:val="24"/>
          <w:szCs w:val="24"/>
        </w:rPr>
        <w:t>Indikátor:</w:t>
      </w:r>
      <w:r w:rsidRPr="00F105A1">
        <w:rPr>
          <w:sz w:val="24"/>
          <w:szCs w:val="24"/>
        </w:rPr>
        <w:t xml:space="preserve"> Minimálně 7 % roční obnovy knihovního fondu novými přírůstky. Při stanovení základu pro výpočet procent obnovy se vychází z toho, že knihovna má mít minimálně 2 knihovní jednotky na obyvatele.</w:t>
      </w:r>
    </w:p>
    <w:p w14:paraId="0BA36434" w14:textId="77777777" w:rsidR="00F105A1" w:rsidRPr="00F105A1" w:rsidRDefault="00F105A1" w:rsidP="004E6AEA">
      <w:pPr>
        <w:pStyle w:val="Bezmezer"/>
        <w:jc w:val="both"/>
        <w:rPr>
          <w:sz w:val="24"/>
          <w:szCs w:val="24"/>
        </w:rPr>
      </w:pPr>
    </w:p>
    <w:p w14:paraId="342915C3" w14:textId="77777777" w:rsidR="004E6AEA" w:rsidRPr="00F105A1" w:rsidRDefault="004E6AEA" w:rsidP="003404E9">
      <w:pPr>
        <w:pStyle w:val="slovn3a"/>
        <w:numPr>
          <w:ilvl w:val="0"/>
          <w:numId w:val="17"/>
        </w:numPr>
      </w:pPr>
      <w:r w:rsidRPr="00F105A1">
        <w:t>Provozovatel knihovny v obci, která má více než 10 000 obyvatel, a krajská knihovna, která v místě svého sídla plní funkci základní knihovny, systematicky doplňuje do knihovního fondu zvukové, zvukově obrazové a multimediální dokumenty.</w:t>
      </w:r>
    </w:p>
    <w:p w14:paraId="27349DBA" w14:textId="77777777" w:rsidR="004E6AEA" w:rsidRPr="00F105A1" w:rsidRDefault="004E6AEA" w:rsidP="003404E9">
      <w:pPr>
        <w:pStyle w:val="slovn3a"/>
      </w:pPr>
      <w:r w:rsidRPr="00F105A1">
        <w:t>Knihovní fond vyžaduje soustavnou obměnu, aby si zachoval svůj společenský význam a</w:t>
      </w:r>
      <w:r w:rsidR="00605CBA" w:rsidRPr="00F105A1">
        <w:t> </w:t>
      </w:r>
      <w:r w:rsidRPr="00F105A1">
        <w:t>přiměřenou aktuálnost.</w:t>
      </w:r>
    </w:p>
    <w:p w14:paraId="2893B1C7" w14:textId="77777777" w:rsidR="004E6AEA" w:rsidRPr="00F105A1" w:rsidRDefault="004E6AEA" w:rsidP="003404E9">
      <w:pPr>
        <w:pStyle w:val="slovn3a"/>
      </w:pPr>
      <w:r w:rsidRPr="00F105A1">
        <w:t>Při stanovení výdajů na nákup knihovního fondu se doporučuje zajistit zvyšování částky na nákup knihovního fondu v návaznosti na zjištěnou inflaci v uplynulém roce.</w:t>
      </w:r>
    </w:p>
    <w:p w14:paraId="4517E487" w14:textId="77777777" w:rsidR="00680327" w:rsidRPr="00F105A1" w:rsidRDefault="00680327" w:rsidP="00680327">
      <w:pPr>
        <w:pStyle w:val="slovn3a"/>
      </w:pPr>
      <w:r w:rsidRPr="00F105A1">
        <w:t>Podrobné zásady pro stanovení optimálního rozsahu, obsahu a kvality knihovních fondů v knihovnách zřizovaných a/nebo provozovaných obcemi obsahuje Metodický pokyn Ministerstva kultury k vymezení standardu doplňování a aktualizace knihovního fondu pro knihovny zřizované a/nebo provozované obcemi na území České republiky</w:t>
      </w:r>
      <w:r w:rsidR="00016EF4" w:rsidRPr="00F105A1">
        <w:rPr>
          <w:rStyle w:val="Znakapoznpodarou"/>
        </w:rPr>
        <w:footnoteReference w:id="10"/>
      </w:r>
      <w:r w:rsidRPr="00F105A1">
        <w:t>.</w:t>
      </w:r>
    </w:p>
    <w:p w14:paraId="40A6E297" w14:textId="77777777" w:rsidR="004E6AEA" w:rsidRPr="00B844FC" w:rsidRDefault="004E6AEA" w:rsidP="009964C7">
      <w:pPr>
        <w:pStyle w:val="Nadpis4"/>
      </w:pPr>
      <w:r w:rsidRPr="00B844FC">
        <w:t xml:space="preserve">Článek </w:t>
      </w:r>
      <w:r w:rsidR="00110362" w:rsidRPr="00B844FC">
        <w:t>5</w:t>
      </w:r>
      <w:r w:rsidRPr="00B844FC">
        <w:t>.</w:t>
      </w:r>
      <w:r w:rsidR="00605CBA">
        <w:br/>
      </w:r>
      <w:r w:rsidRPr="00B844FC">
        <w:t>Umístění knihovny v obci</w:t>
      </w:r>
    </w:p>
    <w:p w14:paraId="7C5EEE43" w14:textId="77777777" w:rsidR="00861CB3" w:rsidRDefault="009964C7" w:rsidP="00861CB3">
      <w:pPr>
        <w:rPr>
          <w:i/>
        </w:rPr>
      </w:pPr>
      <w:r>
        <w:rPr>
          <w:i/>
        </w:rPr>
        <w:t>„</w:t>
      </w:r>
      <w:r w:rsidR="004E6AEA" w:rsidRPr="001D6191">
        <w:rPr>
          <w:i/>
        </w:rPr>
        <w:t>Knihovnické služby mají být poskytovány v místě, které je maximálně využíváno</w:t>
      </w:r>
      <w:r w:rsidR="000552E3">
        <w:rPr>
          <w:i/>
        </w:rPr>
        <w:t>, které je centrem života populace, je</w:t>
      </w:r>
      <w:r w:rsidR="00605CBA" w:rsidRPr="001D6191">
        <w:rPr>
          <w:i/>
        </w:rPr>
        <w:t> </w:t>
      </w:r>
      <w:r w:rsidR="004E6AEA" w:rsidRPr="001D6191">
        <w:rPr>
          <w:i/>
        </w:rPr>
        <w:t xml:space="preserve">výhodné pro obyvatele obce. Pokud je to možné, mají být poblíž </w:t>
      </w:r>
      <w:r w:rsidR="000552E3">
        <w:rPr>
          <w:i/>
        </w:rPr>
        <w:t>dopravních uzlů</w:t>
      </w:r>
      <w:r w:rsidR="004E6AEA" w:rsidRPr="001D6191">
        <w:rPr>
          <w:i/>
        </w:rPr>
        <w:t>, v</w:t>
      </w:r>
      <w:r w:rsidR="00605CBA" w:rsidRPr="001D6191">
        <w:rPr>
          <w:i/>
        </w:rPr>
        <w:t> </w:t>
      </w:r>
      <w:r w:rsidR="004E6AEA" w:rsidRPr="001D6191">
        <w:rPr>
          <w:i/>
        </w:rPr>
        <w:t xml:space="preserve">blízkosti </w:t>
      </w:r>
      <w:r w:rsidR="001D6191">
        <w:rPr>
          <w:i/>
        </w:rPr>
        <w:t>center života komunity, např.</w:t>
      </w:r>
      <w:r w:rsidR="004E6AEA" w:rsidRPr="001D6191">
        <w:rPr>
          <w:i/>
        </w:rPr>
        <w:t xml:space="preserve"> obchod</w:t>
      </w:r>
      <w:r w:rsidR="001D6191">
        <w:rPr>
          <w:i/>
        </w:rPr>
        <w:t>ů</w:t>
      </w:r>
      <w:r w:rsidR="004E6AEA" w:rsidRPr="001D6191">
        <w:rPr>
          <w:i/>
        </w:rPr>
        <w:t>, nákupní</w:t>
      </w:r>
      <w:r w:rsidR="001D6191">
        <w:rPr>
          <w:i/>
        </w:rPr>
        <w:t>ch</w:t>
      </w:r>
      <w:r w:rsidR="004E6AEA" w:rsidRPr="001D6191">
        <w:rPr>
          <w:i/>
        </w:rPr>
        <w:t xml:space="preserve"> cent</w:t>
      </w:r>
      <w:r w:rsidR="001D6191">
        <w:rPr>
          <w:i/>
        </w:rPr>
        <w:t>e</w:t>
      </w:r>
      <w:r w:rsidR="004E6AEA" w:rsidRPr="001D6191">
        <w:rPr>
          <w:i/>
        </w:rPr>
        <w:t>r, kulturní</w:t>
      </w:r>
      <w:r w:rsidR="001D6191">
        <w:rPr>
          <w:i/>
        </w:rPr>
        <w:t>ch</w:t>
      </w:r>
      <w:r w:rsidR="004E6AEA" w:rsidRPr="001D6191">
        <w:rPr>
          <w:i/>
        </w:rPr>
        <w:t xml:space="preserve"> podnik</w:t>
      </w:r>
      <w:r w:rsidR="001D6191">
        <w:rPr>
          <w:i/>
        </w:rPr>
        <w:t>ů</w:t>
      </w:r>
      <w:r w:rsidR="004E6AEA" w:rsidRPr="001D6191">
        <w:rPr>
          <w:i/>
        </w:rPr>
        <w:t>. Je vhodné, když veřejná knihovna může sídlit v budově, kde jsou</w:t>
      </w:r>
      <w:r w:rsidR="001D6191">
        <w:rPr>
          <w:i/>
        </w:rPr>
        <w:t xml:space="preserve"> dostupné</w:t>
      </w:r>
      <w:r w:rsidR="004E6AEA" w:rsidRPr="001D6191">
        <w:rPr>
          <w:i/>
        </w:rPr>
        <w:t xml:space="preserve"> i </w:t>
      </w:r>
      <w:r w:rsidR="001D6191">
        <w:rPr>
          <w:i/>
        </w:rPr>
        <w:t>další</w:t>
      </w:r>
      <w:r w:rsidR="001D6191" w:rsidRPr="001D6191">
        <w:rPr>
          <w:i/>
        </w:rPr>
        <w:t xml:space="preserve"> </w:t>
      </w:r>
      <w:r w:rsidR="004E6AEA" w:rsidRPr="001D6191">
        <w:rPr>
          <w:i/>
        </w:rPr>
        <w:t xml:space="preserve">služby, jako </w:t>
      </w:r>
      <w:r w:rsidR="001D6191">
        <w:rPr>
          <w:i/>
        </w:rPr>
        <w:t xml:space="preserve">jsou </w:t>
      </w:r>
      <w:r w:rsidR="004E6AEA" w:rsidRPr="001D6191">
        <w:rPr>
          <w:i/>
        </w:rPr>
        <w:t>muze</w:t>
      </w:r>
      <w:r w:rsidR="001D6191">
        <w:rPr>
          <w:i/>
        </w:rPr>
        <w:t>a</w:t>
      </w:r>
      <w:r w:rsidR="004E6AEA" w:rsidRPr="001D6191">
        <w:rPr>
          <w:i/>
        </w:rPr>
        <w:t>, galerie výtvarného umění, společensk</w:t>
      </w:r>
      <w:r w:rsidR="001D6191">
        <w:rPr>
          <w:i/>
        </w:rPr>
        <w:t>á</w:t>
      </w:r>
      <w:r w:rsidR="004E6AEA" w:rsidRPr="001D6191">
        <w:rPr>
          <w:i/>
        </w:rPr>
        <w:t xml:space="preserve"> centr</w:t>
      </w:r>
      <w:r w:rsidR="001D6191">
        <w:rPr>
          <w:i/>
        </w:rPr>
        <w:t>a</w:t>
      </w:r>
      <w:r w:rsidR="004E6AEA" w:rsidRPr="001D6191">
        <w:rPr>
          <w:i/>
        </w:rPr>
        <w:t xml:space="preserve"> nebo sportovní zařízení.</w:t>
      </w:r>
      <w:r>
        <w:rPr>
          <w:i/>
        </w:rPr>
        <w:t>“</w:t>
      </w:r>
    </w:p>
    <w:p w14:paraId="4E538181" w14:textId="60E780B1" w:rsidR="004E6AEA" w:rsidRPr="008A0E1A" w:rsidRDefault="004E6AEA" w:rsidP="00861CB3">
      <w:pPr>
        <w:ind w:left="3539"/>
        <w:rPr>
          <w:i/>
          <w:sz w:val="20"/>
        </w:rPr>
      </w:pPr>
      <w:r w:rsidRPr="008A0E1A">
        <w:rPr>
          <w:i/>
          <w:sz w:val="20"/>
        </w:rPr>
        <w:t>(Směrnice IFLA: Služby veřejných knihoven</w:t>
      </w:r>
      <w:r w:rsidR="001D6191" w:rsidRPr="008A0E1A">
        <w:rPr>
          <w:i/>
          <w:sz w:val="20"/>
        </w:rPr>
        <w:t>, článek 3.9.1</w:t>
      </w:r>
      <w:r w:rsidR="00B844FC" w:rsidRPr="008A0E1A">
        <w:rPr>
          <w:i/>
          <w:sz w:val="20"/>
        </w:rPr>
        <w:t>)</w:t>
      </w:r>
    </w:p>
    <w:p w14:paraId="20C4B236" w14:textId="77777777" w:rsidR="004E6AEA" w:rsidRPr="00B844FC" w:rsidRDefault="004E6AEA" w:rsidP="009964C7">
      <w:pPr>
        <w:pStyle w:val="slovn3a"/>
        <w:numPr>
          <w:ilvl w:val="0"/>
          <w:numId w:val="26"/>
        </w:numPr>
      </w:pPr>
      <w:r w:rsidRPr="00B844FC">
        <w:lastRenderedPageBreak/>
        <w:t>Doporučuje se umístění knihovny v centru sídelního útvaru nebo v blízkosti centra. Docházková vzdálenost pro okruh přímé působnosti nemá přesáhnout 15 minut pěší chůze nebo jízdy veřejným dopravním prostředkem hromadné dopravy nebo autem.</w:t>
      </w:r>
    </w:p>
    <w:p w14:paraId="34F5922B" w14:textId="77777777" w:rsidR="004E6AEA" w:rsidRPr="00B844FC" w:rsidRDefault="004E6AEA" w:rsidP="009964C7">
      <w:pPr>
        <w:pStyle w:val="slovn3a"/>
        <w:numPr>
          <w:ilvl w:val="0"/>
          <w:numId w:val="26"/>
        </w:numPr>
      </w:pPr>
      <w:r w:rsidRPr="00B844FC">
        <w:t>Pokud docházková vzdálenost přesáhne uvedený indikátor, je vhodné zajistit dostupnost knihovnických služeb zřízením pobočky, pojízdnou knihovnou nebo jiným způsobem.</w:t>
      </w:r>
    </w:p>
    <w:p w14:paraId="4BF53936" w14:textId="77777777" w:rsidR="004E6AEA" w:rsidRPr="00B844FC" w:rsidRDefault="00110362" w:rsidP="003404E9">
      <w:pPr>
        <w:pStyle w:val="Nadpis4"/>
      </w:pPr>
      <w:r w:rsidRPr="00B844FC">
        <w:t>Článek 6</w:t>
      </w:r>
      <w:r w:rsidR="004E6AEA" w:rsidRPr="00B844FC">
        <w:t>.</w:t>
      </w:r>
      <w:r w:rsidR="000766CF">
        <w:br/>
      </w:r>
      <w:r w:rsidR="004E6AEA" w:rsidRPr="00B844FC">
        <w:t>Plocha knihovny určená pro uživatele</w:t>
      </w:r>
    </w:p>
    <w:p w14:paraId="19A0B24C" w14:textId="0CB64FB6" w:rsidR="00A7420D" w:rsidRPr="00074099" w:rsidRDefault="008D19BC" w:rsidP="004A7F5A">
      <w:pPr>
        <w:rPr>
          <w:i/>
        </w:rPr>
      </w:pPr>
      <w:r>
        <w:rPr>
          <w:i/>
        </w:rPr>
        <w:t>„</w:t>
      </w:r>
      <w:r w:rsidR="004E6AEA" w:rsidRPr="00074099">
        <w:rPr>
          <w:i/>
        </w:rPr>
        <w:t>Knihovna má mít pro svou činnost k dispozici odpovídající prostor, aby mohla v plném rozsahu poskytovat knihovnické a informační služby</w:t>
      </w:r>
      <w:r w:rsidR="002B1B50" w:rsidRPr="00074099">
        <w:rPr>
          <w:i/>
        </w:rPr>
        <w:t xml:space="preserve"> souladu se svým strategickým plánem, místními, oblastními nebo národními standardy či směrnicemi.</w:t>
      </w:r>
      <w:r w:rsidR="004E6AEA" w:rsidRPr="00074099">
        <w:rPr>
          <w:i/>
        </w:rPr>
        <w:t xml:space="preserve"> Knihovna nabízí své prostory pro studium jednotlivců i skupin, pro volnočasové aktivity i setkávání. Knihovna má nabízet prostory pro služby dospělým, dětem a mladistvým i pro využívání celou rodinou.</w:t>
      </w:r>
      <w:r>
        <w:rPr>
          <w:i/>
        </w:rPr>
        <w:t>“</w:t>
      </w:r>
    </w:p>
    <w:p w14:paraId="44E4D3BE" w14:textId="77777777" w:rsidR="004E6AEA" w:rsidRPr="00162ECF" w:rsidRDefault="004E6AEA" w:rsidP="00A7420D">
      <w:pPr>
        <w:jc w:val="right"/>
        <w:rPr>
          <w:i/>
          <w:sz w:val="20"/>
          <w:szCs w:val="20"/>
        </w:rPr>
      </w:pPr>
      <w:r w:rsidRPr="00162ECF">
        <w:rPr>
          <w:i/>
          <w:sz w:val="20"/>
          <w:szCs w:val="20"/>
        </w:rPr>
        <w:t>(Manifest IFLA/UNESCO</w:t>
      </w:r>
      <w:r w:rsidR="002B1B50" w:rsidRPr="00162ECF">
        <w:rPr>
          <w:i/>
          <w:sz w:val="20"/>
          <w:szCs w:val="20"/>
        </w:rPr>
        <w:t>, článek 3.10.1</w:t>
      </w:r>
      <w:r w:rsidRPr="00162ECF">
        <w:rPr>
          <w:i/>
          <w:sz w:val="20"/>
          <w:szCs w:val="20"/>
        </w:rPr>
        <w:t>)</w:t>
      </w:r>
    </w:p>
    <w:p w14:paraId="199BFA77" w14:textId="4C15A602" w:rsidR="004E6AEA" w:rsidRPr="00B844FC" w:rsidRDefault="004E6AEA" w:rsidP="002B1B50">
      <w:pPr>
        <w:ind w:firstLine="0"/>
      </w:pPr>
      <w:r w:rsidRPr="00B844FC">
        <w:rPr>
          <w:b/>
        </w:rPr>
        <w:t>Indikátor:</w:t>
      </w:r>
      <w:r w:rsidRPr="00B844FC">
        <w:t xml:space="preserve"> Knihovna má k dispozici nejméně </w:t>
      </w:r>
      <w:smartTag w:uri="urn:schemas-microsoft-com:office:smarttags" w:element="metricconverter">
        <w:smartTagPr>
          <w:attr w:name="ProductID" w:val="60 m2"/>
        </w:smartTagPr>
        <w:r w:rsidRPr="00B844FC">
          <w:t>60 m</w:t>
        </w:r>
        <w:r w:rsidRPr="00B844FC">
          <w:rPr>
            <w:vertAlign w:val="superscript"/>
          </w:rPr>
          <w:t>2</w:t>
        </w:r>
      </w:smartTag>
      <w:r w:rsidRPr="00B844FC">
        <w:t xml:space="preserve"> na 1000 obyvatel obce nebo spádové oblasti</w:t>
      </w:r>
      <w:r w:rsidRPr="00B844FC">
        <w:rPr>
          <w:rStyle w:val="Znakapoznpodarou"/>
          <w:bCs/>
        </w:rPr>
        <w:footnoteReference w:id="11"/>
      </w:r>
      <w:r w:rsidRPr="00B844FC">
        <w:t>. V obcích do 1000 obyvatel se tento ukazatel použije v přiměřeném rozsahu tak, aby byly zaj</w:t>
      </w:r>
      <w:r w:rsidR="00151DAA">
        <w:t>ištěny všechny funkce knihovny.</w:t>
      </w:r>
    </w:p>
    <w:p w14:paraId="0FE463ED" w14:textId="77777777" w:rsidR="00074099" w:rsidRPr="00C95175" w:rsidRDefault="00074099" w:rsidP="00C95175">
      <w:pPr>
        <w:pStyle w:val="slovn3a"/>
        <w:numPr>
          <w:ilvl w:val="0"/>
          <w:numId w:val="0"/>
        </w:numPr>
        <w:ind w:left="426" w:hanging="360"/>
      </w:pPr>
    </w:p>
    <w:p w14:paraId="47DA3385" w14:textId="61FC5600" w:rsidR="004E6AEA" w:rsidRPr="00C95175" w:rsidRDefault="004E6AEA" w:rsidP="00EA45DB">
      <w:pPr>
        <w:pStyle w:val="slovn3a"/>
        <w:numPr>
          <w:ilvl w:val="0"/>
          <w:numId w:val="27"/>
        </w:numPr>
      </w:pPr>
      <w:r w:rsidRPr="00C95175">
        <w:t xml:space="preserve">Plocha určená uživatelům zahrnuje celkovou užitnou plochu knihovny určenou návštěvníkům (v hlavní budově a pobočkách), např. volný výběr, studovny, čítárny včetně letních čítáren, přednáškové (divadelní) sály </w:t>
      </w:r>
      <w:r w:rsidR="00B852FA" w:rsidRPr="00C95175">
        <w:t xml:space="preserve">pro pořádání kulturních, vzdělávacích a komunitních aktivit, prostory pro práci s dětmi a mládeží, tvůrčí dílny </w:t>
      </w:r>
      <w:r w:rsidRPr="00C95175">
        <w:t>apod. Nezahrnují se uzavřená skladiště, schodiště, vstupní prostory, sociální zařízení atd.</w:t>
      </w:r>
    </w:p>
    <w:p w14:paraId="18F7468B" w14:textId="2FD11362" w:rsidR="004E6AEA" w:rsidRPr="00C95175" w:rsidRDefault="004E6AEA" w:rsidP="00EA45DB">
      <w:pPr>
        <w:pStyle w:val="slovn3a"/>
        <w:numPr>
          <w:ilvl w:val="0"/>
          <w:numId w:val="27"/>
        </w:numPr>
      </w:pPr>
      <w:r w:rsidRPr="00C95175">
        <w:t>Při hodnocení prostorového zajištění knihovny a při projektové přípravě výstavby i</w:t>
      </w:r>
      <w:r w:rsidR="002B1B50" w:rsidRPr="00C95175">
        <w:t> </w:t>
      </w:r>
      <w:r w:rsidRPr="00C95175">
        <w:t>rekonstrukce knihovny se v přiměřeném ro</w:t>
      </w:r>
      <w:r w:rsidR="00924620" w:rsidRPr="00C95175">
        <w:t>zsahu použij</w:t>
      </w:r>
      <w:r w:rsidR="006B7F05" w:rsidRPr="00C95175">
        <w:t>í</w:t>
      </w:r>
      <w:r w:rsidR="00E71BC8" w:rsidRPr="00C95175">
        <w:t xml:space="preserve"> norm</w:t>
      </w:r>
      <w:r w:rsidR="00C67817" w:rsidRPr="00C95175">
        <w:t>y</w:t>
      </w:r>
      <w:r w:rsidR="00801B5F" w:rsidRPr="00C95175">
        <w:t xml:space="preserve"> </w:t>
      </w:r>
      <w:r w:rsidR="00016EF4" w:rsidRPr="00C95175">
        <w:t xml:space="preserve">a </w:t>
      </w:r>
      <w:r w:rsidR="00355E78" w:rsidRPr="00C95175">
        <w:t>doporučení</w:t>
      </w:r>
      <w:r w:rsidR="003623CD" w:rsidRPr="00C95175">
        <w:rPr>
          <w:rStyle w:val="Znakapoznpodarou"/>
        </w:rPr>
        <w:footnoteReference w:id="12"/>
      </w:r>
      <w:r w:rsidR="00355E78" w:rsidRPr="00C95175">
        <w:t>.</w:t>
      </w:r>
    </w:p>
    <w:p w14:paraId="6159F213" w14:textId="77777777" w:rsidR="004E6AEA" w:rsidRPr="00B844FC" w:rsidRDefault="00110362" w:rsidP="003404E9">
      <w:pPr>
        <w:pStyle w:val="Nadpis4"/>
      </w:pPr>
      <w:r w:rsidRPr="00C95175">
        <w:t>Článek 7</w:t>
      </w:r>
      <w:r w:rsidR="004E6AEA" w:rsidRPr="00C95175">
        <w:t>.</w:t>
      </w:r>
      <w:r w:rsidR="000766CF" w:rsidRPr="00C95175">
        <w:br/>
      </w:r>
      <w:r w:rsidR="004E6AEA" w:rsidRPr="00B844FC">
        <w:t xml:space="preserve">Studijní místa </w:t>
      </w:r>
      <w:r w:rsidR="00870AAC">
        <w:t xml:space="preserve">a místa pro oddech </w:t>
      </w:r>
      <w:r w:rsidR="004E6AEA" w:rsidRPr="00B844FC">
        <w:t>pro uživatele knihovny</w:t>
      </w:r>
    </w:p>
    <w:p w14:paraId="52A8A9DA" w14:textId="02E157DE" w:rsidR="004E6AEA" w:rsidRPr="009A1B40" w:rsidRDefault="004E6AEA" w:rsidP="00BC5CFD">
      <w:r w:rsidRPr="00B844FC">
        <w:t>Knihovna nabízí studijní místa</w:t>
      </w:r>
      <w:r w:rsidRPr="00E915D4">
        <w:rPr>
          <w:rStyle w:val="Znakapoznpodarou"/>
        </w:rPr>
        <w:footnoteReference w:id="13"/>
      </w:r>
      <w:r w:rsidRPr="00E915D4">
        <w:t xml:space="preserve"> </w:t>
      </w:r>
      <w:r w:rsidRPr="00B844FC">
        <w:t xml:space="preserve">pro dospělé, děti a mládež, kde mohou uživatelé pracovat s knihovními dokumenty a informačními zdroji, a to individuálně nebo ve skupině. </w:t>
      </w:r>
      <w:r w:rsidRPr="009A1B40">
        <w:t xml:space="preserve">Tam, kde to místní podmínky umožní, je vhodné vytvářet čítárny, </w:t>
      </w:r>
      <w:r w:rsidR="00F80DE1" w:rsidRPr="009A1B40">
        <w:t>individuální a</w:t>
      </w:r>
      <w:r w:rsidR="002A4611" w:rsidRPr="009A1B40">
        <w:t xml:space="preserve"> týmové studovny</w:t>
      </w:r>
      <w:r w:rsidRPr="009A1B40">
        <w:t xml:space="preserve"> a místa pro soustředěné studium.</w:t>
      </w:r>
    </w:p>
    <w:p w14:paraId="2B890011" w14:textId="77777777" w:rsidR="004E6AEA" w:rsidRPr="009A1B40" w:rsidRDefault="004E6AEA" w:rsidP="00720F27">
      <w:pPr>
        <w:spacing w:after="240"/>
        <w:ind w:firstLine="0"/>
      </w:pPr>
      <w:r w:rsidRPr="009A1B40">
        <w:rPr>
          <w:b/>
        </w:rPr>
        <w:lastRenderedPageBreak/>
        <w:t xml:space="preserve">Indikátor: </w:t>
      </w:r>
      <w:r w:rsidRPr="009A1B40">
        <w:t>počet studijních míst</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268"/>
        <w:gridCol w:w="2268"/>
      </w:tblGrid>
      <w:tr w:rsidR="009A1B40" w:rsidRPr="009A1B40" w14:paraId="378A11D5" w14:textId="77777777" w:rsidTr="003404E9">
        <w:trPr>
          <w:trHeight w:val="525"/>
          <w:jc w:val="center"/>
        </w:trPr>
        <w:tc>
          <w:tcPr>
            <w:tcW w:w="2268" w:type="dxa"/>
          </w:tcPr>
          <w:p w14:paraId="07B18ECD" w14:textId="77777777" w:rsidR="004E6AEA" w:rsidRPr="00B844FC" w:rsidRDefault="004E6AEA" w:rsidP="003404E9">
            <w:pPr>
              <w:ind w:firstLine="0"/>
              <w:jc w:val="center"/>
            </w:pPr>
          </w:p>
        </w:tc>
        <w:tc>
          <w:tcPr>
            <w:tcW w:w="2268" w:type="dxa"/>
          </w:tcPr>
          <w:p w14:paraId="41BFF164" w14:textId="77777777" w:rsidR="004E6AEA" w:rsidRPr="009A1B40" w:rsidRDefault="004E6AEA" w:rsidP="00FB6244">
            <w:pPr>
              <w:ind w:firstLine="0"/>
              <w:jc w:val="center"/>
              <w:rPr>
                <w:b/>
                <w:i/>
              </w:rPr>
            </w:pPr>
            <w:r w:rsidRPr="009A1B40">
              <w:rPr>
                <w:snapToGrid w:val="0"/>
              </w:rPr>
              <w:t>Doporučená hodnota</w:t>
            </w:r>
          </w:p>
        </w:tc>
        <w:tc>
          <w:tcPr>
            <w:tcW w:w="2268" w:type="dxa"/>
          </w:tcPr>
          <w:p w14:paraId="7B9C5587" w14:textId="11D6AC48" w:rsidR="004E6AEA" w:rsidRPr="00D22021" w:rsidRDefault="004E6AEA" w:rsidP="00EE46E8">
            <w:pPr>
              <w:ind w:firstLine="0"/>
              <w:jc w:val="center"/>
            </w:pPr>
            <w:r w:rsidRPr="00D22021">
              <w:rPr>
                <w:snapToGrid w:val="0"/>
              </w:rPr>
              <w:t xml:space="preserve">Celostátní průměr </w:t>
            </w:r>
            <w:r w:rsidR="00EE46E8" w:rsidRPr="00D22021">
              <w:rPr>
                <w:snapToGrid w:val="0"/>
              </w:rPr>
              <w:t>201</w:t>
            </w:r>
            <w:r w:rsidR="005758BA" w:rsidRPr="00D22021">
              <w:rPr>
                <w:snapToGrid w:val="0"/>
              </w:rPr>
              <w:t>8</w:t>
            </w:r>
          </w:p>
        </w:tc>
      </w:tr>
      <w:tr w:rsidR="009A1B40" w:rsidRPr="009A1B40" w14:paraId="7F7DC6D6" w14:textId="77777777" w:rsidTr="003404E9">
        <w:trPr>
          <w:trHeight w:val="350"/>
          <w:jc w:val="center"/>
        </w:trPr>
        <w:tc>
          <w:tcPr>
            <w:tcW w:w="2268" w:type="dxa"/>
          </w:tcPr>
          <w:p w14:paraId="46DAE089" w14:textId="77777777" w:rsidR="004E6AEA" w:rsidRPr="00B844FC" w:rsidRDefault="004E6AEA" w:rsidP="003404E9">
            <w:pPr>
              <w:ind w:firstLine="0"/>
              <w:jc w:val="center"/>
            </w:pPr>
            <w:r w:rsidRPr="00B844FC">
              <w:rPr>
                <w:snapToGrid w:val="0"/>
              </w:rPr>
              <w:t>Počet obyvatel obce</w:t>
            </w:r>
          </w:p>
        </w:tc>
        <w:tc>
          <w:tcPr>
            <w:tcW w:w="2268" w:type="dxa"/>
          </w:tcPr>
          <w:p w14:paraId="55E4BE89" w14:textId="77777777" w:rsidR="004E6AEA" w:rsidRPr="009A1B40" w:rsidRDefault="004E6AEA" w:rsidP="00FB6244">
            <w:pPr>
              <w:ind w:firstLine="0"/>
              <w:jc w:val="center"/>
            </w:pPr>
            <w:r w:rsidRPr="009A1B40">
              <w:rPr>
                <w:snapToGrid w:val="0"/>
              </w:rPr>
              <w:t>Počet studijních míst</w:t>
            </w:r>
          </w:p>
        </w:tc>
        <w:tc>
          <w:tcPr>
            <w:tcW w:w="2268" w:type="dxa"/>
          </w:tcPr>
          <w:p w14:paraId="436E74A5" w14:textId="77777777" w:rsidR="004E6AEA" w:rsidRPr="00D22021" w:rsidRDefault="004E6AEA" w:rsidP="003404E9">
            <w:pPr>
              <w:ind w:hanging="69"/>
              <w:jc w:val="center"/>
            </w:pPr>
            <w:r w:rsidRPr="00D22021">
              <w:rPr>
                <w:snapToGrid w:val="0"/>
              </w:rPr>
              <w:t>Počet studijních míst</w:t>
            </w:r>
          </w:p>
        </w:tc>
      </w:tr>
      <w:tr w:rsidR="009A1B40" w:rsidRPr="009A1B40" w14:paraId="0A78540B" w14:textId="77777777" w:rsidTr="003404E9">
        <w:trPr>
          <w:trHeight w:val="270"/>
          <w:jc w:val="center"/>
        </w:trPr>
        <w:tc>
          <w:tcPr>
            <w:tcW w:w="2268" w:type="dxa"/>
          </w:tcPr>
          <w:p w14:paraId="17420B56" w14:textId="77777777" w:rsidR="004E6AEA" w:rsidRPr="00B844FC" w:rsidRDefault="004E6AEA" w:rsidP="003404E9">
            <w:pPr>
              <w:ind w:firstLine="73"/>
              <w:jc w:val="left"/>
            </w:pPr>
            <w:r w:rsidRPr="00B844FC">
              <w:rPr>
                <w:snapToGrid w:val="0"/>
              </w:rPr>
              <w:t>1 – 500</w:t>
            </w:r>
          </w:p>
        </w:tc>
        <w:tc>
          <w:tcPr>
            <w:tcW w:w="2268" w:type="dxa"/>
          </w:tcPr>
          <w:p w14:paraId="5BB9A500" w14:textId="77777777" w:rsidR="004E6AEA" w:rsidRPr="009A1B40" w:rsidRDefault="004E6AEA" w:rsidP="00FB6244">
            <w:pPr>
              <w:ind w:firstLine="0"/>
              <w:jc w:val="center"/>
            </w:pPr>
            <w:r w:rsidRPr="009A1B40">
              <w:rPr>
                <w:snapToGrid w:val="0"/>
              </w:rPr>
              <w:t>4 až 5</w:t>
            </w:r>
          </w:p>
        </w:tc>
        <w:tc>
          <w:tcPr>
            <w:tcW w:w="2268" w:type="dxa"/>
            <w:vAlign w:val="bottom"/>
          </w:tcPr>
          <w:p w14:paraId="7BFBEB21" w14:textId="77777777" w:rsidR="004E6AEA" w:rsidRPr="00D22021" w:rsidRDefault="003009AE" w:rsidP="003404E9">
            <w:pPr>
              <w:ind w:firstLine="0"/>
              <w:jc w:val="center"/>
            </w:pPr>
            <w:r w:rsidRPr="00D22021">
              <w:t>5</w:t>
            </w:r>
          </w:p>
        </w:tc>
      </w:tr>
      <w:tr w:rsidR="009A1B40" w:rsidRPr="009A1B40" w14:paraId="6B0596ED" w14:textId="77777777" w:rsidTr="003404E9">
        <w:trPr>
          <w:trHeight w:val="270"/>
          <w:jc w:val="center"/>
        </w:trPr>
        <w:tc>
          <w:tcPr>
            <w:tcW w:w="2268" w:type="dxa"/>
          </w:tcPr>
          <w:p w14:paraId="453CD1A2" w14:textId="77777777" w:rsidR="004E6AEA" w:rsidRPr="00B844FC" w:rsidRDefault="004E6AEA" w:rsidP="003404E9">
            <w:pPr>
              <w:ind w:firstLine="73"/>
              <w:jc w:val="left"/>
            </w:pPr>
            <w:r w:rsidRPr="00B844FC">
              <w:rPr>
                <w:snapToGrid w:val="0"/>
              </w:rPr>
              <w:t>501 - 1 000</w:t>
            </w:r>
          </w:p>
        </w:tc>
        <w:tc>
          <w:tcPr>
            <w:tcW w:w="2268" w:type="dxa"/>
          </w:tcPr>
          <w:p w14:paraId="49431110" w14:textId="77777777" w:rsidR="004E6AEA" w:rsidRPr="009A1B40" w:rsidRDefault="004E6AEA" w:rsidP="00FB6244">
            <w:pPr>
              <w:ind w:firstLine="0"/>
              <w:jc w:val="center"/>
            </w:pPr>
            <w:r w:rsidRPr="009A1B40">
              <w:rPr>
                <w:snapToGrid w:val="0"/>
              </w:rPr>
              <w:t>6 až 8</w:t>
            </w:r>
          </w:p>
        </w:tc>
        <w:tc>
          <w:tcPr>
            <w:tcW w:w="2268" w:type="dxa"/>
            <w:vAlign w:val="bottom"/>
          </w:tcPr>
          <w:p w14:paraId="2CF26B28" w14:textId="44904D52" w:rsidR="004E6AEA" w:rsidRPr="00D22021" w:rsidRDefault="005758BA" w:rsidP="003404E9">
            <w:pPr>
              <w:ind w:firstLine="0"/>
              <w:jc w:val="center"/>
            </w:pPr>
            <w:r w:rsidRPr="00D22021">
              <w:t>6</w:t>
            </w:r>
          </w:p>
        </w:tc>
      </w:tr>
      <w:tr w:rsidR="009A1B40" w:rsidRPr="009A1B40" w14:paraId="08605F60" w14:textId="77777777" w:rsidTr="003404E9">
        <w:trPr>
          <w:trHeight w:val="270"/>
          <w:jc w:val="center"/>
        </w:trPr>
        <w:tc>
          <w:tcPr>
            <w:tcW w:w="2268" w:type="dxa"/>
          </w:tcPr>
          <w:p w14:paraId="507BE12E" w14:textId="77777777" w:rsidR="004E6AEA" w:rsidRPr="00B844FC" w:rsidRDefault="004E6AEA" w:rsidP="003404E9">
            <w:pPr>
              <w:ind w:firstLine="73"/>
              <w:jc w:val="left"/>
            </w:pPr>
            <w:r w:rsidRPr="00B844FC">
              <w:rPr>
                <w:snapToGrid w:val="0"/>
              </w:rPr>
              <w:t>1 001 - 3 000</w:t>
            </w:r>
          </w:p>
        </w:tc>
        <w:tc>
          <w:tcPr>
            <w:tcW w:w="2268" w:type="dxa"/>
          </w:tcPr>
          <w:p w14:paraId="3B7A8EE2" w14:textId="77777777" w:rsidR="004E6AEA" w:rsidRPr="009A1B40" w:rsidRDefault="004E6AEA" w:rsidP="00FB6244">
            <w:pPr>
              <w:ind w:firstLine="0"/>
              <w:jc w:val="center"/>
            </w:pPr>
            <w:r w:rsidRPr="009A1B40">
              <w:rPr>
                <w:snapToGrid w:val="0"/>
              </w:rPr>
              <w:t>9 až 10</w:t>
            </w:r>
          </w:p>
        </w:tc>
        <w:tc>
          <w:tcPr>
            <w:tcW w:w="2268" w:type="dxa"/>
            <w:vAlign w:val="bottom"/>
          </w:tcPr>
          <w:p w14:paraId="67C84087" w14:textId="77777777" w:rsidR="004E6AEA" w:rsidRPr="00D22021" w:rsidRDefault="003F075E" w:rsidP="003404E9">
            <w:pPr>
              <w:ind w:firstLine="0"/>
              <w:jc w:val="center"/>
            </w:pPr>
            <w:r w:rsidRPr="00D22021">
              <w:t>10</w:t>
            </w:r>
          </w:p>
        </w:tc>
      </w:tr>
      <w:tr w:rsidR="009A1B40" w:rsidRPr="009A1B40" w14:paraId="165930BD" w14:textId="77777777" w:rsidTr="003404E9">
        <w:trPr>
          <w:trHeight w:val="270"/>
          <w:jc w:val="center"/>
        </w:trPr>
        <w:tc>
          <w:tcPr>
            <w:tcW w:w="2268" w:type="dxa"/>
          </w:tcPr>
          <w:p w14:paraId="7437A1AA" w14:textId="77777777" w:rsidR="004E6AEA" w:rsidRPr="00B844FC" w:rsidRDefault="004E6AEA" w:rsidP="003404E9">
            <w:pPr>
              <w:ind w:firstLine="73"/>
              <w:jc w:val="left"/>
            </w:pPr>
            <w:r w:rsidRPr="00B844FC">
              <w:rPr>
                <w:snapToGrid w:val="0"/>
              </w:rPr>
              <w:t>3 001 - 5 000</w:t>
            </w:r>
          </w:p>
        </w:tc>
        <w:tc>
          <w:tcPr>
            <w:tcW w:w="2268" w:type="dxa"/>
          </w:tcPr>
          <w:p w14:paraId="1541F504" w14:textId="77777777" w:rsidR="004E6AEA" w:rsidRPr="009A1B40" w:rsidRDefault="004E6AEA" w:rsidP="00FB6244">
            <w:pPr>
              <w:ind w:firstLine="0"/>
              <w:jc w:val="center"/>
            </w:pPr>
            <w:r w:rsidRPr="009A1B40">
              <w:rPr>
                <w:snapToGrid w:val="0"/>
              </w:rPr>
              <w:t>10 až 18</w:t>
            </w:r>
          </w:p>
        </w:tc>
        <w:tc>
          <w:tcPr>
            <w:tcW w:w="2268" w:type="dxa"/>
            <w:vAlign w:val="bottom"/>
          </w:tcPr>
          <w:p w14:paraId="1E61507B" w14:textId="77777777" w:rsidR="004E6AEA" w:rsidRPr="00D22021" w:rsidRDefault="003F075E" w:rsidP="003404E9">
            <w:pPr>
              <w:ind w:firstLine="0"/>
              <w:jc w:val="center"/>
            </w:pPr>
            <w:r w:rsidRPr="00D22021">
              <w:t>18</w:t>
            </w:r>
          </w:p>
        </w:tc>
      </w:tr>
      <w:tr w:rsidR="009A1B40" w:rsidRPr="009A1B40" w14:paraId="760A84E6" w14:textId="77777777" w:rsidTr="003404E9">
        <w:trPr>
          <w:trHeight w:val="270"/>
          <w:jc w:val="center"/>
        </w:trPr>
        <w:tc>
          <w:tcPr>
            <w:tcW w:w="2268" w:type="dxa"/>
          </w:tcPr>
          <w:p w14:paraId="76AF8305" w14:textId="77777777" w:rsidR="004E6AEA" w:rsidRPr="00B844FC" w:rsidRDefault="004E6AEA" w:rsidP="003404E9">
            <w:pPr>
              <w:ind w:firstLine="73"/>
              <w:jc w:val="left"/>
            </w:pPr>
            <w:r w:rsidRPr="00B844FC">
              <w:rPr>
                <w:snapToGrid w:val="0"/>
              </w:rPr>
              <w:t>5 001 - 10 000</w:t>
            </w:r>
          </w:p>
        </w:tc>
        <w:tc>
          <w:tcPr>
            <w:tcW w:w="2268" w:type="dxa"/>
          </w:tcPr>
          <w:p w14:paraId="46425825" w14:textId="77777777" w:rsidR="004E6AEA" w:rsidRPr="009A1B40" w:rsidRDefault="004E6AEA" w:rsidP="00FB6244">
            <w:pPr>
              <w:ind w:firstLine="0"/>
              <w:jc w:val="center"/>
            </w:pPr>
            <w:r w:rsidRPr="009A1B40">
              <w:rPr>
                <w:snapToGrid w:val="0"/>
              </w:rPr>
              <w:t>20 až 28</w:t>
            </w:r>
          </w:p>
        </w:tc>
        <w:tc>
          <w:tcPr>
            <w:tcW w:w="2268" w:type="dxa"/>
            <w:vAlign w:val="bottom"/>
          </w:tcPr>
          <w:p w14:paraId="7A3C4AB2" w14:textId="01028E21" w:rsidR="004E6AEA" w:rsidRPr="00D22021" w:rsidRDefault="004E6AEA" w:rsidP="003404E9">
            <w:pPr>
              <w:ind w:firstLine="0"/>
              <w:jc w:val="center"/>
            </w:pPr>
            <w:r w:rsidRPr="00D22021">
              <w:t>2</w:t>
            </w:r>
            <w:r w:rsidR="005758BA" w:rsidRPr="00D22021">
              <w:t>7</w:t>
            </w:r>
          </w:p>
        </w:tc>
      </w:tr>
      <w:tr w:rsidR="009A1B40" w:rsidRPr="009A1B40" w14:paraId="5C7D6A4F" w14:textId="77777777" w:rsidTr="003404E9">
        <w:trPr>
          <w:trHeight w:val="270"/>
          <w:jc w:val="center"/>
        </w:trPr>
        <w:tc>
          <w:tcPr>
            <w:tcW w:w="2268" w:type="dxa"/>
          </w:tcPr>
          <w:p w14:paraId="0C995DAD" w14:textId="77777777" w:rsidR="004E6AEA" w:rsidRPr="00B844FC" w:rsidRDefault="004E6AEA" w:rsidP="003404E9">
            <w:pPr>
              <w:ind w:firstLine="73"/>
              <w:jc w:val="left"/>
            </w:pPr>
            <w:r w:rsidRPr="00B844FC">
              <w:rPr>
                <w:snapToGrid w:val="0"/>
              </w:rPr>
              <w:t>10 001 - 20 000</w:t>
            </w:r>
          </w:p>
        </w:tc>
        <w:tc>
          <w:tcPr>
            <w:tcW w:w="2268" w:type="dxa"/>
          </w:tcPr>
          <w:p w14:paraId="72AB5B89" w14:textId="77777777" w:rsidR="004E6AEA" w:rsidRPr="009A1B40" w:rsidRDefault="004E6AEA" w:rsidP="00FB6244">
            <w:pPr>
              <w:ind w:firstLine="0"/>
              <w:jc w:val="center"/>
            </w:pPr>
            <w:r w:rsidRPr="009A1B40">
              <w:rPr>
                <w:snapToGrid w:val="0"/>
              </w:rPr>
              <w:t>28 až 70</w:t>
            </w:r>
          </w:p>
        </w:tc>
        <w:tc>
          <w:tcPr>
            <w:tcW w:w="2268" w:type="dxa"/>
            <w:vAlign w:val="bottom"/>
          </w:tcPr>
          <w:p w14:paraId="32E37E9F" w14:textId="1468A625" w:rsidR="004E6AEA" w:rsidRPr="00D22021" w:rsidRDefault="005758BA" w:rsidP="003404E9">
            <w:pPr>
              <w:ind w:firstLine="0"/>
              <w:jc w:val="center"/>
            </w:pPr>
            <w:r w:rsidRPr="00D22021">
              <w:t>41</w:t>
            </w:r>
          </w:p>
        </w:tc>
      </w:tr>
      <w:tr w:rsidR="009A1B40" w:rsidRPr="009A1B40" w14:paraId="169A53AC" w14:textId="77777777" w:rsidTr="003404E9">
        <w:trPr>
          <w:trHeight w:val="270"/>
          <w:jc w:val="center"/>
        </w:trPr>
        <w:tc>
          <w:tcPr>
            <w:tcW w:w="2268" w:type="dxa"/>
          </w:tcPr>
          <w:p w14:paraId="52643CA7" w14:textId="77777777" w:rsidR="004E6AEA" w:rsidRPr="004F12F1" w:rsidRDefault="004E6AEA" w:rsidP="003404E9">
            <w:pPr>
              <w:ind w:firstLine="73"/>
              <w:jc w:val="left"/>
            </w:pPr>
            <w:r w:rsidRPr="004F12F1">
              <w:rPr>
                <w:snapToGrid w:val="0"/>
              </w:rPr>
              <w:t>20 001 - 40 000</w:t>
            </w:r>
          </w:p>
        </w:tc>
        <w:tc>
          <w:tcPr>
            <w:tcW w:w="2268" w:type="dxa"/>
          </w:tcPr>
          <w:p w14:paraId="6A77B858" w14:textId="77777777" w:rsidR="004E6AEA" w:rsidRPr="009A1B40" w:rsidRDefault="004E6AEA" w:rsidP="00FB6244">
            <w:pPr>
              <w:ind w:firstLine="0"/>
              <w:jc w:val="center"/>
            </w:pPr>
            <w:r w:rsidRPr="009A1B40">
              <w:rPr>
                <w:snapToGrid w:val="0"/>
              </w:rPr>
              <w:t>70 až 120</w:t>
            </w:r>
          </w:p>
        </w:tc>
        <w:tc>
          <w:tcPr>
            <w:tcW w:w="2268" w:type="dxa"/>
            <w:vAlign w:val="bottom"/>
          </w:tcPr>
          <w:p w14:paraId="0DE7F478" w14:textId="47DCAF21" w:rsidR="004E6AEA" w:rsidRPr="00D22021" w:rsidRDefault="003F075E" w:rsidP="003404E9">
            <w:pPr>
              <w:ind w:firstLine="0"/>
              <w:jc w:val="center"/>
            </w:pPr>
            <w:r w:rsidRPr="00D22021">
              <w:t>8</w:t>
            </w:r>
            <w:r w:rsidR="005758BA" w:rsidRPr="00D22021">
              <w:t>1</w:t>
            </w:r>
          </w:p>
        </w:tc>
      </w:tr>
      <w:tr w:rsidR="009A1B40" w:rsidRPr="009A1B40" w14:paraId="7C051957" w14:textId="77777777" w:rsidTr="003404E9">
        <w:trPr>
          <w:trHeight w:val="270"/>
          <w:jc w:val="center"/>
        </w:trPr>
        <w:tc>
          <w:tcPr>
            <w:tcW w:w="2268" w:type="dxa"/>
          </w:tcPr>
          <w:p w14:paraId="3988AA2D" w14:textId="24174189" w:rsidR="004E6AEA" w:rsidRPr="004F12F1" w:rsidRDefault="004E6AEA" w:rsidP="00E96176">
            <w:pPr>
              <w:ind w:firstLine="73"/>
              <w:jc w:val="left"/>
            </w:pPr>
            <w:r w:rsidRPr="004F12F1">
              <w:rPr>
                <w:snapToGrid w:val="0"/>
              </w:rPr>
              <w:t>Více než 40 00</w:t>
            </w:r>
            <w:r w:rsidR="00E96176">
              <w:rPr>
                <w:snapToGrid w:val="0"/>
              </w:rPr>
              <w:t>0</w:t>
            </w:r>
          </w:p>
        </w:tc>
        <w:tc>
          <w:tcPr>
            <w:tcW w:w="2268" w:type="dxa"/>
          </w:tcPr>
          <w:p w14:paraId="4AF55F22" w14:textId="77777777" w:rsidR="004E6AEA" w:rsidRPr="009A1B40" w:rsidRDefault="004E6AEA" w:rsidP="00FB6244">
            <w:pPr>
              <w:ind w:firstLine="0"/>
              <w:jc w:val="center"/>
            </w:pPr>
            <w:r w:rsidRPr="009A1B40">
              <w:rPr>
                <w:snapToGrid w:val="0"/>
              </w:rPr>
              <w:t>120 a více</w:t>
            </w:r>
          </w:p>
        </w:tc>
        <w:tc>
          <w:tcPr>
            <w:tcW w:w="2268" w:type="dxa"/>
            <w:vAlign w:val="bottom"/>
          </w:tcPr>
          <w:p w14:paraId="424F6C93" w14:textId="3E1A5260" w:rsidR="004E6AEA" w:rsidRPr="00D22021" w:rsidRDefault="003F075E" w:rsidP="003404E9">
            <w:pPr>
              <w:ind w:firstLine="0"/>
              <w:jc w:val="center"/>
            </w:pPr>
            <w:r w:rsidRPr="00D22021">
              <w:t>2</w:t>
            </w:r>
            <w:r w:rsidR="002A4E09" w:rsidRPr="00D22021">
              <w:t>10</w:t>
            </w:r>
          </w:p>
        </w:tc>
      </w:tr>
    </w:tbl>
    <w:p w14:paraId="6AAA2BEB" w14:textId="1CDADCDA" w:rsidR="004E6AEA" w:rsidRPr="009A1B40" w:rsidRDefault="00870AAC" w:rsidP="00A532B7">
      <w:pPr>
        <w:spacing w:after="240"/>
        <w:ind w:firstLine="0"/>
      </w:pPr>
      <w:r w:rsidRPr="009A1B40">
        <w:t>Kromě studijních míst knihovna nabízí dostatečný počet míst k oddechu, relaxaci a setkávání (</w:t>
      </w:r>
      <w:r w:rsidR="006B7F05" w:rsidRPr="009A1B40">
        <w:t>oddechové zóny</w:t>
      </w:r>
      <w:r w:rsidRPr="009A1B40">
        <w:t>).</w:t>
      </w:r>
    </w:p>
    <w:p w14:paraId="1D63C664" w14:textId="77777777" w:rsidR="004E6AEA" w:rsidRPr="00B844FC" w:rsidRDefault="00110362" w:rsidP="003404E9">
      <w:pPr>
        <w:pStyle w:val="Nadpis4"/>
      </w:pPr>
      <w:r w:rsidRPr="009A1B40">
        <w:t>Článek 8</w:t>
      </w:r>
      <w:r w:rsidR="004E6AEA" w:rsidRPr="009A1B40">
        <w:t>.</w:t>
      </w:r>
      <w:r w:rsidR="000766CF" w:rsidRPr="009A1B40">
        <w:br/>
      </w:r>
      <w:r w:rsidR="004E6AEA" w:rsidRPr="00B844FC">
        <w:t>Přístup k internetu a informačním technologiím</w:t>
      </w:r>
    </w:p>
    <w:p w14:paraId="17BEB303" w14:textId="77777777" w:rsidR="004E6AEA" w:rsidRPr="009A1B40" w:rsidRDefault="002B1D4C" w:rsidP="00720F27">
      <w:pPr>
        <w:pStyle w:val="Bezmezer"/>
        <w:spacing w:line="276" w:lineRule="auto"/>
        <w:jc w:val="both"/>
        <w:rPr>
          <w:i/>
          <w:sz w:val="24"/>
          <w:szCs w:val="24"/>
          <w:lang w:eastAsia="cs-CZ"/>
        </w:rPr>
      </w:pPr>
      <w:r>
        <w:rPr>
          <w:i/>
          <w:sz w:val="24"/>
          <w:szCs w:val="24"/>
          <w:lang w:eastAsia="cs-CZ"/>
        </w:rPr>
        <w:t>„</w:t>
      </w:r>
      <w:r w:rsidR="004E6AEA" w:rsidRPr="00B844FC">
        <w:rPr>
          <w:i/>
          <w:sz w:val="24"/>
          <w:szCs w:val="24"/>
          <w:lang w:eastAsia="cs-CZ"/>
        </w:rPr>
        <w:t xml:space="preserve">Zabezpečení neomezeného přístupu </w:t>
      </w:r>
      <w:r w:rsidR="004E6AEA" w:rsidRPr="009A1B40">
        <w:rPr>
          <w:i/>
          <w:sz w:val="24"/>
          <w:szCs w:val="24"/>
          <w:lang w:eastAsia="cs-CZ"/>
        </w:rPr>
        <w:t xml:space="preserve">k internetu v knihovnách a k informačním službám podporuje společnost i jednotlivce v jejich úsilí o dosažení svobody, prosperity a rozvoje. </w:t>
      </w:r>
    </w:p>
    <w:p w14:paraId="09E634EA" w14:textId="77777777" w:rsidR="002B1D4C" w:rsidRPr="009A1B40" w:rsidRDefault="004E6AEA" w:rsidP="00720F27">
      <w:pPr>
        <w:pStyle w:val="Bezmezer"/>
        <w:spacing w:line="276" w:lineRule="auto"/>
        <w:jc w:val="both"/>
        <w:rPr>
          <w:i/>
          <w:sz w:val="24"/>
          <w:szCs w:val="24"/>
        </w:rPr>
      </w:pPr>
      <w:r w:rsidRPr="009A1B40">
        <w:rPr>
          <w:i/>
          <w:sz w:val="24"/>
          <w:szCs w:val="24"/>
        </w:rPr>
        <w:t>Knihovny a jejich služby jsou základními vstupními branami k internetu. Knihovny nabízejí všem příležitost, radu a pomoc, pro některé skupiny obyvatel jsou jedinými přístupovými místy, která mají k dispozici. Umožňují překonání bariér vzniklých rozdílností zdrojů, technologií a úrovní vzdělání.</w:t>
      </w:r>
      <w:r w:rsidR="004D04F6" w:rsidRPr="009A1B40">
        <w:rPr>
          <w:i/>
          <w:sz w:val="24"/>
          <w:szCs w:val="24"/>
        </w:rPr>
        <w:t>“</w:t>
      </w:r>
    </w:p>
    <w:p w14:paraId="5F8898AC" w14:textId="428050AF" w:rsidR="004E6AEA" w:rsidRPr="008A0E1A" w:rsidRDefault="004E6AEA" w:rsidP="00720F27">
      <w:pPr>
        <w:pStyle w:val="Bezmezer"/>
        <w:spacing w:line="276" w:lineRule="auto"/>
        <w:jc w:val="right"/>
        <w:rPr>
          <w:bCs/>
          <w:i/>
          <w:sz w:val="20"/>
          <w:szCs w:val="20"/>
          <w:lang w:eastAsia="cs-CZ"/>
        </w:rPr>
      </w:pPr>
      <w:r w:rsidRPr="008A0E1A">
        <w:rPr>
          <w:i/>
          <w:sz w:val="20"/>
          <w:szCs w:val="20"/>
        </w:rPr>
        <w:t>(</w:t>
      </w:r>
      <w:r w:rsidR="002B1D4C" w:rsidRPr="008A0E1A">
        <w:rPr>
          <w:bCs/>
          <w:i/>
          <w:sz w:val="20"/>
          <w:szCs w:val="20"/>
          <w:lang w:eastAsia="cs-CZ"/>
        </w:rPr>
        <w:t xml:space="preserve">Směrnice </w:t>
      </w:r>
      <w:r w:rsidRPr="008A0E1A">
        <w:rPr>
          <w:bCs/>
          <w:i/>
          <w:sz w:val="20"/>
          <w:szCs w:val="20"/>
          <w:lang w:eastAsia="cs-CZ"/>
        </w:rPr>
        <w:t>IFLA</w:t>
      </w:r>
      <w:r w:rsidR="002B1D4C" w:rsidRPr="008A0E1A">
        <w:rPr>
          <w:bCs/>
          <w:i/>
          <w:sz w:val="20"/>
          <w:szCs w:val="20"/>
          <w:lang w:eastAsia="cs-CZ"/>
        </w:rPr>
        <w:t xml:space="preserve">, článek 8, </w:t>
      </w:r>
      <w:r w:rsidR="002B1D4C" w:rsidRPr="008A0E1A">
        <w:rPr>
          <w:rStyle w:val="A2"/>
          <w:iCs w:val="0"/>
          <w:color w:val="auto"/>
          <w:sz w:val="20"/>
          <w:szCs w:val="20"/>
        </w:rPr>
        <w:t xml:space="preserve">Manifest IFLA </w:t>
      </w:r>
      <w:r w:rsidR="002B1D4C" w:rsidRPr="008A0E1A">
        <w:rPr>
          <w:rStyle w:val="A2"/>
          <w:color w:val="auto"/>
          <w:sz w:val="20"/>
          <w:szCs w:val="20"/>
        </w:rPr>
        <w:t>o přístupu k internetu)</w:t>
      </w:r>
    </w:p>
    <w:p w14:paraId="1655EA02" w14:textId="77777777" w:rsidR="00A661D5" w:rsidRPr="009A1B40" w:rsidRDefault="00A661D5" w:rsidP="00720F27">
      <w:pPr>
        <w:pStyle w:val="Bezmezer"/>
        <w:spacing w:line="276" w:lineRule="auto"/>
        <w:jc w:val="both"/>
        <w:rPr>
          <w:i/>
          <w:sz w:val="24"/>
          <w:szCs w:val="24"/>
        </w:rPr>
      </w:pPr>
    </w:p>
    <w:p w14:paraId="78FF1B4D" w14:textId="78CF53C2" w:rsidR="006C7F28" w:rsidRPr="009A1B40" w:rsidRDefault="008A0E1A" w:rsidP="00720F27">
      <w:pPr>
        <w:pStyle w:val="Bezmezer"/>
        <w:spacing w:line="276" w:lineRule="auto"/>
        <w:jc w:val="both"/>
        <w:rPr>
          <w:i/>
          <w:iCs/>
          <w:sz w:val="24"/>
        </w:rPr>
      </w:pPr>
      <w:r>
        <w:rPr>
          <w:i/>
          <w:iCs/>
          <w:sz w:val="24"/>
        </w:rPr>
        <w:t>„</w:t>
      </w:r>
      <w:r w:rsidR="004E6AEA" w:rsidRPr="009A1B40">
        <w:rPr>
          <w:i/>
          <w:iCs/>
          <w:sz w:val="24"/>
        </w:rPr>
        <w:t xml:space="preserve">Jedním z hlavních úkolů veřejné knihovny je překlenout propast mezi informačně bohatými a informačně chudými. Proto musí také umožňovat přístup k nezbytnému elektronickému, počítačovému a audiovizuálními zařízení. Patří sem osobní počítače s přístupem k internetu, veřejně přístupné katalogy, čtečky mikrozáznamů, </w:t>
      </w:r>
      <w:r w:rsidR="004E6AEA" w:rsidRPr="009A1B40">
        <w:rPr>
          <w:i/>
          <w:iCs/>
          <w:spacing w:val="-5"/>
          <w:sz w:val="24"/>
        </w:rPr>
        <w:t>audio a MP3 přehrávače</w:t>
      </w:r>
      <w:r w:rsidR="00996EC0" w:rsidRPr="009A1B40">
        <w:rPr>
          <w:i/>
          <w:iCs/>
          <w:sz w:val="24"/>
        </w:rPr>
        <w:t>,</w:t>
      </w:r>
      <w:r w:rsidR="004E6AEA" w:rsidRPr="009A1B40">
        <w:rPr>
          <w:i/>
          <w:iCs/>
          <w:sz w:val="24"/>
        </w:rPr>
        <w:t xml:space="preserve"> zpětné projektory a zařízení p</w:t>
      </w:r>
      <w:r>
        <w:rPr>
          <w:i/>
          <w:iCs/>
          <w:sz w:val="24"/>
        </w:rPr>
        <w:t>ro zrakově a tělesně postižené.“</w:t>
      </w:r>
    </w:p>
    <w:p w14:paraId="6DC74B3C" w14:textId="77777777" w:rsidR="004E6AEA" w:rsidRPr="009A1B40" w:rsidRDefault="004E6AEA" w:rsidP="00AC7DFE">
      <w:pPr>
        <w:pStyle w:val="Bezmezer"/>
        <w:spacing w:after="240" w:line="276" w:lineRule="auto"/>
        <w:jc w:val="right"/>
        <w:rPr>
          <w:i/>
          <w:iCs/>
          <w:sz w:val="20"/>
          <w:szCs w:val="20"/>
        </w:rPr>
      </w:pPr>
      <w:r w:rsidRPr="009A1B40">
        <w:rPr>
          <w:i/>
          <w:iCs/>
          <w:sz w:val="20"/>
          <w:szCs w:val="20"/>
        </w:rPr>
        <w:t>(Směrnice IFLA: Služby veřejných knihoven</w:t>
      </w:r>
      <w:r w:rsidR="006C7F28" w:rsidRPr="009A1B40">
        <w:rPr>
          <w:i/>
          <w:iCs/>
          <w:sz w:val="20"/>
          <w:szCs w:val="20"/>
        </w:rPr>
        <w:t xml:space="preserve">, článek </w:t>
      </w:r>
      <w:r w:rsidR="00BE4D3E" w:rsidRPr="009A1B40">
        <w:rPr>
          <w:i/>
          <w:iCs/>
          <w:sz w:val="20"/>
          <w:szCs w:val="20"/>
        </w:rPr>
        <w:t>3.10.</w:t>
      </w:r>
      <w:r w:rsidR="006C7F28" w:rsidRPr="009A1B40">
        <w:rPr>
          <w:i/>
          <w:iCs/>
          <w:sz w:val="20"/>
          <w:szCs w:val="20"/>
        </w:rPr>
        <w:t>8</w:t>
      </w:r>
      <w:r w:rsidRPr="009A1B40">
        <w:rPr>
          <w:i/>
          <w:iCs/>
          <w:sz w:val="20"/>
          <w:szCs w:val="20"/>
        </w:rPr>
        <w:t>)</w:t>
      </w:r>
    </w:p>
    <w:p w14:paraId="7E9CBA7C" w14:textId="77777777" w:rsidR="004E6AEA" w:rsidRPr="009A1B40" w:rsidRDefault="004E6AEA" w:rsidP="00C700EA">
      <w:pPr>
        <w:pStyle w:val="Zkladntextodsazen"/>
        <w:ind w:firstLine="0"/>
      </w:pPr>
      <w:r w:rsidRPr="009A1B40">
        <w:rPr>
          <w:b/>
        </w:rPr>
        <w:t>Indikátor:</w:t>
      </w:r>
      <w:r w:rsidRPr="009A1B40">
        <w:t xml:space="preserve"> Počet veřejně přístupných stanic připojených k internetu.</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268"/>
        <w:gridCol w:w="2268"/>
      </w:tblGrid>
      <w:tr w:rsidR="009A1B40" w:rsidRPr="009A1B40" w14:paraId="6566C075" w14:textId="77777777" w:rsidTr="003404E9">
        <w:trPr>
          <w:trHeight w:val="525"/>
          <w:jc w:val="center"/>
        </w:trPr>
        <w:tc>
          <w:tcPr>
            <w:tcW w:w="2268" w:type="dxa"/>
          </w:tcPr>
          <w:p w14:paraId="09CB76E6" w14:textId="77777777" w:rsidR="004E6AEA" w:rsidRPr="00B844FC" w:rsidRDefault="004E6AEA" w:rsidP="003404E9">
            <w:pPr>
              <w:ind w:firstLine="0"/>
              <w:jc w:val="center"/>
            </w:pPr>
          </w:p>
        </w:tc>
        <w:tc>
          <w:tcPr>
            <w:tcW w:w="2268" w:type="dxa"/>
          </w:tcPr>
          <w:p w14:paraId="5D9D1AA3" w14:textId="77777777" w:rsidR="004E6AEA" w:rsidRPr="009A1B40" w:rsidRDefault="004E6AEA" w:rsidP="00FB6244">
            <w:pPr>
              <w:ind w:firstLine="0"/>
              <w:jc w:val="center"/>
            </w:pPr>
            <w:r w:rsidRPr="009A1B40">
              <w:rPr>
                <w:snapToGrid w:val="0"/>
              </w:rPr>
              <w:t>Doporučená hodnota</w:t>
            </w:r>
          </w:p>
        </w:tc>
        <w:tc>
          <w:tcPr>
            <w:tcW w:w="2268" w:type="dxa"/>
          </w:tcPr>
          <w:p w14:paraId="6F13CB2F" w14:textId="5F5A1E71" w:rsidR="004E6AEA" w:rsidRPr="00D22021" w:rsidRDefault="004E6AEA" w:rsidP="00FB6244">
            <w:pPr>
              <w:ind w:firstLine="0"/>
              <w:jc w:val="center"/>
            </w:pPr>
            <w:r w:rsidRPr="00D22021">
              <w:rPr>
                <w:snapToGrid w:val="0"/>
              </w:rPr>
              <w:t>Celostátní průměr 20</w:t>
            </w:r>
            <w:r w:rsidR="003F075E" w:rsidRPr="00D22021">
              <w:rPr>
                <w:snapToGrid w:val="0"/>
              </w:rPr>
              <w:t>1</w:t>
            </w:r>
            <w:r w:rsidR="002A4E09" w:rsidRPr="00D22021">
              <w:rPr>
                <w:snapToGrid w:val="0"/>
              </w:rPr>
              <w:t>8</w:t>
            </w:r>
          </w:p>
        </w:tc>
      </w:tr>
      <w:tr w:rsidR="009A1B40" w:rsidRPr="009A1B40" w14:paraId="74B3CE52" w14:textId="77777777" w:rsidTr="003404E9">
        <w:trPr>
          <w:trHeight w:val="525"/>
          <w:jc w:val="center"/>
        </w:trPr>
        <w:tc>
          <w:tcPr>
            <w:tcW w:w="2268" w:type="dxa"/>
          </w:tcPr>
          <w:p w14:paraId="31F24868" w14:textId="77777777" w:rsidR="004E6AEA" w:rsidRPr="00B844FC" w:rsidRDefault="004E6AEA" w:rsidP="003404E9">
            <w:pPr>
              <w:ind w:firstLine="0"/>
              <w:jc w:val="center"/>
            </w:pPr>
            <w:r w:rsidRPr="00B844FC">
              <w:rPr>
                <w:snapToGrid w:val="0"/>
              </w:rPr>
              <w:t>Počet obyvatel obce</w:t>
            </w:r>
          </w:p>
        </w:tc>
        <w:tc>
          <w:tcPr>
            <w:tcW w:w="2268" w:type="dxa"/>
          </w:tcPr>
          <w:p w14:paraId="36D099F2" w14:textId="77777777" w:rsidR="004E6AEA" w:rsidRPr="009A1B40" w:rsidRDefault="004E6AEA" w:rsidP="00FB6244">
            <w:pPr>
              <w:ind w:firstLine="0"/>
              <w:jc w:val="center"/>
            </w:pPr>
            <w:r w:rsidRPr="009A1B40">
              <w:rPr>
                <w:snapToGrid w:val="0"/>
              </w:rPr>
              <w:t>Počet stanic</w:t>
            </w:r>
          </w:p>
        </w:tc>
        <w:tc>
          <w:tcPr>
            <w:tcW w:w="2268" w:type="dxa"/>
          </w:tcPr>
          <w:p w14:paraId="7BAE9C6C" w14:textId="77777777" w:rsidR="004E6AEA" w:rsidRPr="00D22021" w:rsidRDefault="004E6AEA" w:rsidP="00FB6244">
            <w:pPr>
              <w:ind w:firstLine="0"/>
              <w:jc w:val="center"/>
            </w:pPr>
            <w:r w:rsidRPr="00D22021">
              <w:rPr>
                <w:snapToGrid w:val="0"/>
              </w:rPr>
              <w:t>Počet stanic</w:t>
            </w:r>
          </w:p>
        </w:tc>
      </w:tr>
      <w:tr w:rsidR="009A1B40" w:rsidRPr="009A1B40" w14:paraId="50C7B573" w14:textId="77777777" w:rsidTr="003404E9">
        <w:trPr>
          <w:trHeight w:val="270"/>
          <w:jc w:val="center"/>
        </w:trPr>
        <w:tc>
          <w:tcPr>
            <w:tcW w:w="2268" w:type="dxa"/>
          </w:tcPr>
          <w:p w14:paraId="30FF1FFE" w14:textId="77777777" w:rsidR="004E6AEA" w:rsidRPr="00B844FC" w:rsidRDefault="004E6AEA" w:rsidP="00FB6244">
            <w:pPr>
              <w:ind w:firstLine="0"/>
              <w:jc w:val="left"/>
            </w:pPr>
            <w:r w:rsidRPr="00B844FC">
              <w:rPr>
                <w:snapToGrid w:val="0"/>
              </w:rPr>
              <w:t>1 – 500</w:t>
            </w:r>
          </w:p>
        </w:tc>
        <w:tc>
          <w:tcPr>
            <w:tcW w:w="2268" w:type="dxa"/>
          </w:tcPr>
          <w:p w14:paraId="467B2505" w14:textId="77777777" w:rsidR="004E6AEA" w:rsidRPr="009A1B40" w:rsidRDefault="004E6AEA" w:rsidP="00FB6244">
            <w:pPr>
              <w:ind w:firstLine="0"/>
              <w:jc w:val="center"/>
            </w:pPr>
            <w:r w:rsidRPr="009A1B40">
              <w:rPr>
                <w:snapToGrid w:val="0"/>
              </w:rPr>
              <w:t>1 až 2</w:t>
            </w:r>
          </w:p>
        </w:tc>
        <w:tc>
          <w:tcPr>
            <w:tcW w:w="2268" w:type="dxa"/>
            <w:vAlign w:val="bottom"/>
          </w:tcPr>
          <w:p w14:paraId="7D48112C" w14:textId="2C0D8AAB" w:rsidR="004E6AEA" w:rsidRPr="00D22021" w:rsidRDefault="002A4E09" w:rsidP="003404E9">
            <w:pPr>
              <w:ind w:firstLine="0"/>
              <w:jc w:val="center"/>
            </w:pPr>
            <w:r w:rsidRPr="00D22021">
              <w:t>1</w:t>
            </w:r>
          </w:p>
        </w:tc>
      </w:tr>
      <w:tr w:rsidR="009A1B40" w:rsidRPr="009A1B40" w14:paraId="451E3F99" w14:textId="77777777" w:rsidTr="003404E9">
        <w:trPr>
          <w:trHeight w:val="270"/>
          <w:jc w:val="center"/>
        </w:trPr>
        <w:tc>
          <w:tcPr>
            <w:tcW w:w="2268" w:type="dxa"/>
          </w:tcPr>
          <w:p w14:paraId="1888EF58" w14:textId="77777777" w:rsidR="004E6AEA" w:rsidRPr="00B844FC" w:rsidRDefault="004E6AEA" w:rsidP="00FB6244">
            <w:pPr>
              <w:ind w:firstLine="0"/>
              <w:jc w:val="left"/>
            </w:pPr>
            <w:r w:rsidRPr="00B844FC">
              <w:rPr>
                <w:snapToGrid w:val="0"/>
              </w:rPr>
              <w:t>501 - 1 000</w:t>
            </w:r>
          </w:p>
        </w:tc>
        <w:tc>
          <w:tcPr>
            <w:tcW w:w="2268" w:type="dxa"/>
          </w:tcPr>
          <w:p w14:paraId="5852D264" w14:textId="77777777" w:rsidR="004E6AEA" w:rsidRPr="009A1B40" w:rsidRDefault="004E6AEA" w:rsidP="00FB6244">
            <w:pPr>
              <w:ind w:firstLine="0"/>
              <w:jc w:val="center"/>
            </w:pPr>
            <w:r w:rsidRPr="009A1B40">
              <w:rPr>
                <w:snapToGrid w:val="0"/>
              </w:rPr>
              <w:t>2</w:t>
            </w:r>
          </w:p>
        </w:tc>
        <w:tc>
          <w:tcPr>
            <w:tcW w:w="2268" w:type="dxa"/>
            <w:vAlign w:val="bottom"/>
          </w:tcPr>
          <w:p w14:paraId="7C5E34D8" w14:textId="77777777" w:rsidR="004E6AEA" w:rsidRPr="00D22021" w:rsidRDefault="004E6AEA" w:rsidP="003404E9">
            <w:pPr>
              <w:ind w:firstLine="0"/>
              <w:jc w:val="center"/>
            </w:pPr>
            <w:r w:rsidRPr="00D22021">
              <w:t>1</w:t>
            </w:r>
          </w:p>
        </w:tc>
      </w:tr>
      <w:tr w:rsidR="009A1B40" w:rsidRPr="009A1B40" w14:paraId="7D321365" w14:textId="77777777" w:rsidTr="003404E9">
        <w:trPr>
          <w:trHeight w:val="270"/>
          <w:jc w:val="center"/>
        </w:trPr>
        <w:tc>
          <w:tcPr>
            <w:tcW w:w="2268" w:type="dxa"/>
          </w:tcPr>
          <w:p w14:paraId="347AB79C" w14:textId="77777777" w:rsidR="004E6AEA" w:rsidRPr="00B844FC" w:rsidRDefault="004E6AEA" w:rsidP="00FB6244">
            <w:pPr>
              <w:ind w:firstLine="0"/>
              <w:jc w:val="left"/>
            </w:pPr>
            <w:r w:rsidRPr="00B844FC">
              <w:rPr>
                <w:snapToGrid w:val="0"/>
              </w:rPr>
              <w:t>1 001 - 3 000</w:t>
            </w:r>
          </w:p>
        </w:tc>
        <w:tc>
          <w:tcPr>
            <w:tcW w:w="2268" w:type="dxa"/>
          </w:tcPr>
          <w:p w14:paraId="62E2AC25" w14:textId="77777777" w:rsidR="004E6AEA" w:rsidRPr="009A1B40" w:rsidRDefault="004E6AEA" w:rsidP="00FB6244">
            <w:pPr>
              <w:ind w:firstLine="0"/>
              <w:jc w:val="center"/>
            </w:pPr>
            <w:r w:rsidRPr="009A1B40">
              <w:rPr>
                <w:snapToGrid w:val="0"/>
              </w:rPr>
              <w:t>2 až 3</w:t>
            </w:r>
          </w:p>
        </w:tc>
        <w:tc>
          <w:tcPr>
            <w:tcW w:w="2268" w:type="dxa"/>
            <w:vAlign w:val="bottom"/>
          </w:tcPr>
          <w:p w14:paraId="2CF2E46E" w14:textId="77777777" w:rsidR="004E6AEA" w:rsidRPr="00D22021" w:rsidRDefault="004E6AEA" w:rsidP="003404E9">
            <w:pPr>
              <w:ind w:firstLine="0"/>
              <w:jc w:val="center"/>
            </w:pPr>
            <w:r w:rsidRPr="00D22021">
              <w:t>2</w:t>
            </w:r>
          </w:p>
        </w:tc>
      </w:tr>
      <w:tr w:rsidR="009A1B40" w:rsidRPr="009A1B40" w14:paraId="0DA4C8A0" w14:textId="77777777" w:rsidTr="003404E9">
        <w:trPr>
          <w:trHeight w:val="270"/>
          <w:jc w:val="center"/>
        </w:trPr>
        <w:tc>
          <w:tcPr>
            <w:tcW w:w="2268" w:type="dxa"/>
          </w:tcPr>
          <w:p w14:paraId="051EF5D1" w14:textId="77777777" w:rsidR="004E6AEA" w:rsidRPr="00B844FC" w:rsidRDefault="004E6AEA" w:rsidP="00FB6244">
            <w:pPr>
              <w:ind w:firstLine="0"/>
              <w:jc w:val="left"/>
            </w:pPr>
            <w:r w:rsidRPr="00B844FC">
              <w:rPr>
                <w:snapToGrid w:val="0"/>
              </w:rPr>
              <w:lastRenderedPageBreak/>
              <w:t>3 001 - 5 000</w:t>
            </w:r>
          </w:p>
        </w:tc>
        <w:tc>
          <w:tcPr>
            <w:tcW w:w="2268" w:type="dxa"/>
          </w:tcPr>
          <w:p w14:paraId="0FC90A9A" w14:textId="77777777" w:rsidR="004E6AEA" w:rsidRPr="009A1B40" w:rsidRDefault="004E6AEA" w:rsidP="00FB6244">
            <w:pPr>
              <w:ind w:firstLine="0"/>
              <w:jc w:val="center"/>
            </w:pPr>
            <w:r w:rsidRPr="009A1B40">
              <w:rPr>
                <w:snapToGrid w:val="0"/>
              </w:rPr>
              <w:t>3 až 5</w:t>
            </w:r>
          </w:p>
        </w:tc>
        <w:tc>
          <w:tcPr>
            <w:tcW w:w="2268" w:type="dxa"/>
            <w:vAlign w:val="bottom"/>
          </w:tcPr>
          <w:p w14:paraId="2EA867D9" w14:textId="77777777" w:rsidR="004E6AEA" w:rsidRPr="00D22021" w:rsidRDefault="004E6AEA" w:rsidP="003404E9">
            <w:pPr>
              <w:ind w:firstLine="0"/>
              <w:jc w:val="center"/>
            </w:pPr>
            <w:r w:rsidRPr="00D22021">
              <w:t>3</w:t>
            </w:r>
          </w:p>
        </w:tc>
      </w:tr>
      <w:tr w:rsidR="009A1B40" w:rsidRPr="009A1B40" w14:paraId="5FB560F4" w14:textId="77777777" w:rsidTr="003404E9">
        <w:trPr>
          <w:trHeight w:val="270"/>
          <w:jc w:val="center"/>
        </w:trPr>
        <w:tc>
          <w:tcPr>
            <w:tcW w:w="2268" w:type="dxa"/>
          </w:tcPr>
          <w:p w14:paraId="05B15EF8" w14:textId="77777777" w:rsidR="004E6AEA" w:rsidRPr="00B844FC" w:rsidRDefault="004E6AEA" w:rsidP="00FB6244">
            <w:pPr>
              <w:ind w:firstLine="0"/>
              <w:jc w:val="left"/>
            </w:pPr>
            <w:r w:rsidRPr="00B844FC">
              <w:rPr>
                <w:snapToGrid w:val="0"/>
              </w:rPr>
              <w:t>5 001 - 10 000</w:t>
            </w:r>
          </w:p>
        </w:tc>
        <w:tc>
          <w:tcPr>
            <w:tcW w:w="2268" w:type="dxa"/>
          </w:tcPr>
          <w:p w14:paraId="00951675" w14:textId="77777777" w:rsidR="004E6AEA" w:rsidRPr="009A1B40" w:rsidRDefault="004E6AEA" w:rsidP="00FB6244">
            <w:pPr>
              <w:ind w:firstLine="0"/>
              <w:jc w:val="center"/>
            </w:pPr>
            <w:r w:rsidRPr="009A1B40">
              <w:rPr>
                <w:snapToGrid w:val="0"/>
              </w:rPr>
              <w:t>5 až 10</w:t>
            </w:r>
          </w:p>
        </w:tc>
        <w:tc>
          <w:tcPr>
            <w:tcW w:w="2268" w:type="dxa"/>
            <w:vAlign w:val="bottom"/>
          </w:tcPr>
          <w:p w14:paraId="728B291E" w14:textId="77777777" w:rsidR="004E6AEA" w:rsidRPr="00D22021" w:rsidRDefault="004E6AEA" w:rsidP="003404E9">
            <w:pPr>
              <w:ind w:firstLine="0"/>
              <w:jc w:val="center"/>
            </w:pPr>
            <w:r w:rsidRPr="00D22021">
              <w:t>5</w:t>
            </w:r>
          </w:p>
        </w:tc>
      </w:tr>
      <w:tr w:rsidR="009A1B40" w:rsidRPr="009A1B40" w14:paraId="27C2B7DC" w14:textId="77777777" w:rsidTr="003404E9">
        <w:trPr>
          <w:trHeight w:val="270"/>
          <w:jc w:val="center"/>
        </w:trPr>
        <w:tc>
          <w:tcPr>
            <w:tcW w:w="2268" w:type="dxa"/>
          </w:tcPr>
          <w:p w14:paraId="4C555C2A" w14:textId="77777777" w:rsidR="004E6AEA" w:rsidRPr="00B844FC" w:rsidRDefault="004E6AEA" w:rsidP="00FB6244">
            <w:pPr>
              <w:ind w:firstLine="0"/>
              <w:jc w:val="left"/>
            </w:pPr>
            <w:r w:rsidRPr="00B844FC">
              <w:rPr>
                <w:snapToGrid w:val="0"/>
              </w:rPr>
              <w:t>10 001 - 20 000</w:t>
            </w:r>
          </w:p>
        </w:tc>
        <w:tc>
          <w:tcPr>
            <w:tcW w:w="2268" w:type="dxa"/>
          </w:tcPr>
          <w:p w14:paraId="01BD83D7" w14:textId="77777777" w:rsidR="004E6AEA" w:rsidRPr="009A1B40" w:rsidRDefault="004E6AEA" w:rsidP="00FB6244">
            <w:pPr>
              <w:ind w:firstLine="0"/>
              <w:jc w:val="center"/>
            </w:pPr>
            <w:r w:rsidRPr="009A1B40">
              <w:rPr>
                <w:snapToGrid w:val="0"/>
              </w:rPr>
              <w:t>10 až 15</w:t>
            </w:r>
          </w:p>
        </w:tc>
        <w:tc>
          <w:tcPr>
            <w:tcW w:w="2268" w:type="dxa"/>
            <w:vAlign w:val="bottom"/>
          </w:tcPr>
          <w:p w14:paraId="5E7774A5" w14:textId="39154482" w:rsidR="004E6AEA" w:rsidRPr="00D22021" w:rsidRDefault="002A4E09" w:rsidP="003404E9">
            <w:pPr>
              <w:ind w:firstLine="0"/>
              <w:jc w:val="center"/>
            </w:pPr>
            <w:r w:rsidRPr="00D22021">
              <w:t>8</w:t>
            </w:r>
          </w:p>
        </w:tc>
      </w:tr>
      <w:tr w:rsidR="009A1B40" w:rsidRPr="009A1B40" w14:paraId="0665B679" w14:textId="77777777" w:rsidTr="003404E9">
        <w:trPr>
          <w:trHeight w:val="270"/>
          <w:jc w:val="center"/>
        </w:trPr>
        <w:tc>
          <w:tcPr>
            <w:tcW w:w="2268" w:type="dxa"/>
          </w:tcPr>
          <w:p w14:paraId="74143C33" w14:textId="77777777" w:rsidR="004E6AEA" w:rsidRPr="00B844FC" w:rsidRDefault="004E6AEA" w:rsidP="00FB6244">
            <w:pPr>
              <w:ind w:firstLine="0"/>
              <w:jc w:val="left"/>
            </w:pPr>
            <w:r w:rsidRPr="00B844FC">
              <w:rPr>
                <w:snapToGrid w:val="0"/>
              </w:rPr>
              <w:t>20 001 - 40 000</w:t>
            </w:r>
          </w:p>
        </w:tc>
        <w:tc>
          <w:tcPr>
            <w:tcW w:w="2268" w:type="dxa"/>
          </w:tcPr>
          <w:p w14:paraId="47566318" w14:textId="77777777" w:rsidR="004E6AEA" w:rsidRPr="009A1B40" w:rsidRDefault="004E6AEA" w:rsidP="00FB6244">
            <w:pPr>
              <w:ind w:firstLine="0"/>
              <w:jc w:val="center"/>
            </w:pPr>
            <w:r w:rsidRPr="009A1B40">
              <w:rPr>
                <w:snapToGrid w:val="0"/>
              </w:rPr>
              <w:t>15 až 20</w:t>
            </w:r>
          </w:p>
        </w:tc>
        <w:tc>
          <w:tcPr>
            <w:tcW w:w="2268" w:type="dxa"/>
            <w:vAlign w:val="bottom"/>
          </w:tcPr>
          <w:p w14:paraId="58245F37" w14:textId="7FA3CD43" w:rsidR="004E6AEA" w:rsidRPr="00D22021" w:rsidRDefault="004E6AEA" w:rsidP="003404E9">
            <w:pPr>
              <w:ind w:firstLine="0"/>
              <w:jc w:val="center"/>
            </w:pPr>
            <w:r w:rsidRPr="00D22021">
              <w:t>1</w:t>
            </w:r>
            <w:r w:rsidR="002A4E09" w:rsidRPr="00D22021">
              <w:t>8</w:t>
            </w:r>
          </w:p>
        </w:tc>
      </w:tr>
      <w:tr w:rsidR="009A1B40" w:rsidRPr="009A1B40" w14:paraId="3BA8A161" w14:textId="77777777" w:rsidTr="003404E9">
        <w:trPr>
          <w:trHeight w:val="270"/>
          <w:jc w:val="center"/>
        </w:trPr>
        <w:tc>
          <w:tcPr>
            <w:tcW w:w="2268" w:type="dxa"/>
          </w:tcPr>
          <w:p w14:paraId="0715EC3E" w14:textId="2B39EEBA" w:rsidR="004E6AEA" w:rsidRPr="00B844FC" w:rsidRDefault="004E6AEA" w:rsidP="00E96176">
            <w:pPr>
              <w:ind w:firstLine="0"/>
              <w:jc w:val="left"/>
            </w:pPr>
            <w:r w:rsidRPr="00B844FC">
              <w:rPr>
                <w:snapToGrid w:val="0"/>
              </w:rPr>
              <w:t>Více než 40 00</w:t>
            </w:r>
            <w:r w:rsidR="00E96176">
              <w:rPr>
                <w:snapToGrid w:val="0"/>
              </w:rPr>
              <w:t>0</w:t>
            </w:r>
          </w:p>
        </w:tc>
        <w:tc>
          <w:tcPr>
            <w:tcW w:w="2268" w:type="dxa"/>
          </w:tcPr>
          <w:p w14:paraId="6F14C769" w14:textId="77777777" w:rsidR="004E6AEA" w:rsidRPr="009A1B40" w:rsidRDefault="004E6AEA" w:rsidP="00FB6244">
            <w:pPr>
              <w:ind w:firstLine="0"/>
              <w:jc w:val="center"/>
            </w:pPr>
            <w:r w:rsidRPr="009A1B40">
              <w:rPr>
                <w:snapToGrid w:val="0"/>
              </w:rPr>
              <w:t>20 a více</w:t>
            </w:r>
          </w:p>
        </w:tc>
        <w:tc>
          <w:tcPr>
            <w:tcW w:w="2268" w:type="dxa"/>
            <w:vAlign w:val="bottom"/>
          </w:tcPr>
          <w:p w14:paraId="0B32EC87" w14:textId="77777777" w:rsidR="004E6AEA" w:rsidRPr="00D22021" w:rsidRDefault="00211C3A" w:rsidP="003404E9">
            <w:pPr>
              <w:ind w:firstLine="0"/>
              <w:jc w:val="center"/>
            </w:pPr>
            <w:r w:rsidRPr="00D22021">
              <w:t>44</w:t>
            </w:r>
          </w:p>
        </w:tc>
      </w:tr>
    </w:tbl>
    <w:p w14:paraId="4F43D1C4" w14:textId="77777777" w:rsidR="004E6AEA" w:rsidRPr="00B844FC" w:rsidRDefault="004E6AEA" w:rsidP="009A1B40">
      <w:pPr>
        <w:ind w:firstLine="0"/>
      </w:pPr>
    </w:p>
    <w:p w14:paraId="77D329A3" w14:textId="688813C2" w:rsidR="00181642" w:rsidRDefault="00973D50" w:rsidP="009A1B40">
      <w:pPr>
        <w:pStyle w:val="slovn3a"/>
        <w:numPr>
          <w:ilvl w:val="0"/>
          <w:numId w:val="31"/>
        </w:numPr>
      </w:pPr>
      <w:r w:rsidRPr="009A1B40">
        <w:t>Knihovna poskytuje</w:t>
      </w:r>
      <w:r w:rsidR="00477C0B">
        <w:t>, s respektem k platným právním předpisům,</w:t>
      </w:r>
      <w:r w:rsidR="001A284D">
        <w:rPr>
          <w:rStyle w:val="Znakapoznpodarou"/>
        </w:rPr>
        <w:footnoteReference w:id="14"/>
      </w:r>
      <w:r w:rsidRPr="009A1B40">
        <w:t xml:space="preserve"> připojení </w:t>
      </w:r>
      <w:r w:rsidR="004D044B" w:rsidRPr="009A1B40">
        <w:t xml:space="preserve">k internetu </w:t>
      </w:r>
      <w:r w:rsidRPr="009A1B40">
        <w:t>pomocí Wi-Fi nebo přístupu na vnitřní síť knihovny. P</w:t>
      </w:r>
      <w:r w:rsidR="005E5554" w:rsidRPr="009A1B40">
        <w:t xml:space="preserve">okud </w:t>
      </w:r>
      <w:r w:rsidR="004D044B" w:rsidRPr="009A1B40">
        <w:t xml:space="preserve">nabízí připojení </w:t>
      </w:r>
      <w:r w:rsidRPr="009A1B40">
        <w:t>pomocí Wi-Fi, počet veřejně přís</w:t>
      </w:r>
      <w:r w:rsidR="009A1B40" w:rsidRPr="009A1B40">
        <w:t>tupných stanic je možné snížit.</w:t>
      </w:r>
    </w:p>
    <w:p w14:paraId="20BE706E" w14:textId="77777777" w:rsidR="009A1B40" w:rsidRPr="009A1B40" w:rsidRDefault="009A1B40" w:rsidP="009A1B40">
      <w:pPr>
        <w:pStyle w:val="slovn3a"/>
        <w:numPr>
          <w:ilvl w:val="0"/>
          <w:numId w:val="31"/>
        </w:numPr>
      </w:pPr>
      <w:r w:rsidRPr="009A1B40">
        <w:t>Knihovna nabízí uživatelům dostatečné množství zásuvek pro notebooky, chytré telefony, tablety apod. Počítače a další informační technologie je nezbytné obnovovat nejpozději po pěti letech.</w:t>
      </w:r>
    </w:p>
    <w:p w14:paraId="4DBD3F86" w14:textId="77777777" w:rsidR="009A1B40" w:rsidRPr="00B844FC" w:rsidRDefault="009A1B40" w:rsidP="009A1B40">
      <w:pPr>
        <w:pStyle w:val="slovn3a"/>
        <w:numPr>
          <w:ilvl w:val="0"/>
          <w:numId w:val="31"/>
        </w:numPr>
      </w:pPr>
      <w:r w:rsidRPr="00D53381">
        <w:t>Provozovatel knihovny v obci, která má více než 10 000 obyvatel, a krajská knihovna, která v místě svého sídla plní funkci základní knihovny, vybaví vybraná studijní místa technikou a umožní využití zvukových, zvukově obrazových a multimediálních dokumentů včetně internetu pro zrakově postižené a nevidomé</w:t>
      </w:r>
      <w:r w:rsidRPr="00B844FC">
        <w:t>.</w:t>
      </w:r>
    </w:p>
    <w:p w14:paraId="0A4BD6FF" w14:textId="5698F387" w:rsidR="004E6AEA" w:rsidRPr="0017118E" w:rsidRDefault="00110362" w:rsidP="003404E9">
      <w:pPr>
        <w:pStyle w:val="Nadpis4"/>
      </w:pPr>
      <w:r w:rsidRPr="0017118E">
        <w:t>Článek 9</w:t>
      </w:r>
      <w:r w:rsidR="004E6AEA" w:rsidRPr="0017118E">
        <w:t>.</w:t>
      </w:r>
      <w:r w:rsidR="000766CF" w:rsidRPr="0017118E">
        <w:br/>
      </w:r>
      <w:r w:rsidR="004E6AEA" w:rsidRPr="0017118E">
        <w:t xml:space="preserve">Webová </w:t>
      </w:r>
      <w:r w:rsidR="002B2A22" w:rsidRPr="0017118E">
        <w:t>stránka</w:t>
      </w:r>
      <w:r w:rsidR="004E6AEA" w:rsidRPr="0017118E">
        <w:t xml:space="preserve"> knihovny</w:t>
      </w:r>
    </w:p>
    <w:p w14:paraId="1A83B5AD" w14:textId="4C1588FF" w:rsidR="00C7264F" w:rsidRPr="0017118E" w:rsidRDefault="00C7264F" w:rsidP="004A7F5A">
      <w:pPr>
        <w:rPr>
          <w:i/>
        </w:rPr>
      </w:pPr>
      <w:r w:rsidRPr="0017118E">
        <w:rPr>
          <w:i/>
        </w:rPr>
        <w:t>„</w:t>
      </w:r>
      <w:r w:rsidR="004E6AEA" w:rsidRPr="0017118E">
        <w:rPr>
          <w:i/>
        </w:rPr>
        <w:t>Knihovna má využívat informační a komunikační technologie, aby umožnila lidem přístup ke svým elektronickým fondům a službám z jejich domova, školy nebo pracoviště. Pokud je to možné, mají být dostupné 24 hodin denně, sedm dní v týdnu.</w:t>
      </w:r>
      <w:r w:rsidRPr="0017118E">
        <w:rPr>
          <w:i/>
        </w:rPr>
        <w:t>“</w:t>
      </w:r>
    </w:p>
    <w:p w14:paraId="49DD7ACC" w14:textId="77777777" w:rsidR="004E6AEA" w:rsidRPr="00AC7DFE" w:rsidRDefault="004E6AEA" w:rsidP="00FF2AC8">
      <w:pPr>
        <w:jc w:val="right"/>
        <w:rPr>
          <w:i/>
          <w:sz w:val="20"/>
          <w:szCs w:val="20"/>
        </w:rPr>
      </w:pPr>
      <w:r w:rsidRPr="00AC7DFE">
        <w:rPr>
          <w:i/>
          <w:sz w:val="20"/>
          <w:szCs w:val="20"/>
        </w:rPr>
        <w:t>(Směrnice IFLA: Služby veřejných knihoven</w:t>
      </w:r>
      <w:r w:rsidR="00C7264F" w:rsidRPr="00AC7DFE">
        <w:rPr>
          <w:i/>
          <w:sz w:val="20"/>
          <w:szCs w:val="20"/>
        </w:rPr>
        <w:t>, článek 9</w:t>
      </w:r>
      <w:r w:rsidRPr="00AC7DFE">
        <w:rPr>
          <w:i/>
          <w:sz w:val="20"/>
          <w:szCs w:val="20"/>
        </w:rPr>
        <w:t>)</w:t>
      </w:r>
    </w:p>
    <w:p w14:paraId="50BCD2DA" w14:textId="44C353B7" w:rsidR="004E6AEA" w:rsidRPr="0017118E" w:rsidRDefault="004E6AEA" w:rsidP="00AC7DFE">
      <w:pPr>
        <w:spacing w:after="240"/>
        <w:ind w:firstLine="0"/>
      </w:pPr>
      <w:r w:rsidRPr="0017118E">
        <w:rPr>
          <w:b/>
        </w:rPr>
        <w:t>Indikátor:</w:t>
      </w:r>
      <w:r w:rsidRPr="0017118E">
        <w:t xml:space="preserve"> Dostupnost informací o knihovně a jejích službách dálkovým přístupem je zajištěna prostřednictvím webové </w:t>
      </w:r>
      <w:r w:rsidR="00870AAC" w:rsidRPr="0017118E">
        <w:t>stránky</w:t>
      </w:r>
      <w:r w:rsidRPr="0017118E">
        <w:t xml:space="preserve"> knihovny</w:t>
      </w:r>
      <w:r w:rsidR="00F80DE1" w:rsidRPr="0017118E">
        <w:t xml:space="preserve"> a pomocí sociálních sítí</w:t>
      </w:r>
      <w:r w:rsidRPr="0017118E">
        <w:t>.</w:t>
      </w:r>
    </w:p>
    <w:p w14:paraId="76F1E0DD" w14:textId="146F6CDF" w:rsidR="004E6AEA" w:rsidRDefault="007216BA" w:rsidP="00C700EA">
      <w:pPr>
        <w:pStyle w:val="slovn3a"/>
        <w:numPr>
          <w:ilvl w:val="0"/>
          <w:numId w:val="0"/>
        </w:numPr>
      </w:pPr>
      <w:r w:rsidRPr="0017118E">
        <w:t xml:space="preserve">1) </w:t>
      </w:r>
      <w:r w:rsidR="004E6AEA" w:rsidRPr="0017118E">
        <w:t xml:space="preserve">Webová </w:t>
      </w:r>
      <w:r w:rsidR="006D5AE5" w:rsidRPr="0017118E">
        <w:t>stránka</w:t>
      </w:r>
      <w:r w:rsidR="004E6AEA" w:rsidRPr="0017118E">
        <w:t xml:space="preserve"> má vlastní doménu na internetu nebo využívá domény svého provozovatele. Skládá se ze souboru digitálních dokumentů obsahujících základní informace o knihovně a zprostředkujících elektronické služby knihovny (např. elektronický katalog, licencované i vlastní databáze, on-line výpůjční služby, on-line informační služby).</w:t>
      </w:r>
    </w:p>
    <w:p w14:paraId="69B731EA" w14:textId="67819ED1" w:rsidR="007D730A" w:rsidRPr="0017118E" w:rsidRDefault="007216BA" w:rsidP="00151DAA">
      <w:pPr>
        <w:pStyle w:val="slovn3a"/>
        <w:numPr>
          <w:ilvl w:val="0"/>
          <w:numId w:val="0"/>
        </w:numPr>
        <w:ind w:left="426" w:hanging="426"/>
      </w:pPr>
      <w:r w:rsidRPr="0017118E">
        <w:t xml:space="preserve">2) </w:t>
      </w:r>
      <w:r w:rsidR="004E6AEA" w:rsidRPr="0017118E">
        <w:t xml:space="preserve">Webová </w:t>
      </w:r>
      <w:r w:rsidR="006D5AE5" w:rsidRPr="0017118E">
        <w:t>stránka</w:t>
      </w:r>
      <w:r w:rsidR="004E6AEA" w:rsidRPr="0017118E">
        <w:t xml:space="preserve"> knihovny mus</w:t>
      </w:r>
      <w:r w:rsidR="0017118E">
        <w:t>í zahrnovat alespoň tyto údaje:</w:t>
      </w:r>
    </w:p>
    <w:p w14:paraId="3402DF09" w14:textId="485E1459" w:rsidR="007D730A" w:rsidRPr="0017118E" w:rsidRDefault="0017118E" w:rsidP="00FF2AC8">
      <w:pPr>
        <w:pStyle w:val="slovn3a"/>
        <w:numPr>
          <w:ilvl w:val="0"/>
          <w:numId w:val="28"/>
        </w:numPr>
      </w:pPr>
      <w:r>
        <w:t>název a sídlo knihovny,</w:t>
      </w:r>
    </w:p>
    <w:p w14:paraId="6D332DDD" w14:textId="085E78E9" w:rsidR="007D730A" w:rsidRPr="007D730A" w:rsidRDefault="0017118E" w:rsidP="00FF2AC8">
      <w:pPr>
        <w:pStyle w:val="slovn3a"/>
        <w:numPr>
          <w:ilvl w:val="0"/>
          <w:numId w:val="28"/>
        </w:numPr>
      </w:pPr>
      <w:r>
        <w:t>kontaktní údaje,</w:t>
      </w:r>
    </w:p>
    <w:p w14:paraId="5F737011" w14:textId="649214E0" w:rsidR="007D730A" w:rsidRPr="0017118E" w:rsidRDefault="004E6AEA" w:rsidP="00FF2AC8">
      <w:pPr>
        <w:pStyle w:val="slovn3a"/>
        <w:numPr>
          <w:ilvl w:val="0"/>
          <w:numId w:val="28"/>
        </w:numPr>
      </w:pPr>
      <w:r w:rsidRPr="0017118E">
        <w:t>název zřizovatele</w:t>
      </w:r>
      <w:r w:rsidR="007D730A" w:rsidRPr="0017118E">
        <w:t>/</w:t>
      </w:r>
      <w:r w:rsidR="0017118E">
        <w:t>provozovatele,</w:t>
      </w:r>
    </w:p>
    <w:p w14:paraId="6A9F34E2" w14:textId="1FAD6494" w:rsidR="007D730A" w:rsidRPr="0017118E" w:rsidRDefault="004E6AEA" w:rsidP="00FF2AC8">
      <w:pPr>
        <w:pStyle w:val="slovn3a"/>
        <w:numPr>
          <w:ilvl w:val="0"/>
          <w:numId w:val="28"/>
        </w:numPr>
      </w:pPr>
      <w:r w:rsidRPr="0017118E">
        <w:t>str</w:t>
      </w:r>
      <w:r w:rsidR="0017118E">
        <w:t>učnou charakteristiku knihovny,</w:t>
      </w:r>
    </w:p>
    <w:p w14:paraId="78BCB3D7" w14:textId="24920101" w:rsidR="007D730A" w:rsidRPr="0017118E" w:rsidRDefault="0017118E" w:rsidP="00FF2AC8">
      <w:pPr>
        <w:pStyle w:val="slovn3a"/>
        <w:numPr>
          <w:ilvl w:val="0"/>
          <w:numId w:val="28"/>
        </w:numPr>
      </w:pPr>
      <w:r>
        <w:t>výčet oddělení (existují-li),</w:t>
      </w:r>
    </w:p>
    <w:p w14:paraId="7A4C34F7" w14:textId="1AB50204" w:rsidR="007D730A" w:rsidRPr="0017118E" w:rsidRDefault="004E6AEA" w:rsidP="00FF2AC8">
      <w:pPr>
        <w:pStyle w:val="slovn3a"/>
        <w:numPr>
          <w:ilvl w:val="0"/>
          <w:numId w:val="28"/>
        </w:numPr>
      </w:pPr>
      <w:r w:rsidRPr="0017118E">
        <w:t xml:space="preserve">provozní </w:t>
      </w:r>
      <w:r w:rsidR="0017118E">
        <w:t>dobu,</w:t>
      </w:r>
    </w:p>
    <w:p w14:paraId="5898DD4B" w14:textId="0477C103" w:rsidR="007D730A" w:rsidRPr="0017118E" w:rsidRDefault="00C561E6" w:rsidP="00FF2AC8">
      <w:pPr>
        <w:pStyle w:val="slovn3a"/>
        <w:numPr>
          <w:ilvl w:val="0"/>
          <w:numId w:val="28"/>
        </w:numPr>
      </w:pPr>
      <w:r w:rsidRPr="0017118E">
        <w:t xml:space="preserve">základní dokumenty o knihovně, </w:t>
      </w:r>
      <w:r w:rsidR="0017118E">
        <w:t>knihovní řád,</w:t>
      </w:r>
    </w:p>
    <w:p w14:paraId="7B6E5FEF" w14:textId="4C13EEBA" w:rsidR="007D730A" w:rsidRPr="0017118E" w:rsidRDefault="004E6AEA" w:rsidP="00FF2AC8">
      <w:pPr>
        <w:pStyle w:val="slovn3a"/>
        <w:numPr>
          <w:ilvl w:val="0"/>
          <w:numId w:val="28"/>
        </w:numPr>
      </w:pPr>
      <w:r w:rsidRPr="0017118E">
        <w:t>přehled</w:t>
      </w:r>
      <w:r w:rsidR="0017118E">
        <w:t xml:space="preserve"> nabízených služeb,</w:t>
      </w:r>
    </w:p>
    <w:p w14:paraId="54633DEC" w14:textId="33BA4058" w:rsidR="007216BA" w:rsidRPr="0017118E" w:rsidRDefault="006D5AE5" w:rsidP="007216BA">
      <w:pPr>
        <w:pStyle w:val="slovn3a"/>
        <w:numPr>
          <w:ilvl w:val="0"/>
          <w:numId w:val="28"/>
        </w:numPr>
      </w:pPr>
      <w:r w:rsidRPr="0017118E">
        <w:lastRenderedPageBreak/>
        <w:t>ceník služeb</w:t>
      </w:r>
      <w:r w:rsidR="00801B5F" w:rsidRPr="0017118E">
        <w:t>.</w:t>
      </w:r>
    </w:p>
    <w:p w14:paraId="7E4B685D" w14:textId="77777777" w:rsidR="007216BA" w:rsidRPr="0017118E" w:rsidRDefault="007216BA" w:rsidP="0017118E">
      <w:pPr>
        <w:pStyle w:val="slovn3a"/>
        <w:numPr>
          <w:ilvl w:val="0"/>
          <w:numId w:val="0"/>
        </w:numPr>
        <w:ind w:left="426" w:hanging="360"/>
      </w:pPr>
    </w:p>
    <w:p w14:paraId="2DEFABA0" w14:textId="303C92D2" w:rsidR="004E6AEA" w:rsidRPr="0017118E" w:rsidRDefault="0017118E" w:rsidP="007216BA">
      <w:pPr>
        <w:pStyle w:val="slovn3a"/>
        <w:numPr>
          <w:ilvl w:val="0"/>
          <w:numId w:val="0"/>
        </w:numPr>
        <w:ind w:left="66"/>
      </w:pPr>
      <w:r>
        <w:t xml:space="preserve">3) </w:t>
      </w:r>
      <w:r w:rsidR="004E6AEA" w:rsidRPr="00B844FC">
        <w:t>Základním doporučeným údajem j</w:t>
      </w:r>
      <w:r w:rsidR="00973D50">
        <w:t>sou</w:t>
      </w:r>
      <w:r w:rsidR="004E6AEA" w:rsidRPr="00B844FC">
        <w:t xml:space="preserve"> </w:t>
      </w:r>
      <w:r w:rsidR="004E6AEA" w:rsidRPr="0017118E">
        <w:t>odkaz</w:t>
      </w:r>
      <w:r w:rsidR="00973D50" w:rsidRPr="0017118E">
        <w:t>y</w:t>
      </w:r>
      <w:r w:rsidR="004E6AEA" w:rsidRPr="0017118E">
        <w:t xml:space="preserve"> na </w:t>
      </w:r>
      <w:r w:rsidR="00C67817" w:rsidRPr="0017118E">
        <w:t>portál KNIHOVNY.CZ</w:t>
      </w:r>
      <w:r w:rsidR="00C67817" w:rsidRPr="0017118E">
        <w:rPr>
          <w:rStyle w:val="Znakapoznpodarou"/>
        </w:rPr>
        <w:footnoteReference w:id="15"/>
      </w:r>
      <w:r w:rsidR="00C67817" w:rsidRPr="0017118E">
        <w:t xml:space="preserve">, </w:t>
      </w:r>
      <w:r w:rsidR="004E6AEA" w:rsidRPr="0017118E">
        <w:t>Souborný katalog ČR</w:t>
      </w:r>
      <w:r w:rsidR="00C67817" w:rsidRPr="0017118E">
        <w:rPr>
          <w:rStyle w:val="Znakapoznpodarou"/>
        </w:rPr>
        <w:footnoteReference w:id="16"/>
      </w:r>
      <w:r w:rsidR="004E6AEA" w:rsidRPr="0017118E">
        <w:t>, další spolupracující knihovny a na centrální služby, např. „Ptejte se knihovny“</w:t>
      </w:r>
      <w:r w:rsidR="00EC088A" w:rsidRPr="0017118E">
        <w:rPr>
          <w:rStyle w:val="Znakapoznpodarou"/>
        </w:rPr>
        <w:footnoteReference w:id="17"/>
      </w:r>
      <w:r w:rsidR="004E6AEA" w:rsidRPr="0017118E">
        <w:t>.</w:t>
      </w:r>
    </w:p>
    <w:p w14:paraId="5E97EC12" w14:textId="6D79E310" w:rsidR="00370330" w:rsidRPr="0017118E" w:rsidRDefault="007216BA" w:rsidP="007216BA">
      <w:pPr>
        <w:pStyle w:val="slovn3a"/>
        <w:numPr>
          <w:ilvl w:val="0"/>
          <w:numId w:val="0"/>
        </w:numPr>
        <w:ind w:left="66"/>
      </w:pPr>
      <w:r w:rsidRPr="0017118E">
        <w:t xml:space="preserve">4) </w:t>
      </w:r>
      <w:r w:rsidR="004E6AEA" w:rsidRPr="0017118E">
        <w:t xml:space="preserve">Webová </w:t>
      </w:r>
      <w:r w:rsidR="006D5AE5" w:rsidRPr="0017118E">
        <w:t>stránka</w:t>
      </w:r>
      <w:r w:rsidR="004E6AEA" w:rsidRPr="0017118E">
        <w:t xml:space="preserve"> knihovny je zpracována v souladu s pravidly tvorby přístupného webu</w:t>
      </w:r>
      <w:r w:rsidR="004E6AEA" w:rsidRPr="0017118E">
        <w:rPr>
          <w:rStyle w:val="Znakapoznpodarou"/>
        </w:rPr>
        <w:footnoteReference w:id="18"/>
      </w:r>
      <w:r w:rsidR="004E6AEA" w:rsidRPr="0017118E">
        <w:t xml:space="preserve"> s ohledem na potřeby zrakově a sluchově znevýhodněných uživatelů a uživatelů se sníženou hybností rukou nebo poruchami soustředění.</w:t>
      </w:r>
      <w:r w:rsidR="006D5AE5" w:rsidRPr="0017118E">
        <w:t xml:space="preserve"> Webová stránka využívá protokol HTTPS, který zajišťuje autentizaci a důvěrnost přenášených dat.</w:t>
      </w:r>
    </w:p>
    <w:p w14:paraId="05484B4E" w14:textId="77777777" w:rsidR="004E6AEA" w:rsidRPr="0017118E" w:rsidRDefault="00110362" w:rsidP="003404E9">
      <w:pPr>
        <w:pStyle w:val="Nadpis4"/>
      </w:pPr>
      <w:r w:rsidRPr="00B844FC">
        <w:t>Článek 10</w:t>
      </w:r>
      <w:r w:rsidR="004E6AEA" w:rsidRPr="00B844FC">
        <w:t>.</w:t>
      </w:r>
      <w:r w:rsidR="009848B8">
        <w:br/>
      </w:r>
      <w:r w:rsidR="004E6AEA" w:rsidRPr="0017118E">
        <w:t>Elektronický katalog knihovny (OPAC) na internetu</w:t>
      </w:r>
      <w:r w:rsidR="004E6AEA" w:rsidRPr="0017118E">
        <w:rPr>
          <w:rStyle w:val="Znakapoznpodarou"/>
        </w:rPr>
        <w:footnoteReference w:id="19"/>
      </w:r>
    </w:p>
    <w:p w14:paraId="417D9DDE" w14:textId="77777777" w:rsidR="00907467" w:rsidRPr="0017118E" w:rsidRDefault="00907467" w:rsidP="004A7F5A">
      <w:pPr>
        <w:rPr>
          <w:i/>
        </w:rPr>
      </w:pPr>
      <w:r w:rsidRPr="0017118E">
        <w:rPr>
          <w:i/>
        </w:rPr>
        <w:t>„</w:t>
      </w:r>
      <w:r w:rsidR="004E6AEA" w:rsidRPr="0017118E">
        <w:rPr>
          <w:i/>
        </w:rPr>
        <w:t>Má-li knihovna katalog na internetu, zlepšuje se její dostupnost pro veřejnost a pro jiné knihovny a zvyšuje se kvalita služeb.</w:t>
      </w:r>
      <w:r w:rsidRPr="0017118E">
        <w:rPr>
          <w:i/>
        </w:rPr>
        <w:t>“</w:t>
      </w:r>
    </w:p>
    <w:p w14:paraId="0B1E1FC6" w14:textId="77777777" w:rsidR="004E6AEA" w:rsidRPr="008A0E1A" w:rsidRDefault="004E6AEA" w:rsidP="00FF2AC8">
      <w:pPr>
        <w:jc w:val="right"/>
        <w:rPr>
          <w:i/>
          <w:sz w:val="20"/>
          <w:szCs w:val="20"/>
        </w:rPr>
      </w:pPr>
      <w:r w:rsidRPr="008A0E1A">
        <w:rPr>
          <w:i/>
          <w:sz w:val="20"/>
          <w:szCs w:val="20"/>
        </w:rPr>
        <w:t>(Směrnice IFLA: Služby veřejných knihoven</w:t>
      </w:r>
      <w:r w:rsidR="00907467" w:rsidRPr="008A0E1A">
        <w:rPr>
          <w:i/>
          <w:sz w:val="20"/>
          <w:szCs w:val="20"/>
        </w:rPr>
        <w:t>, článek 10</w:t>
      </w:r>
      <w:r w:rsidRPr="008A0E1A">
        <w:rPr>
          <w:i/>
          <w:sz w:val="20"/>
          <w:szCs w:val="20"/>
        </w:rPr>
        <w:t>)</w:t>
      </w:r>
    </w:p>
    <w:p w14:paraId="1DB5A568" w14:textId="4D497CC5" w:rsidR="004E6AEA" w:rsidRPr="0017118E" w:rsidRDefault="004E6AEA" w:rsidP="003404E9">
      <w:pPr>
        <w:ind w:firstLine="0"/>
      </w:pPr>
      <w:r w:rsidRPr="00AC7DFE">
        <w:rPr>
          <w:b/>
        </w:rPr>
        <w:t>Indikátor:</w:t>
      </w:r>
      <w:r w:rsidRPr="00AC7DFE">
        <w:t xml:space="preserve"> </w:t>
      </w:r>
      <w:r w:rsidRPr="0017118E">
        <w:t>Knihovny působící v obcích s počtem obyvatel vyšším než 500 nabízí elektronický katalog knihovny, který může veřejnost využívat prostřednictvím dálkového přístupu.</w:t>
      </w:r>
    </w:p>
    <w:p w14:paraId="174475D3" w14:textId="3868D47A" w:rsidR="00F80DE1" w:rsidRPr="0017118E" w:rsidRDefault="00F80DE1" w:rsidP="00151DAA">
      <w:pPr>
        <w:ind w:firstLine="0"/>
        <w:rPr>
          <w:bCs/>
        </w:rPr>
      </w:pPr>
      <w:r w:rsidRPr="0017118E">
        <w:t>Knihovny s počtem obyvatel nižším než 500, pokud nemají vlastní elektronický katalog, prezentují svůj fond prostřednictvím regionálního elektronického katalogu.</w:t>
      </w:r>
    </w:p>
    <w:p w14:paraId="5C973C47" w14:textId="325B82F4" w:rsidR="004E6AEA" w:rsidRPr="0017118E" w:rsidRDefault="00110362" w:rsidP="003404E9">
      <w:pPr>
        <w:pStyle w:val="Nadpis4"/>
      </w:pPr>
      <w:r w:rsidRPr="0017118E">
        <w:t>Článek 11</w:t>
      </w:r>
      <w:r w:rsidR="004E6AEA" w:rsidRPr="0017118E">
        <w:t>.</w:t>
      </w:r>
      <w:r w:rsidR="000766CF" w:rsidRPr="0017118E">
        <w:br/>
      </w:r>
      <w:r w:rsidR="00BD627A" w:rsidRPr="0017118E">
        <w:t>Personální zajištění knihovny</w:t>
      </w:r>
    </w:p>
    <w:p w14:paraId="30F06428" w14:textId="77777777" w:rsidR="003D29AE" w:rsidRPr="00BC2AAE" w:rsidRDefault="003D29AE" w:rsidP="003404E9">
      <w:r w:rsidRPr="00BC2AAE">
        <w:rPr>
          <w:i/>
        </w:rPr>
        <w:t>„</w:t>
      </w:r>
      <w:r w:rsidR="004E6AEA" w:rsidRPr="00BC2AAE">
        <w:rPr>
          <w:i/>
        </w:rPr>
        <w:t>Knihovna musí být efektivně organizována a udržovat profesionální úroveň své činnosti. Knihovník je aktivním spojovacím článkem mezi uživatelem a knihovními fondy. Předpokladem zabezpečení dostatečné úrovně služeb je knihovníkova odborná kvalifikace a</w:t>
      </w:r>
      <w:r w:rsidR="00907467" w:rsidRPr="00BC2AAE">
        <w:rPr>
          <w:i/>
        </w:rPr>
        <w:t> </w:t>
      </w:r>
      <w:r w:rsidR="004E6AEA" w:rsidRPr="00BC2AAE">
        <w:rPr>
          <w:i/>
        </w:rPr>
        <w:t>jeho další vzdělávání.</w:t>
      </w:r>
      <w:r w:rsidRPr="00BC2AAE">
        <w:t>“</w:t>
      </w:r>
    </w:p>
    <w:p w14:paraId="113F2FBF" w14:textId="77777777" w:rsidR="004E6AEA" w:rsidRPr="00AC7DFE" w:rsidRDefault="004E6AEA" w:rsidP="00A532B7">
      <w:pPr>
        <w:spacing w:before="0"/>
        <w:jc w:val="right"/>
        <w:rPr>
          <w:i/>
          <w:sz w:val="20"/>
          <w:szCs w:val="20"/>
        </w:rPr>
      </w:pPr>
      <w:r w:rsidRPr="00AC7DFE">
        <w:rPr>
          <w:i/>
          <w:sz w:val="20"/>
          <w:szCs w:val="20"/>
        </w:rPr>
        <w:t>(Manifest IFLA/UNESCO)</w:t>
      </w:r>
    </w:p>
    <w:p w14:paraId="1F70C0D0" w14:textId="05091B70" w:rsidR="00166297" w:rsidRPr="00427F4A" w:rsidRDefault="004E6AEA" w:rsidP="00151DAA">
      <w:r w:rsidRPr="00427F4A">
        <w:t xml:space="preserve">Počet pracovníků v </w:t>
      </w:r>
      <w:r w:rsidR="002B2A22" w:rsidRPr="00427F4A">
        <w:t>každé</w:t>
      </w:r>
      <w:r w:rsidRPr="00427F4A">
        <w:t xml:space="preserve"> knihovn</w:t>
      </w:r>
      <w:r w:rsidR="00465226" w:rsidRPr="00427F4A">
        <w:t>ě</w:t>
      </w:r>
      <w:r w:rsidRPr="00427F4A">
        <w:t xml:space="preserve"> je ovlivňován řadou faktorů, např. </w:t>
      </w:r>
      <w:r w:rsidR="003913AA" w:rsidRPr="00427F4A">
        <w:t xml:space="preserve">rozsahem provozní doby pro veřejnost, rozsahem knihovního fondu a jeho uspořádáním, </w:t>
      </w:r>
      <w:r w:rsidRPr="00427F4A">
        <w:t xml:space="preserve">počtem budov </w:t>
      </w:r>
      <w:r w:rsidR="003913AA" w:rsidRPr="00427F4A">
        <w:t xml:space="preserve">nebo poboček </w:t>
      </w:r>
      <w:r w:rsidRPr="00427F4A">
        <w:t xml:space="preserve">knihovny, </w:t>
      </w:r>
      <w:r w:rsidR="003913AA" w:rsidRPr="00427F4A">
        <w:t>složitostí organizační struktury,</w:t>
      </w:r>
      <w:r w:rsidRPr="00427F4A">
        <w:t xml:space="preserve"> </w:t>
      </w:r>
      <w:r w:rsidR="00981348" w:rsidRPr="00427F4A">
        <w:t>rozsahem služeb a stupněm jejich využívání, počtem uživatelů</w:t>
      </w:r>
      <w:r w:rsidRPr="00427F4A">
        <w:t xml:space="preserve"> a nu</w:t>
      </w:r>
      <w:r w:rsidR="00151DAA">
        <w:t xml:space="preserve">tností zaměstnávat specialisty. </w:t>
      </w:r>
      <w:r w:rsidR="00166297" w:rsidRPr="00427F4A">
        <w:t xml:space="preserve">Počet pracovníků se zvyšuje, pokud knihovna rozšiřuje svou činnost pořádáním kulturních, vzdělávacích a komunitních aktivit. </w:t>
      </w:r>
      <w:r w:rsidR="00E87ECC" w:rsidRPr="00427F4A">
        <w:t>V případě, že</w:t>
      </w:r>
      <w:r w:rsidRPr="00427F4A">
        <w:t xml:space="preserve"> některé služby poskytuje nebo doplňuje regionální nebo ústřední národní instituce, ovlivňuje to </w:t>
      </w:r>
      <w:r w:rsidR="0071405F" w:rsidRPr="00427F4A">
        <w:t>také</w:t>
      </w:r>
      <w:r w:rsidRPr="00427F4A">
        <w:t xml:space="preserve"> počet pracovníků na místní úrovni. Rozhodujícím </w:t>
      </w:r>
      <w:r w:rsidRPr="00427F4A">
        <w:lastRenderedPageBreak/>
        <w:t>faktorem je také množství finančních prostředků. Koncepce odpovídajícího personálního zajištění služeb knihovny by měla být uskutečňována na základě procesu aplikace metody výkonnostního srovnávání s knihovnami srovnatelné velikosti a podobných charakteristik (</w:t>
      </w:r>
      <w:proofErr w:type="spellStart"/>
      <w:r w:rsidRPr="00427F4A">
        <w:t>benchmarking</w:t>
      </w:r>
      <w:proofErr w:type="spellEnd"/>
      <w:r w:rsidRPr="00427F4A">
        <w:t>)</w:t>
      </w:r>
      <w:r w:rsidR="00107A64" w:rsidRPr="00427F4A">
        <w:rPr>
          <w:rStyle w:val="Znakapoznpodarou"/>
        </w:rPr>
        <w:footnoteReference w:id="20"/>
      </w:r>
      <w:r w:rsidR="00427F4A">
        <w:t>.</w:t>
      </w:r>
    </w:p>
    <w:p w14:paraId="38BA7911" w14:textId="2EEA7B23" w:rsidR="00427F4A" w:rsidRPr="0017118E" w:rsidRDefault="00427F4A" w:rsidP="00427F4A">
      <w:pPr>
        <w:pStyle w:val="Nadpis4"/>
      </w:pPr>
      <w:r>
        <w:t>Článek 12</w:t>
      </w:r>
      <w:r w:rsidRPr="0017118E">
        <w:t>.</w:t>
      </w:r>
      <w:r w:rsidRPr="0017118E">
        <w:br/>
      </w:r>
      <w:r>
        <w:t>Kvalifikace a vzdělávání pracovníků knihovny</w:t>
      </w:r>
    </w:p>
    <w:p w14:paraId="7927A181" w14:textId="010E583C" w:rsidR="00BD627A" w:rsidRPr="00427F4A" w:rsidRDefault="00BD627A" w:rsidP="00315040">
      <w:pPr>
        <w:ind w:firstLine="708"/>
      </w:pPr>
      <w:r w:rsidRPr="00427F4A">
        <w:t xml:space="preserve">Odborné knihovnické činnosti knihovny zajišťuje odborný </w:t>
      </w:r>
      <w:r w:rsidR="00420E4E" w:rsidRPr="00427F4A">
        <w:t>pracovník</w:t>
      </w:r>
      <w:r w:rsidRPr="00427F4A">
        <w:t xml:space="preserve"> knihovny s minimálně středoškolským vzděláním, který má odbornou způsobilost.</w:t>
      </w:r>
      <w:r w:rsidR="003A5FC3" w:rsidRPr="00427F4A">
        <w:t xml:space="preserve"> </w:t>
      </w:r>
      <w:r w:rsidR="008E4019">
        <w:t>O</w:t>
      </w:r>
      <w:r w:rsidRPr="00427F4A">
        <w:t>dbornou způsobilostí se rozumí souhrn teoretických vědomostí, znalostí odborných standardů, procesů a právních předpisů upravujících činnost knihovny.</w:t>
      </w:r>
    </w:p>
    <w:p w14:paraId="006BC735" w14:textId="60314FB5" w:rsidR="00BD627A" w:rsidRPr="00427F4A" w:rsidRDefault="00BD627A" w:rsidP="00151DAA">
      <w:pPr>
        <w:ind w:firstLine="0"/>
      </w:pPr>
      <w:r w:rsidRPr="00427F4A">
        <w:t xml:space="preserve">Provozovatel knihovny usiluje o soustavné zvyšování kvalifikace odborných </w:t>
      </w:r>
      <w:r w:rsidR="00420E4E" w:rsidRPr="00427F4A">
        <w:t>pracovníků</w:t>
      </w:r>
      <w:r w:rsidR="00575AAA" w:rsidRPr="00427F4A">
        <w:rPr>
          <w:rStyle w:val="Znakapoznpodarou"/>
        </w:rPr>
        <w:footnoteReference w:id="21"/>
      </w:r>
      <w:r w:rsidRPr="00427F4A">
        <w:t>.</w:t>
      </w:r>
    </w:p>
    <w:p w14:paraId="5E65CED1" w14:textId="4279848D" w:rsidR="004E6AEA" w:rsidRPr="00427F4A" w:rsidRDefault="004E6AEA" w:rsidP="003404E9">
      <w:pPr>
        <w:ind w:firstLine="0"/>
      </w:pPr>
      <w:r w:rsidRPr="00427F4A">
        <w:rPr>
          <w:b/>
        </w:rPr>
        <w:t xml:space="preserve">Indikátor: </w:t>
      </w:r>
      <w:r w:rsidRPr="00427F4A">
        <w:t>Dalšímu odbornému vzdělávání je ročně na 1 pracovníka věnováno minimálně 48 pracovních hodin. Pracovníci působící v knihovnách s rozsahem provozní doby menším než 1</w:t>
      </w:r>
      <w:r w:rsidR="002E0E77" w:rsidRPr="00427F4A">
        <w:t>5</w:t>
      </w:r>
      <w:r w:rsidRPr="00427F4A">
        <w:t xml:space="preserve"> provozních hodin týdně absolvují další odborné vzdělávání ročně v rozsahu nejméně 8</w:t>
      </w:r>
      <w:r w:rsidR="00907467" w:rsidRPr="00427F4A">
        <w:t> </w:t>
      </w:r>
      <w:r w:rsidRPr="00427F4A">
        <w:t>pracovních hodin.</w:t>
      </w:r>
    </w:p>
    <w:p w14:paraId="03B615B2" w14:textId="77777777" w:rsidR="004E6AEA" w:rsidRPr="00B844FC" w:rsidRDefault="00420E4E" w:rsidP="003404E9">
      <w:pPr>
        <w:pStyle w:val="Nadpis4"/>
      </w:pPr>
      <w:r>
        <w:t>Č</w:t>
      </w:r>
      <w:r w:rsidR="00110362" w:rsidRPr="00B844FC">
        <w:t>lánek 1</w:t>
      </w:r>
      <w:r w:rsidR="001E44B7">
        <w:t>3</w:t>
      </w:r>
      <w:r w:rsidR="004E6AEA" w:rsidRPr="00B844FC">
        <w:t>.</w:t>
      </w:r>
      <w:r w:rsidR="000766CF">
        <w:br/>
      </w:r>
      <w:r w:rsidR="004E6AEA" w:rsidRPr="00B844FC">
        <w:t>Měření spokojenosti uživatelů knihovny</w:t>
      </w:r>
    </w:p>
    <w:p w14:paraId="7B6AFD51" w14:textId="77777777" w:rsidR="00517E0A" w:rsidRPr="00F03D78" w:rsidRDefault="00517E0A" w:rsidP="00151DAA">
      <w:pPr>
        <w:spacing w:after="240"/>
        <w:rPr>
          <w:i/>
        </w:rPr>
      </w:pPr>
      <w:r w:rsidRPr="00F03D78">
        <w:rPr>
          <w:b/>
          <w:bCs/>
          <w:i/>
        </w:rPr>
        <w:t>„</w:t>
      </w:r>
      <w:r w:rsidR="004E6AEA" w:rsidRPr="00F03D78">
        <w:rPr>
          <w:i/>
        </w:rPr>
        <w:t>Veřejná knihovna musí zjišťovat, jaké jsou potřeby veřejnosti, aby byla schopna poskytovat služby, které je uspokojují. Zjišťování je nutno provádět v pravidelných intervalech, nejlépe každých pět let, protože se potřeby a očekávání mění.</w:t>
      </w:r>
      <w:r w:rsidRPr="00F03D78">
        <w:rPr>
          <w:i/>
        </w:rPr>
        <w:t>“</w:t>
      </w:r>
    </w:p>
    <w:p w14:paraId="52851157" w14:textId="77777777" w:rsidR="004E6AEA" w:rsidRPr="00AC7DFE" w:rsidRDefault="004E6AEA" w:rsidP="00AC7DFE">
      <w:pPr>
        <w:pStyle w:val="Bezmezer"/>
        <w:spacing w:after="240"/>
        <w:jc w:val="right"/>
        <w:rPr>
          <w:i/>
          <w:sz w:val="20"/>
          <w:szCs w:val="20"/>
        </w:rPr>
      </w:pPr>
      <w:r w:rsidRPr="00AC7DFE">
        <w:rPr>
          <w:i/>
          <w:sz w:val="20"/>
          <w:szCs w:val="20"/>
        </w:rPr>
        <w:t>(Směrnice IFLA: Služby veřejných knihoven</w:t>
      </w:r>
      <w:r w:rsidR="008E7912" w:rsidRPr="00AC7DFE">
        <w:rPr>
          <w:i/>
          <w:sz w:val="20"/>
          <w:szCs w:val="20"/>
        </w:rPr>
        <w:t>, článek 12</w:t>
      </w:r>
      <w:r w:rsidRPr="00AC7DFE">
        <w:rPr>
          <w:i/>
          <w:sz w:val="20"/>
          <w:szCs w:val="20"/>
        </w:rPr>
        <w:t>)</w:t>
      </w:r>
    </w:p>
    <w:p w14:paraId="014D41F4" w14:textId="77777777" w:rsidR="004E6AEA" w:rsidRPr="00B844FC" w:rsidRDefault="004E6AEA" w:rsidP="00AC7DFE">
      <w:pPr>
        <w:pStyle w:val="Bezmezer"/>
        <w:spacing w:line="276" w:lineRule="auto"/>
        <w:rPr>
          <w:b/>
          <w:sz w:val="24"/>
          <w:szCs w:val="24"/>
        </w:rPr>
      </w:pPr>
      <w:r w:rsidRPr="00B844FC">
        <w:rPr>
          <w:b/>
          <w:sz w:val="24"/>
          <w:szCs w:val="24"/>
        </w:rPr>
        <w:t>Indikátor spokojenosti uživatelů knihovny starších 15 let:</w:t>
      </w:r>
    </w:p>
    <w:p w14:paraId="0BE7E192" w14:textId="77777777" w:rsidR="004E6AEA" w:rsidRPr="00B844FC" w:rsidRDefault="004E6AEA" w:rsidP="00AC7DFE">
      <w:pPr>
        <w:pStyle w:val="Bezmezer"/>
        <w:spacing w:line="276" w:lineRule="auto"/>
        <w:rPr>
          <w:sz w:val="24"/>
          <w:szCs w:val="24"/>
        </w:rPr>
      </w:pPr>
      <w:r w:rsidRPr="00B844FC">
        <w:rPr>
          <w:sz w:val="24"/>
          <w:szCs w:val="24"/>
        </w:rPr>
        <w:t>Více než 90 % uživatelů hodnotí služby knihovny jako dobré nebo velmi dobré.</w:t>
      </w:r>
    </w:p>
    <w:p w14:paraId="59C54CCB" w14:textId="77777777" w:rsidR="004E6AEA" w:rsidRPr="00B844FC" w:rsidRDefault="004E6AEA" w:rsidP="00AC7DFE">
      <w:pPr>
        <w:pStyle w:val="Bezmezer"/>
        <w:spacing w:line="276" w:lineRule="auto"/>
        <w:rPr>
          <w:sz w:val="24"/>
          <w:szCs w:val="24"/>
        </w:rPr>
      </w:pPr>
      <w:r w:rsidRPr="00B844FC">
        <w:rPr>
          <w:sz w:val="24"/>
          <w:szCs w:val="24"/>
        </w:rPr>
        <w:t>Škála pro hodnocení spokojenosti s knihovnickými službami:</w:t>
      </w:r>
    </w:p>
    <w:p w14:paraId="011FFA47" w14:textId="77777777" w:rsidR="004E6AEA" w:rsidRPr="00B844FC" w:rsidRDefault="004E6AEA" w:rsidP="00AC7DFE">
      <w:pPr>
        <w:pStyle w:val="Odrka"/>
        <w:spacing w:line="276" w:lineRule="auto"/>
      </w:pPr>
      <w:r w:rsidRPr="00B844FC">
        <w:t>velmi dobré</w:t>
      </w:r>
    </w:p>
    <w:p w14:paraId="42D12E97" w14:textId="77777777" w:rsidR="004E6AEA" w:rsidRPr="00B844FC" w:rsidRDefault="004E6AEA" w:rsidP="00AC7DFE">
      <w:pPr>
        <w:pStyle w:val="Odrka"/>
        <w:spacing w:line="276" w:lineRule="auto"/>
      </w:pPr>
      <w:r w:rsidRPr="00B844FC">
        <w:t>dobré</w:t>
      </w:r>
    </w:p>
    <w:p w14:paraId="6DF5248E" w14:textId="77777777" w:rsidR="004E6AEA" w:rsidRPr="00B844FC" w:rsidRDefault="004E6AEA" w:rsidP="00200927">
      <w:pPr>
        <w:pStyle w:val="Odrka"/>
        <w:spacing w:line="276" w:lineRule="auto"/>
      </w:pPr>
      <w:r w:rsidRPr="00B844FC">
        <w:t>přiměřené</w:t>
      </w:r>
    </w:p>
    <w:p w14:paraId="70884EC0" w14:textId="77777777" w:rsidR="004E6AEA" w:rsidRPr="00B844FC" w:rsidRDefault="004E6AEA" w:rsidP="00200927">
      <w:pPr>
        <w:pStyle w:val="Odrka"/>
        <w:spacing w:line="276" w:lineRule="auto"/>
      </w:pPr>
      <w:r w:rsidRPr="00B844FC">
        <w:t>špatné</w:t>
      </w:r>
    </w:p>
    <w:p w14:paraId="3841FCA2" w14:textId="77777777" w:rsidR="004E6AEA" w:rsidRPr="00B844FC" w:rsidRDefault="004E6AEA" w:rsidP="00200927">
      <w:pPr>
        <w:pStyle w:val="Odrka"/>
        <w:spacing w:line="276" w:lineRule="auto"/>
      </w:pPr>
      <w:r w:rsidRPr="00B844FC">
        <w:t>velmi špatné</w:t>
      </w:r>
    </w:p>
    <w:p w14:paraId="5685A772" w14:textId="77777777" w:rsidR="004E6AEA" w:rsidRPr="00B844FC" w:rsidRDefault="004E6AEA" w:rsidP="00200927">
      <w:pPr>
        <w:pStyle w:val="Bezmezer"/>
        <w:spacing w:line="276" w:lineRule="auto"/>
        <w:rPr>
          <w:sz w:val="24"/>
          <w:szCs w:val="24"/>
        </w:rPr>
      </w:pPr>
    </w:p>
    <w:p w14:paraId="60759D06" w14:textId="77777777" w:rsidR="004E6AEA" w:rsidRPr="00B844FC" w:rsidRDefault="004E6AEA" w:rsidP="00200927">
      <w:pPr>
        <w:pStyle w:val="Bezmezer"/>
        <w:spacing w:line="276" w:lineRule="auto"/>
        <w:rPr>
          <w:b/>
          <w:sz w:val="24"/>
          <w:szCs w:val="24"/>
        </w:rPr>
      </w:pPr>
      <w:r w:rsidRPr="00B844FC">
        <w:rPr>
          <w:b/>
          <w:sz w:val="24"/>
          <w:szCs w:val="24"/>
        </w:rPr>
        <w:t>Indikátor spokojenosti uživatelů knihovny do 15 let:</w:t>
      </w:r>
    </w:p>
    <w:p w14:paraId="1B15DC81" w14:textId="77777777" w:rsidR="004E6AEA" w:rsidRPr="00B844FC" w:rsidRDefault="004E6AEA" w:rsidP="00200927">
      <w:pPr>
        <w:pStyle w:val="Bezmezer"/>
        <w:spacing w:line="276" w:lineRule="auto"/>
        <w:rPr>
          <w:sz w:val="24"/>
          <w:szCs w:val="24"/>
        </w:rPr>
      </w:pPr>
      <w:r w:rsidRPr="00B844FC">
        <w:rPr>
          <w:sz w:val="24"/>
          <w:szCs w:val="24"/>
        </w:rPr>
        <w:t>Více než 75 % dětí a mládeže hodnotí služby knihovny stupněm dobré.</w:t>
      </w:r>
    </w:p>
    <w:p w14:paraId="30B8F4DD" w14:textId="77777777" w:rsidR="004E6AEA" w:rsidRPr="00B844FC" w:rsidRDefault="004E6AEA" w:rsidP="00200927">
      <w:pPr>
        <w:pStyle w:val="Bezmezer"/>
        <w:spacing w:line="276" w:lineRule="auto"/>
        <w:rPr>
          <w:sz w:val="24"/>
          <w:szCs w:val="24"/>
        </w:rPr>
      </w:pPr>
      <w:r w:rsidRPr="00B844FC">
        <w:rPr>
          <w:sz w:val="24"/>
          <w:szCs w:val="24"/>
        </w:rPr>
        <w:t>Škála pro hodnocení spokojenosti s knihovnickými službami:</w:t>
      </w:r>
    </w:p>
    <w:p w14:paraId="42969E5F" w14:textId="77777777" w:rsidR="004E6AEA" w:rsidRPr="00B844FC" w:rsidRDefault="004E6AEA" w:rsidP="00200927">
      <w:pPr>
        <w:pStyle w:val="Odrka"/>
        <w:spacing w:line="276" w:lineRule="auto"/>
      </w:pPr>
      <w:r w:rsidRPr="00B844FC">
        <w:t>dobré</w:t>
      </w:r>
    </w:p>
    <w:p w14:paraId="2746856B" w14:textId="77777777" w:rsidR="004E6AEA" w:rsidRPr="00B844FC" w:rsidRDefault="004E6AEA" w:rsidP="00200927">
      <w:pPr>
        <w:pStyle w:val="Odrka"/>
        <w:spacing w:line="276" w:lineRule="auto"/>
      </w:pPr>
      <w:r w:rsidRPr="00B844FC">
        <w:t>přiměřené</w:t>
      </w:r>
    </w:p>
    <w:p w14:paraId="57792AB8" w14:textId="77777777" w:rsidR="004E6AEA" w:rsidRPr="00B844FC" w:rsidRDefault="004E6AEA" w:rsidP="00200927">
      <w:pPr>
        <w:pStyle w:val="Odrka"/>
        <w:spacing w:line="276" w:lineRule="auto"/>
      </w:pPr>
      <w:r w:rsidRPr="00B844FC">
        <w:lastRenderedPageBreak/>
        <w:t>špatné</w:t>
      </w:r>
    </w:p>
    <w:p w14:paraId="5E68AE4E" w14:textId="77777777" w:rsidR="004E6AEA" w:rsidRPr="00B844FC" w:rsidRDefault="004E6AEA" w:rsidP="00200927">
      <w:pPr>
        <w:pStyle w:val="Bezmezer"/>
        <w:spacing w:line="276" w:lineRule="auto"/>
        <w:rPr>
          <w:sz w:val="24"/>
          <w:szCs w:val="24"/>
        </w:rPr>
      </w:pPr>
    </w:p>
    <w:p w14:paraId="70F3E1E4" w14:textId="77777777" w:rsidR="004E6AEA" w:rsidRPr="00B844FC" w:rsidRDefault="004E6AEA" w:rsidP="003404E9">
      <w:pPr>
        <w:pStyle w:val="slovn3a"/>
        <w:numPr>
          <w:ilvl w:val="0"/>
          <w:numId w:val="25"/>
        </w:numPr>
      </w:pPr>
      <w:r w:rsidRPr="00B844FC">
        <w:t>Spokojenost uživatelů se zjišťuje pravidelně každých 5 let pomocí standardizovaného dotazníku (ankety). Hodnocení knihovnických služeb se provádí u uživatelů nad 15 let a</w:t>
      </w:r>
      <w:r w:rsidR="008E7912">
        <w:t> </w:t>
      </w:r>
      <w:r w:rsidRPr="00B844FC">
        <w:t>u uživatelů do 15 let.</w:t>
      </w:r>
    </w:p>
    <w:p w14:paraId="572DD5D2" w14:textId="77777777" w:rsidR="004E6AEA" w:rsidRPr="00B844FC" w:rsidRDefault="004E6AEA" w:rsidP="003404E9">
      <w:pPr>
        <w:pStyle w:val="slovn3a"/>
        <w:numPr>
          <w:ilvl w:val="0"/>
          <w:numId w:val="25"/>
        </w:numPr>
      </w:pPr>
      <w:r w:rsidRPr="00B844FC">
        <w:t xml:space="preserve">Provozovatelé knihoven průběžně sledují a monitorují výkony knihoven pomocí měření spokojenosti uživatelů pro potřeby </w:t>
      </w:r>
      <w:r w:rsidR="00FC7379" w:rsidRPr="00B844FC">
        <w:t xml:space="preserve">řízení a financování knihovny. </w:t>
      </w:r>
      <w:r w:rsidRPr="00B844FC">
        <w:t>Cílem měření je poskytnout spolehlivé údaje o tom, jak uživate</w:t>
      </w:r>
      <w:r w:rsidR="00FC7379" w:rsidRPr="00B844FC">
        <w:t>lé posuzují knihovnické služby.</w:t>
      </w:r>
    </w:p>
    <w:p w14:paraId="1470CC02" w14:textId="502D5B6D" w:rsidR="00420E4E" w:rsidRPr="00F43597" w:rsidRDefault="00420E4E" w:rsidP="00420E4E">
      <w:pPr>
        <w:pStyle w:val="Nadpis4"/>
      </w:pPr>
      <w:r w:rsidRPr="00F43597">
        <w:t>Článek 1</w:t>
      </w:r>
      <w:r w:rsidR="001E44B7" w:rsidRPr="00F43597">
        <w:t>4</w:t>
      </w:r>
      <w:r w:rsidR="009E1E1C">
        <w:t>.</w:t>
      </w:r>
      <w:r w:rsidRPr="00F43597">
        <w:br/>
      </w:r>
      <w:r w:rsidR="00B044DC">
        <w:rPr>
          <w:szCs w:val="22"/>
          <w:lang w:eastAsia="en-US"/>
        </w:rPr>
        <w:t>Vzdělávací, kulturní</w:t>
      </w:r>
      <w:r w:rsidRPr="00F43597">
        <w:rPr>
          <w:szCs w:val="22"/>
          <w:lang w:eastAsia="en-US"/>
        </w:rPr>
        <w:t xml:space="preserve"> a komunitní aktivity knihoven</w:t>
      </w:r>
    </w:p>
    <w:p w14:paraId="464F1FB9" w14:textId="77777777" w:rsidR="00420E4E" w:rsidRPr="00F43597" w:rsidRDefault="00420E4E" w:rsidP="00151DAA">
      <w:pPr>
        <w:spacing w:after="240"/>
        <w:rPr>
          <w:i/>
        </w:rPr>
      </w:pPr>
      <w:r w:rsidRPr="00F43597">
        <w:rPr>
          <w:b/>
          <w:bCs/>
          <w:i/>
        </w:rPr>
        <w:t>„</w:t>
      </w:r>
      <w:r w:rsidRPr="00F43597">
        <w:rPr>
          <w:i/>
        </w:rPr>
        <w:t>Veřejná knihovna musí být centrem komunity, má-li se plně účastnit jejích aktivit. Má proto spolupracovat s ostatními organizacemi a skupinami dané komunity.“</w:t>
      </w:r>
    </w:p>
    <w:p w14:paraId="6480E27B" w14:textId="77777777" w:rsidR="00420E4E" w:rsidRPr="008A0E1A" w:rsidRDefault="00420E4E" w:rsidP="00420E4E">
      <w:pPr>
        <w:pStyle w:val="Bezmezer"/>
        <w:jc w:val="right"/>
        <w:rPr>
          <w:i/>
          <w:sz w:val="20"/>
          <w:szCs w:val="20"/>
        </w:rPr>
      </w:pPr>
      <w:r w:rsidRPr="008A0E1A">
        <w:rPr>
          <w:i/>
          <w:sz w:val="20"/>
          <w:szCs w:val="20"/>
        </w:rPr>
        <w:t>(Směrnice IFLA: Služby veřejných knihoven, článek 3.4.8)</w:t>
      </w:r>
    </w:p>
    <w:p w14:paraId="3F7D8690" w14:textId="73F3B0FC" w:rsidR="00420E4E" w:rsidRPr="00F43597" w:rsidRDefault="00B044DC" w:rsidP="00420E4E">
      <w:r>
        <w:t>V</w:t>
      </w:r>
      <w:r w:rsidR="00420E4E" w:rsidRPr="00F43597">
        <w:t>zdělávací</w:t>
      </w:r>
      <w:r>
        <w:t>, kulturní</w:t>
      </w:r>
      <w:r w:rsidR="00420E4E" w:rsidRPr="00F43597">
        <w:t xml:space="preserve"> a komunitní aktivity</w:t>
      </w:r>
      <w:r w:rsidR="00465226" w:rsidRPr="00F43597">
        <w:rPr>
          <w:rStyle w:val="Znakapoznpodarou"/>
        </w:rPr>
        <w:footnoteReference w:id="22"/>
      </w:r>
      <w:r w:rsidR="00420E4E" w:rsidRPr="00F43597">
        <w:t xml:space="preserve"> knihovny jsou ovlivněny místem, ve kterém knihovna působí. Cílem je rozvoj společenského a kulturního zázemí obyvatel obce, podpora místní společnosti napříč všemi věkovými kategoriemi, posílení spolupráce a solidarity. Hodnota knihoven je určována rovněž postavením v místní komunitě, v prostředí, ve kterém knihovna působí.</w:t>
      </w:r>
    </w:p>
    <w:p w14:paraId="4DA02225" w14:textId="4DA50108" w:rsidR="00420E4E" w:rsidRPr="00F43597" w:rsidRDefault="0071405F" w:rsidP="00B044DC">
      <w:pPr>
        <w:ind w:firstLine="708"/>
      </w:pPr>
      <w:r w:rsidRPr="00F43597">
        <w:t>Je nutné p</w:t>
      </w:r>
      <w:r w:rsidR="003913AA" w:rsidRPr="00F43597">
        <w:t>rovést analýzu potřeb</w:t>
      </w:r>
      <w:r w:rsidR="003913AA" w:rsidRPr="00F43597">
        <w:rPr>
          <w:b/>
        </w:rPr>
        <w:t xml:space="preserve"> </w:t>
      </w:r>
      <w:r w:rsidR="003913AA" w:rsidRPr="00F43597">
        <w:t>místní komunity a k</w:t>
      </w:r>
      <w:r w:rsidR="00420E4E" w:rsidRPr="00F43597">
        <w:t xml:space="preserve">nihovnu proměnit v místo </w:t>
      </w:r>
      <w:r w:rsidR="00B044DC">
        <w:t xml:space="preserve">neformálního celoživotního </w:t>
      </w:r>
      <w:r w:rsidR="00420E4E" w:rsidRPr="00F43597">
        <w:t>vzdělávání</w:t>
      </w:r>
      <w:r w:rsidR="00B044DC">
        <w:t xml:space="preserve"> a učení</w:t>
      </w:r>
      <w:r w:rsidR="00420E4E" w:rsidRPr="00F43597">
        <w:t xml:space="preserve">, </w:t>
      </w:r>
      <w:r w:rsidR="00B044DC">
        <w:t xml:space="preserve">místo </w:t>
      </w:r>
      <w:r w:rsidR="00420E4E" w:rsidRPr="00F43597">
        <w:t xml:space="preserve">setkávání, </w:t>
      </w:r>
      <w:r w:rsidR="00B044DC">
        <w:t>podpory kreativity</w:t>
      </w:r>
      <w:r w:rsidR="00420E4E" w:rsidRPr="00F43597">
        <w:t xml:space="preserve"> a spolupráce komunit. Využívat ce</w:t>
      </w:r>
      <w:r w:rsidR="00B044DC">
        <w:t>lostátních aktivit pořádaných knihovnickými sdruženími</w:t>
      </w:r>
      <w:r w:rsidR="003913AA" w:rsidRPr="00F43597">
        <w:t>.</w:t>
      </w:r>
    </w:p>
    <w:p w14:paraId="4469EF29" w14:textId="7ABE95A9" w:rsidR="0071405F" w:rsidRPr="00F43597" w:rsidRDefault="0071405F" w:rsidP="00F43597">
      <w:pPr>
        <w:spacing w:after="240"/>
        <w:ind w:firstLine="0"/>
      </w:pPr>
      <w:r w:rsidRPr="00F43597">
        <w:rPr>
          <w:b/>
        </w:rPr>
        <w:t xml:space="preserve">Indikátor: </w:t>
      </w:r>
      <w:r w:rsidR="005E5554" w:rsidRPr="00F43597">
        <w:t>p</w:t>
      </w:r>
      <w:r w:rsidR="00B044DC">
        <w:t xml:space="preserve">očet </w:t>
      </w:r>
      <w:r w:rsidRPr="00F43597">
        <w:t>vzdělávacích</w:t>
      </w:r>
      <w:r w:rsidR="00B044DC">
        <w:t>, kulturních</w:t>
      </w:r>
      <w:r w:rsidRPr="00F43597">
        <w:t xml:space="preserve"> a komunitních akcí knihoven.</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268"/>
        <w:gridCol w:w="2268"/>
      </w:tblGrid>
      <w:tr w:rsidR="000209D4" w:rsidRPr="000209D4" w14:paraId="78B991A0" w14:textId="77777777" w:rsidTr="00D161B4">
        <w:trPr>
          <w:trHeight w:val="525"/>
          <w:jc w:val="center"/>
        </w:trPr>
        <w:tc>
          <w:tcPr>
            <w:tcW w:w="2268" w:type="dxa"/>
          </w:tcPr>
          <w:p w14:paraId="376D89C0" w14:textId="77777777" w:rsidR="00420E4E" w:rsidRPr="000209D4" w:rsidRDefault="00420E4E" w:rsidP="00D161B4">
            <w:pPr>
              <w:ind w:firstLine="0"/>
              <w:jc w:val="center"/>
            </w:pPr>
          </w:p>
        </w:tc>
        <w:tc>
          <w:tcPr>
            <w:tcW w:w="2268" w:type="dxa"/>
          </w:tcPr>
          <w:p w14:paraId="004A5096" w14:textId="77777777" w:rsidR="00420E4E" w:rsidRPr="000209D4" w:rsidRDefault="00420E4E" w:rsidP="00D161B4">
            <w:pPr>
              <w:ind w:firstLine="0"/>
              <w:jc w:val="center"/>
            </w:pPr>
            <w:r w:rsidRPr="000209D4">
              <w:rPr>
                <w:snapToGrid w:val="0"/>
              </w:rPr>
              <w:t>Doporučená hodnota</w:t>
            </w:r>
          </w:p>
        </w:tc>
        <w:tc>
          <w:tcPr>
            <w:tcW w:w="2268" w:type="dxa"/>
          </w:tcPr>
          <w:p w14:paraId="3E02490F" w14:textId="0DEEEE8C" w:rsidR="00420E4E" w:rsidRPr="00D22021" w:rsidRDefault="00420E4E" w:rsidP="00D161B4">
            <w:pPr>
              <w:ind w:firstLine="0"/>
              <w:jc w:val="center"/>
            </w:pPr>
            <w:r w:rsidRPr="00D22021">
              <w:rPr>
                <w:snapToGrid w:val="0"/>
              </w:rPr>
              <w:t>Celostátní průměr 201</w:t>
            </w:r>
            <w:r w:rsidR="00E8565E" w:rsidRPr="00D22021">
              <w:rPr>
                <w:snapToGrid w:val="0"/>
              </w:rPr>
              <w:t>8</w:t>
            </w:r>
          </w:p>
        </w:tc>
      </w:tr>
      <w:tr w:rsidR="000209D4" w:rsidRPr="000209D4" w14:paraId="4422C994" w14:textId="77777777" w:rsidTr="00D161B4">
        <w:trPr>
          <w:trHeight w:val="525"/>
          <w:jc w:val="center"/>
        </w:trPr>
        <w:tc>
          <w:tcPr>
            <w:tcW w:w="2268" w:type="dxa"/>
          </w:tcPr>
          <w:p w14:paraId="021492CD" w14:textId="77777777" w:rsidR="00420E4E" w:rsidRPr="000209D4" w:rsidRDefault="00420E4E" w:rsidP="00D161B4">
            <w:pPr>
              <w:ind w:firstLine="0"/>
              <w:jc w:val="center"/>
            </w:pPr>
            <w:r w:rsidRPr="000209D4">
              <w:rPr>
                <w:snapToGrid w:val="0"/>
              </w:rPr>
              <w:t>Počet obyvatel obce</w:t>
            </w:r>
          </w:p>
        </w:tc>
        <w:tc>
          <w:tcPr>
            <w:tcW w:w="2268" w:type="dxa"/>
          </w:tcPr>
          <w:p w14:paraId="6A5076B2" w14:textId="77777777" w:rsidR="00420E4E" w:rsidRPr="000209D4" w:rsidRDefault="00420E4E" w:rsidP="00D161B4">
            <w:pPr>
              <w:ind w:firstLine="0"/>
              <w:jc w:val="center"/>
            </w:pPr>
            <w:r w:rsidRPr="000209D4">
              <w:t>Počet akcí za rok</w:t>
            </w:r>
          </w:p>
        </w:tc>
        <w:tc>
          <w:tcPr>
            <w:tcW w:w="2268" w:type="dxa"/>
          </w:tcPr>
          <w:p w14:paraId="2BE67BA9" w14:textId="77777777" w:rsidR="00420E4E" w:rsidRPr="00D22021" w:rsidRDefault="00420E4E" w:rsidP="00D161B4">
            <w:pPr>
              <w:ind w:firstLine="0"/>
              <w:jc w:val="center"/>
            </w:pPr>
            <w:r w:rsidRPr="00D22021">
              <w:t>Počet akcí za rok</w:t>
            </w:r>
          </w:p>
        </w:tc>
      </w:tr>
      <w:tr w:rsidR="000209D4" w:rsidRPr="000209D4" w14:paraId="1A74C4CE" w14:textId="77777777" w:rsidTr="00D161B4">
        <w:trPr>
          <w:trHeight w:val="270"/>
          <w:jc w:val="center"/>
        </w:trPr>
        <w:tc>
          <w:tcPr>
            <w:tcW w:w="2268" w:type="dxa"/>
          </w:tcPr>
          <w:p w14:paraId="059BFBAD" w14:textId="77777777" w:rsidR="00420E4E" w:rsidRPr="000209D4" w:rsidRDefault="00420E4E" w:rsidP="00D161B4">
            <w:pPr>
              <w:ind w:firstLine="0"/>
              <w:jc w:val="left"/>
            </w:pPr>
            <w:r w:rsidRPr="000209D4">
              <w:rPr>
                <w:snapToGrid w:val="0"/>
              </w:rPr>
              <w:t>1 – 500</w:t>
            </w:r>
          </w:p>
        </w:tc>
        <w:tc>
          <w:tcPr>
            <w:tcW w:w="2268" w:type="dxa"/>
          </w:tcPr>
          <w:p w14:paraId="4C12C535" w14:textId="0A22C322" w:rsidR="00420E4E" w:rsidRPr="000209D4" w:rsidRDefault="00247A05" w:rsidP="00564A95">
            <w:pPr>
              <w:ind w:firstLine="0"/>
              <w:jc w:val="center"/>
            </w:pPr>
            <w:r w:rsidRPr="000209D4">
              <w:t>4</w:t>
            </w:r>
            <w:r w:rsidR="000209D4">
              <w:t xml:space="preserve"> </w:t>
            </w:r>
            <w:r w:rsidRPr="000209D4">
              <w:t>-</w:t>
            </w:r>
            <w:r w:rsidR="000209D4">
              <w:t xml:space="preserve"> </w:t>
            </w:r>
            <w:r w:rsidRPr="000209D4">
              <w:t>6</w:t>
            </w:r>
          </w:p>
        </w:tc>
        <w:tc>
          <w:tcPr>
            <w:tcW w:w="2268" w:type="dxa"/>
            <w:vAlign w:val="bottom"/>
          </w:tcPr>
          <w:p w14:paraId="07246649" w14:textId="4ADEEAF1" w:rsidR="00420E4E" w:rsidRPr="00D22021" w:rsidRDefault="002E0E77" w:rsidP="00D161B4">
            <w:pPr>
              <w:ind w:firstLine="0"/>
              <w:jc w:val="center"/>
            </w:pPr>
            <w:r w:rsidRPr="00D22021">
              <w:t>1,5</w:t>
            </w:r>
          </w:p>
        </w:tc>
      </w:tr>
      <w:tr w:rsidR="000209D4" w:rsidRPr="000209D4" w14:paraId="544A6280" w14:textId="77777777" w:rsidTr="00D161B4">
        <w:trPr>
          <w:trHeight w:val="270"/>
          <w:jc w:val="center"/>
        </w:trPr>
        <w:tc>
          <w:tcPr>
            <w:tcW w:w="2268" w:type="dxa"/>
          </w:tcPr>
          <w:p w14:paraId="0CAED4DA" w14:textId="77777777" w:rsidR="00420E4E" w:rsidRPr="000209D4" w:rsidRDefault="00420E4E" w:rsidP="00D161B4">
            <w:pPr>
              <w:ind w:firstLine="0"/>
              <w:jc w:val="left"/>
            </w:pPr>
            <w:r w:rsidRPr="000209D4">
              <w:rPr>
                <w:snapToGrid w:val="0"/>
              </w:rPr>
              <w:t>501 - 1 000</w:t>
            </w:r>
          </w:p>
        </w:tc>
        <w:tc>
          <w:tcPr>
            <w:tcW w:w="2268" w:type="dxa"/>
          </w:tcPr>
          <w:p w14:paraId="2A2863A6" w14:textId="5C67611D" w:rsidR="00420E4E" w:rsidRPr="000209D4" w:rsidRDefault="00564A95" w:rsidP="00564A95">
            <w:pPr>
              <w:ind w:firstLine="0"/>
              <w:jc w:val="center"/>
            </w:pPr>
            <w:r w:rsidRPr="000209D4">
              <w:t>6</w:t>
            </w:r>
            <w:r w:rsidR="00CD0184" w:rsidRPr="000209D4">
              <w:t xml:space="preserve"> - </w:t>
            </w:r>
            <w:r w:rsidR="00247A05" w:rsidRPr="000209D4">
              <w:t>20</w:t>
            </w:r>
          </w:p>
        </w:tc>
        <w:tc>
          <w:tcPr>
            <w:tcW w:w="2268" w:type="dxa"/>
            <w:vAlign w:val="bottom"/>
          </w:tcPr>
          <w:p w14:paraId="6A839079" w14:textId="60DFED3D" w:rsidR="00420E4E" w:rsidRPr="00D22021" w:rsidRDefault="00E8565E" w:rsidP="00D161B4">
            <w:pPr>
              <w:ind w:firstLine="0"/>
              <w:jc w:val="center"/>
            </w:pPr>
            <w:r w:rsidRPr="00D22021">
              <w:t>5</w:t>
            </w:r>
          </w:p>
        </w:tc>
      </w:tr>
      <w:tr w:rsidR="000209D4" w:rsidRPr="000209D4" w14:paraId="2D5A2D20" w14:textId="77777777" w:rsidTr="00D161B4">
        <w:trPr>
          <w:trHeight w:val="270"/>
          <w:jc w:val="center"/>
        </w:trPr>
        <w:tc>
          <w:tcPr>
            <w:tcW w:w="2268" w:type="dxa"/>
          </w:tcPr>
          <w:p w14:paraId="44B19B98" w14:textId="77777777" w:rsidR="00420E4E" w:rsidRPr="000209D4" w:rsidRDefault="00420E4E" w:rsidP="00D161B4">
            <w:pPr>
              <w:ind w:firstLine="0"/>
              <w:jc w:val="left"/>
            </w:pPr>
            <w:r w:rsidRPr="000209D4">
              <w:rPr>
                <w:snapToGrid w:val="0"/>
              </w:rPr>
              <w:t>1 001 - 3 000</w:t>
            </w:r>
          </w:p>
        </w:tc>
        <w:tc>
          <w:tcPr>
            <w:tcW w:w="2268" w:type="dxa"/>
          </w:tcPr>
          <w:p w14:paraId="6CAB00EA" w14:textId="31CF0D61" w:rsidR="00420E4E" w:rsidRPr="000209D4" w:rsidRDefault="00247A05" w:rsidP="007C78AA">
            <w:pPr>
              <w:ind w:firstLine="0"/>
              <w:jc w:val="center"/>
            </w:pPr>
            <w:r w:rsidRPr="000209D4">
              <w:t>20</w:t>
            </w:r>
            <w:r w:rsidR="000209D4">
              <w:t xml:space="preserve"> </w:t>
            </w:r>
            <w:r w:rsidR="00C54464" w:rsidRPr="000209D4">
              <w:t>-</w:t>
            </w:r>
            <w:r w:rsidR="000209D4">
              <w:t xml:space="preserve"> </w:t>
            </w:r>
            <w:r w:rsidRPr="000209D4">
              <w:t>4</w:t>
            </w:r>
            <w:r w:rsidR="007C78AA" w:rsidRPr="000209D4">
              <w:t>0</w:t>
            </w:r>
          </w:p>
        </w:tc>
        <w:tc>
          <w:tcPr>
            <w:tcW w:w="2268" w:type="dxa"/>
            <w:vAlign w:val="bottom"/>
          </w:tcPr>
          <w:p w14:paraId="774F0405" w14:textId="6A882CAB" w:rsidR="00420E4E" w:rsidRPr="00D22021" w:rsidRDefault="002E0E77" w:rsidP="00D161B4">
            <w:pPr>
              <w:ind w:firstLine="0"/>
              <w:jc w:val="center"/>
            </w:pPr>
            <w:r w:rsidRPr="00D22021">
              <w:t>1</w:t>
            </w:r>
            <w:r w:rsidR="00E8565E" w:rsidRPr="00D22021">
              <w:t>8</w:t>
            </w:r>
          </w:p>
        </w:tc>
      </w:tr>
      <w:tr w:rsidR="000209D4" w:rsidRPr="000209D4" w14:paraId="0E8B73C8" w14:textId="77777777" w:rsidTr="00D161B4">
        <w:trPr>
          <w:trHeight w:val="270"/>
          <w:jc w:val="center"/>
        </w:trPr>
        <w:tc>
          <w:tcPr>
            <w:tcW w:w="2268" w:type="dxa"/>
          </w:tcPr>
          <w:p w14:paraId="77820175" w14:textId="77777777" w:rsidR="00420E4E" w:rsidRPr="000209D4" w:rsidRDefault="00420E4E" w:rsidP="00D161B4">
            <w:pPr>
              <w:ind w:firstLine="0"/>
              <w:jc w:val="left"/>
            </w:pPr>
            <w:r w:rsidRPr="000209D4">
              <w:rPr>
                <w:snapToGrid w:val="0"/>
              </w:rPr>
              <w:t>3 001 - 5 000</w:t>
            </w:r>
          </w:p>
        </w:tc>
        <w:tc>
          <w:tcPr>
            <w:tcW w:w="2268" w:type="dxa"/>
          </w:tcPr>
          <w:p w14:paraId="517EE7BB" w14:textId="7B1A16E9" w:rsidR="00420E4E" w:rsidRPr="000209D4" w:rsidRDefault="00C54464" w:rsidP="00D161B4">
            <w:pPr>
              <w:ind w:firstLine="0"/>
              <w:jc w:val="center"/>
            </w:pPr>
            <w:r w:rsidRPr="000209D4">
              <w:t>40</w:t>
            </w:r>
            <w:r w:rsidR="000209D4">
              <w:t xml:space="preserve"> </w:t>
            </w:r>
            <w:r w:rsidRPr="000209D4">
              <w:t>-</w:t>
            </w:r>
            <w:r w:rsidR="000209D4">
              <w:t xml:space="preserve"> </w:t>
            </w:r>
            <w:r w:rsidRPr="000209D4">
              <w:t>80</w:t>
            </w:r>
          </w:p>
        </w:tc>
        <w:tc>
          <w:tcPr>
            <w:tcW w:w="2268" w:type="dxa"/>
            <w:vAlign w:val="bottom"/>
          </w:tcPr>
          <w:p w14:paraId="0C8CBF16" w14:textId="742C7507" w:rsidR="00420E4E" w:rsidRPr="00D22021" w:rsidRDefault="002E0E77" w:rsidP="00D161B4">
            <w:pPr>
              <w:ind w:firstLine="0"/>
              <w:jc w:val="center"/>
            </w:pPr>
            <w:r w:rsidRPr="00D22021">
              <w:t>50</w:t>
            </w:r>
          </w:p>
        </w:tc>
      </w:tr>
      <w:tr w:rsidR="000209D4" w:rsidRPr="00D22021" w14:paraId="5AE050FA" w14:textId="77777777" w:rsidTr="00D161B4">
        <w:trPr>
          <w:trHeight w:val="270"/>
          <w:jc w:val="center"/>
        </w:trPr>
        <w:tc>
          <w:tcPr>
            <w:tcW w:w="2268" w:type="dxa"/>
          </w:tcPr>
          <w:p w14:paraId="16E56965" w14:textId="77777777" w:rsidR="00420E4E" w:rsidRPr="00D22021" w:rsidRDefault="00420E4E" w:rsidP="00D161B4">
            <w:pPr>
              <w:ind w:firstLine="0"/>
              <w:jc w:val="left"/>
            </w:pPr>
            <w:r w:rsidRPr="00D22021">
              <w:rPr>
                <w:snapToGrid w:val="0"/>
              </w:rPr>
              <w:t>5 001 - 10 000</w:t>
            </w:r>
          </w:p>
        </w:tc>
        <w:tc>
          <w:tcPr>
            <w:tcW w:w="2268" w:type="dxa"/>
          </w:tcPr>
          <w:p w14:paraId="7A0901D5" w14:textId="357AC98A" w:rsidR="00420E4E" w:rsidRPr="00D22021" w:rsidRDefault="00C54464" w:rsidP="00D161B4">
            <w:pPr>
              <w:ind w:firstLine="0"/>
              <w:jc w:val="center"/>
            </w:pPr>
            <w:r w:rsidRPr="00D22021">
              <w:t>80</w:t>
            </w:r>
            <w:r w:rsidR="000209D4" w:rsidRPr="00D22021">
              <w:t xml:space="preserve"> </w:t>
            </w:r>
            <w:r w:rsidRPr="00D22021">
              <w:t>-</w:t>
            </w:r>
            <w:r w:rsidR="000209D4" w:rsidRPr="00D22021">
              <w:t xml:space="preserve"> </w:t>
            </w:r>
            <w:r w:rsidRPr="00D22021">
              <w:t>150</w:t>
            </w:r>
          </w:p>
        </w:tc>
        <w:tc>
          <w:tcPr>
            <w:tcW w:w="2268" w:type="dxa"/>
            <w:vAlign w:val="bottom"/>
          </w:tcPr>
          <w:p w14:paraId="469846C8" w14:textId="0DD515B4" w:rsidR="00420E4E" w:rsidRPr="00D22021" w:rsidRDefault="00E8565E" w:rsidP="00D161B4">
            <w:pPr>
              <w:ind w:firstLine="0"/>
              <w:jc w:val="center"/>
            </w:pPr>
            <w:r w:rsidRPr="00D22021">
              <w:t>102</w:t>
            </w:r>
          </w:p>
        </w:tc>
      </w:tr>
      <w:tr w:rsidR="000209D4" w:rsidRPr="00D22021" w14:paraId="74F5248F" w14:textId="77777777" w:rsidTr="00D161B4">
        <w:trPr>
          <w:trHeight w:val="270"/>
          <w:jc w:val="center"/>
        </w:trPr>
        <w:tc>
          <w:tcPr>
            <w:tcW w:w="2268" w:type="dxa"/>
          </w:tcPr>
          <w:p w14:paraId="6A8F7D5B" w14:textId="77777777" w:rsidR="00420E4E" w:rsidRPr="00D22021" w:rsidRDefault="00420E4E" w:rsidP="00D161B4">
            <w:pPr>
              <w:ind w:firstLine="0"/>
              <w:jc w:val="left"/>
            </w:pPr>
            <w:r w:rsidRPr="00D22021">
              <w:rPr>
                <w:snapToGrid w:val="0"/>
              </w:rPr>
              <w:t>10 001 - 20 000</w:t>
            </w:r>
          </w:p>
        </w:tc>
        <w:tc>
          <w:tcPr>
            <w:tcW w:w="2268" w:type="dxa"/>
          </w:tcPr>
          <w:p w14:paraId="1DC8F389" w14:textId="4115BC37" w:rsidR="00420E4E" w:rsidRPr="00D22021" w:rsidRDefault="00C54464" w:rsidP="00D161B4">
            <w:pPr>
              <w:ind w:firstLine="0"/>
              <w:jc w:val="center"/>
            </w:pPr>
            <w:r w:rsidRPr="00D22021">
              <w:t>150</w:t>
            </w:r>
            <w:r w:rsidR="000209D4" w:rsidRPr="00D22021">
              <w:t xml:space="preserve"> </w:t>
            </w:r>
            <w:r w:rsidRPr="00D22021">
              <w:t>-</w:t>
            </w:r>
            <w:r w:rsidR="000209D4" w:rsidRPr="00D22021">
              <w:t xml:space="preserve"> </w:t>
            </w:r>
            <w:r w:rsidRPr="00D22021">
              <w:t>300</w:t>
            </w:r>
          </w:p>
        </w:tc>
        <w:tc>
          <w:tcPr>
            <w:tcW w:w="2268" w:type="dxa"/>
            <w:vAlign w:val="bottom"/>
          </w:tcPr>
          <w:p w14:paraId="4133A2B1" w14:textId="5A575E7E" w:rsidR="00420E4E" w:rsidRPr="00D22021" w:rsidRDefault="002E0E77" w:rsidP="00D161B4">
            <w:pPr>
              <w:ind w:firstLine="0"/>
              <w:jc w:val="center"/>
            </w:pPr>
            <w:r w:rsidRPr="00D22021">
              <w:t>218</w:t>
            </w:r>
          </w:p>
        </w:tc>
      </w:tr>
      <w:tr w:rsidR="000209D4" w:rsidRPr="00D22021" w14:paraId="650AAB78" w14:textId="77777777" w:rsidTr="00D161B4">
        <w:trPr>
          <w:trHeight w:val="270"/>
          <w:jc w:val="center"/>
        </w:trPr>
        <w:tc>
          <w:tcPr>
            <w:tcW w:w="2268" w:type="dxa"/>
          </w:tcPr>
          <w:p w14:paraId="7B886DFE" w14:textId="77777777" w:rsidR="00420E4E" w:rsidRPr="00D22021" w:rsidRDefault="00420E4E" w:rsidP="00D161B4">
            <w:pPr>
              <w:ind w:firstLine="0"/>
              <w:jc w:val="left"/>
            </w:pPr>
            <w:r w:rsidRPr="00D22021">
              <w:rPr>
                <w:snapToGrid w:val="0"/>
              </w:rPr>
              <w:t>20 001 - 40 000</w:t>
            </w:r>
          </w:p>
        </w:tc>
        <w:tc>
          <w:tcPr>
            <w:tcW w:w="2268" w:type="dxa"/>
          </w:tcPr>
          <w:p w14:paraId="3BF0A6C7" w14:textId="049713E3" w:rsidR="00420E4E" w:rsidRPr="00D22021" w:rsidRDefault="00C54464" w:rsidP="00D161B4">
            <w:pPr>
              <w:ind w:firstLine="0"/>
              <w:jc w:val="center"/>
            </w:pPr>
            <w:r w:rsidRPr="00D22021">
              <w:t>300</w:t>
            </w:r>
            <w:r w:rsidR="000209D4" w:rsidRPr="00D22021">
              <w:t xml:space="preserve"> </w:t>
            </w:r>
            <w:r w:rsidRPr="00D22021">
              <w:t>-</w:t>
            </w:r>
            <w:r w:rsidR="000209D4" w:rsidRPr="00D22021">
              <w:t xml:space="preserve"> </w:t>
            </w:r>
            <w:r w:rsidRPr="00D22021">
              <w:t>600</w:t>
            </w:r>
          </w:p>
        </w:tc>
        <w:tc>
          <w:tcPr>
            <w:tcW w:w="2268" w:type="dxa"/>
            <w:vAlign w:val="bottom"/>
          </w:tcPr>
          <w:p w14:paraId="1A3B03BA" w14:textId="31DA473F" w:rsidR="00420E4E" w:rsidRPr="00D22021" w:rsidRDefault="00420E4E" w:rsidP="00D161B4">
            <w:pPr>
              <w:ind w:firstLine="0"/>
              <w:jc w:val="center"/>
            </w:pPr>
            <w:r w:rsidRPr="00D22021">
              <w:t>48</w:t>
            </w:r>
            <w:r w:rsidR="00E8565E" w:rsidRPr="00D22021">
              <w:t>3</w:t>
            </w:r>
          </w:p>
        </w:tc>
      </w:tr>
      <w:tr w:rsidR="000209D4" w:rsidRPr="00D22021" w14:paraId="4DE3F281" w14:textId="77777777" w:rsidTr="00D161B4">
        <w:trPr>
          <w:trHeight w:val="270"/>
          <w:jc w:val="center"/>
        </w:trPr>
        <w:tc>
          <w:tcPr>
            <w:tcW w:w="2268" w:type="dxa"/>
          </w:tcPr>
          <w:p w14:paraId="6560FD92" w14:textId="1E5B9FA6" w:rsidR="00420E4E" w:rsidRPr="00D22021" w:rsidRDefault="00420E4E" w:rsidP="008E4019">
            <w:pPr>
              <w:ind w:firstLine="0"/>
              <w:jc w:val="left"/>
            </w:pPr>
            <w:r w:rsidRPr="00D22021">
              <w:rPr>
                <w:snapToGrid w:val="0"/>
              </w:rPr>
              <w:t>Více než 40 00</w:t>
            </w:r>
            <w:r w:rsidR="008E4019" w:rsidRPr="00D22021">
              <w:rPr>
                <w:snapToGrid w:val="0"/>
              </w:rPr>
              <w:t>0</w:t>
            </w:r>
          </w:p>
        </w:tc>
        <w:tc>
          <w:tcPr>
            <w:tcW w:w="2268" w:type="dxa"/>
          </w:tcPr>
          <w:p w14:paraId="54ECC838" w14:textId="2F3517A6" w:rsidR="00420E4E" w:rsidRPr="00D22021" w:rsidRDefault="00CE2C70" w:rsidP="00D161B4">
            <w:pPr>
              <w:ind w:firstLine="0"/>
              <w:jc w:val="center"/>
            </w:pPr>
            <w:r w:rsidRPr="00D22021">
              <w:t>6</w:t>
            </w:r>
            <w:r w:rsidR="00CD0184" w:rsidRPr="00D22021">
              <w:t xml:space="preserve">00 - </w:t>
            </w:r>
            <w:r w:rsidR="001E44B7" w:rsidRPr="00D22021">
              <w:t>1</w:t>
            </w:r>
            <w:r w:rsidRPr="00D22021">
              <w:t>1</w:t>
            </w:r>
            <w:r w:rsidR="001E44B7" w:rsidRPr="00D22021">
              <w:t>00</w:t>
            </w:r>
          </w:p>
        </w:tc>
        <w:tc>
          <w:tcPr>
            <w:tcW w:w="2268" w:type="dxa"/>
            <w:vAlign w:val="bottom"/>
          </w:tcPr>
          <w:p w14:paraId="1AC9E1B1" w14:textId="627A8FAD" w:rsidR="00420E4E" w:rsidRPr="00D22021" w:rsidRDefault="00420E4E" w:rsidP="00D161B4">
            <w:pPr>
              <w:ind w:firstLine="0"/>
              <w:jc w:val="center"/>
            </w:pPr>
            <w:r w:rsidRPr="00D22021">
              <w:t>9</w:t>
            </w:r>
            <w:r w:rsidR="00E8565E" w:rsidRPr="00D22021">
              <w:t>24</w:t>
            </w:r>
          </w:p>
        </w:tc>
      </w:tr>
    </w:tbl>
    <w:p w14:paraId="3ECDA65A" w14:textId="77777777" w:rsidR="004E6AEA" w:rsidRPr="00B844FC" w:rsidRDefault="00110362" w:rsidP="003404E9">
      <w:pPr>
        <w:pStyle w:val="Nadpis4"/>
      </w:pPr>
      <w:r w:rsidRPr="00D22021">
        <w:lastRenderedPageBreak/>
        <w:t>Článek 1</w:t>
      </w:r>
      <w:r w:rsidR="001E44B7" w:rsidRPr="00D22021">
        <w:t>5</w:t>
      </w:r>
      <w:r w:rsidR="004E6AEA" w:rsidRPr="00D22021">
        <w:t>.</w:t>
      </w:r>
      <w:r w:rsidR="000766CF" w:rsidRPr="000209D4">
        <w:br/>
      </w:r>
      <w:r w:rsidR="004E6AEA" w:rsidRPr="00B844FC">
        <w:t>Vyhodnocování plnění standardu knihovnických služeb</w:t>
      </w:r>
    </w:p>
    <w:p w14:paraId="7273A9ED" w14:textId="77777777" w:rsidR="004E6AEA" w:rsidRPr="00517E0A" w:rsidRDefault="004E6AEA" w:rsidP="003404E9">
      <w:pPr>
        <w:pStyle w:val="slovn3a"/>
        <w:numPr>
          <w:ilvl w:val="0"/>
          <w:numId w:val="18"/>
        </w:numPr>
      </w:pPr>
      <w:r w:rsidRPr="00517E0A">
        <w:t>Vyhodnocování plnění standardu knihovnických služeb provádí:</w:t>
      </w:r>
    </w:p>
    <w:p w14:paraId="5A4AE421" w14:textId="4D0014BB" w:rsidR="004E6AEA" w:rsidRDefault="006F7956" w:rsidP="006F7956">
      <w:pPr>
        <w:pStyle w:val="slovn3a"/>
        <w:numPr>
          <w:ilvl w:val="0"/>
          <w:numId w:val="0"/>
        </w:numPr>
        <w:ind w:left="426"/>
      </w:pPr>
      <w:r>
        <w:t xml:space="preserve">a) </w:t>
      </w:r>
      <w:r w:rsidR="004E6AEA" w:rsidRPr="00517E0A">
        <w:t>na místní úrovni provozovatel knihovny,</w:t>
      </w:r>
    </w:p>
    <w:p w14:paraId="061EA9B9" w14:textId="6954D86D" w:rsidR="004E6AEA" w:rsidRPr="00517E0A" w:rsidRDefault="006F7956" w:rsidP="006F7956">
      <w:pPr>
        <w:pStyle w:val="slovn3a"/>
        <w:numPr>
          <w:ilvl w:val="0"/>
          <w:numId w:val="0"/>
        </w:numPr>
        <w:ind w:left="426"/>
      </w:pPr>
      <w:r>
        <w:t xml:space="preserve">b) </w:t>
      </w:r>
      <w:r w:rsidR="004E6AEA" w:rsidRPr="00517E0A">
        <w:t>na krajské úrovni krajská knihovna, případně ve spolupráci s knihovnami pověřenými výkonem regionálních funkcí,</w:t>
      </w:r>
    </w:p>
    <w:p w14:paraId="6161C89D" w14:textId="76FFC39B" w:rsidR="004E6AEA" w:rsidRPr="00517E0A" w:rsidRDefault="006F7956" w:rsidP="006F7956">
      <w:pPr>
        <w:pStyle w:val="slovn3a"/>
        <w:numPr>
          <w:ilvl w:val="0"/>
          <w:numId w:val="0"/>
        </w:numPr>
        <w:ind w:left="426"/>
      </w:pPr>
      <w:bookmarkStart w:id="0" w:name="_GoBack"/>
      <w:bookmarkEnd w:id="0"/>
      <w:r>
        <w:t xml:space="preserve">c) </w:t>
      </w:r>
      <w:r w:rsidR="004E6AEA" w:rsidRPr="00517E0A">
        <w:t>na celostátní úrovni Národní knihovna České republiky.</w:t>
      </w:r>
    </w:p>
    <w:p w14:paraId="7F5A27E4" w14:textId="74A4D453" w:rsidR="004E6AEA" w:rsidRPr="00517E0A" w:rsidRDefault="004E6AEA" w:rsidP="003404E9">
      <w:pPr>
        <w:pStyle w:val="slovn3a"/>
      </w:pPr>
      <w:r w:rsidRPr="00517E0A">
        <w:t>Vyhodnocování plnění standardu knihovnických služeb vychází ze statistického šetření, které je prováděno na základě statistického výkazu pro veřejné knihovny ve formuláři Kult (MK) 12-01, případně se doplní dílčí analýzou či průzkumem.</w:t>
      </w:r>
    </w:p>
    <w:p w14:paraId="40B95582" w14:textId="77777777" w:rsidR="004E6AEA" w:rsidRPr="00517E0A" w:rsidRDefault="004E6AEA" w:rsidP="003404E9">
      <w:pPr>
        <w:pStyle w:val="slovn3a"/>
      </w:pPr>
      <w:r w:rsidRPr="00517E0A">
        <w:t>Krajská knihovna, knihovna pověřená výkonem regionálních funkcí a Národní knihovna České republiky zveřejní nejméně jedenkrát za dva roky prostřednictvím internetu výsledky vyhodnocení plnění standardu knihovnických služeb.</w:t>
      </w:r>
    </w:p>
    <w:p w14:paraId="1683F857" w14:textId="3DFB4BE9" w:rsidR="008F24C4" w:rsidRDefault="004E6AEA" w:rsidP="00526418">
      <w:pPr>
        <w:pStyle w:val="slovn3a"/>
      </w:pPr>
      <w:r w:rsidRPr="00517E0A">
        <w:t>Nejdéle po uplynutí každých pěti let budou indikátory porovnány se skutečným stavem knihovnických</w:t>
      </w:r>
      <w:r w:rsidRPr="00B844FC">
        <w:t xml:space="preserve"> služeb, a to jak na krajské úrovni krajskou knihovnou, tak i na úrovni celostátní Národní knihovnou České republiky.</w:t>
      </w:r>
    </w:p>
    <w:p w14:paraId="6C9BFC96" w14:textId="3736099E" w:rsidR="009C19DD" w:rsidRDefault="009C19DD" w:rsidP="009C19DD">
      <w:pPr>
        <w:pStyle w:val="slovn3a"/>
        <w:numPr>
          <w:ilvl w:val="0"/>
          <w:numId w:val="0"/>
        </w:numPr>
        <w:ind w:left="426" w:hanging="360"/>
      </w:pPr>
    </w:p>
    <w:p w14:paraId="5C07A362" w14:textId="77777777" w:rsidR="00151DAA" w:rsidRPr="007947A0" w:rsidRDefault="00151DAA" w:rsidP="009C19DD">
      <w:pPr>
        <w:pStyle w:val="slovn3a"/>
        <w:numPr>
          <w:ilvl w:val="0"/>
          <w:numId w:val="0"/>
        </w:numPr>
        <w:ind w:left="426" w:hanging="360"/>
      </w:pPr>
    </w:p>
    <w:p w14:paraId="2F1BC772" w14:textId="77777777" w:rsidR="009C19DD" w:rsidRDefault="009C19DD" w:rsidP="009C19DD">
      <w:pPr>
        <w:pStyle w:val="slovn3a"/>
        <w:numPr>
          <w:ilvl w:val="0"/>
          <w:numId w:val="0"/>
        </w:numPr>
        <w:ind w:left="426" w:hanging="360"/>
      </w:pPr>
    </w:p>
    <w:p w14:paraId="36BF672A" w14:textId="77777777" w:rsidR="003E478B" w:rsidRDefault="003E478B" w:rsidP="009C19DD">
      <w:pPr>
        <w:pStyle w:val="slovn3a"/>
        <w:numPr>
          <w:ilvl w:val="0"/>
          <w:numId w:val="0"/>
        </w:numPr>
        <w:ind w:left="426" w:hanging="360"/>
      </w:pPr>
    </w:p>
    <w:p w14:paraId="67E57EF0" w14:textId="77777777" w:rsidR="003E478B" w:rsidRDefault="003E478B" w:rsidP="009C19DD">
      <w:pPr>
        <w:pStyle w:val="slovn3a"/>
        <w:numPr>
          <w:ilvl w:val="0"/>
          <w:numId w:val="0"/>
        </w:numPr>
        <w:ind w:left="426" w:hanging="360"/>
      </w:pPr>
    </w:p>
    <w:p w14:paraId="492BF76A" w14:textId="77777777" w:rsidR="003E478B" w:rsidRPr="007947A0" w:rsidRDefault="003E478B" w:rsidP="009C19DD">
      <w:pPr>
        <w:pStyle w:val="slovn3a"/>
        <w:numPr>
          <w:ilvl w:val="0"/>
          <w:numId w:val="0"/>
        </w:numPr>
        <w:ind w:left="426" w:hanging="360"/>
      </w:pPr>
    </w:p>
    <w:p w14:paraId="5FDADFA5" w14:textId="6AF60A8C" w:rsidR="004E6AEA" w:rsidRPr="007947A0" w:rsidRDefault="004E6AEA" w:rsidP="00151DAA">
      <w:pPr>
        <w:pStyle w:val="Zkladntext"/>
        <w:ind w:firstLine="0"/>
      </w:pPr>
      <w:r w:rsidRPr="007947A0">
        <w:rPr>
          <w:b w:val="0"/>
        </w:rPr>
        <w:t>V Praze dne</w:t>
      </w:r>
      <w:r w:rsidR="007F5CA1" w:rsidRPr="007947A0">
        <w:rPr>
          <w:b w:val="0"/>
        </w:rPr>
        <w:t xml:space="preserve"> </w:t>
      </w:r>
      <w:r w:rsidR="00E026D7">
        <w:rPr>
          <w:b w:val="0"/>
        </w:rPr>
        <w:t xml:space="preserve">18. 12. </w:t>
      </w:r>
      <w:r w:rsidR="0071405F" w:rsidRPr="007947A0">
        <w:rPr>
          <w:b w:val="0"/>
        </w:rPr>
        <w:t>2019</w:t>
      </w:r>
      <w:r w:rsidR="007947A0" w:rsidRPr="007947A0">
        <w:tab/>
      </w:r>
      <w:r w:rsidR="007947A0" w:rsidRPr="007947A0">
        <w:tab/>
      </w:r>
      <w:r w:rsidR="007947A0" w:rsidRPr="007947A0">
        <w:tab/>
      </w:r>
      <w:r w:rsidR="00E026D7">
        <w:tab/>
      </w:r>
      <w:r w:rsidR="007F5CA1" w:rsidRPr="007947A0">
        <w:t>……………………………</w:t>
      </w:r>
      <w:r w:rsidR="00151DAA">
        <w:t>……</w:t>
      </w:r>
      <w:proofErr w:type="gramStart"/>
      <w:r w:rsidR="00151DAA">
        <w:t>…..</w:t>
      </w:r>
      <w:proofErr w:type="gramEnd"/>
    </w:p>
    <w:p w14:paraId="6AC2A610" w14:textId="7719519E" w:rsidR="007F5CA1" w:rsidRPr="007F5CA1" w:rsidRDefault="009E1E1C" w:rsidP="005F381D">
      <w:pPr>
        <w:spacing w:line="240" w:lineRule="auto"/>
        <w:ind w:left="4247"/>
      </w:pPr>
      <w:r>
        <w:t xml:space="preserve">           </w:t>
      </w:r>
      <w:r w:rsidR="007F5CA1" w:rsidRPr="007F5CA1">
        <w:t xml:space="preserve">Mgr. </w:t>
      </w:r>
      <w:smartTag w:uri="urn:schemas-microsoft-com:office:smarttags" w:element="PersonName">
        <w:smartTagPr>
          <w:attr w:name="ProductID" w:val="Blanka Skučková"/>
        </w:smartTagPr>
        <w:r w:rsidR="007F5CA1" w:rsidRPr="007F5CA1">
          <w:t>Blanka Skučková</w:t>
        </w:r>
      </w:smartTag>
    </w:p>
    <w:p w14:paraId="1942F99A" w14:textId="0246B22D" w:rsidR="007F5CA1" w:rsidRDefault="007947A0" w:rsidP="005F381D">
      <w:pPr>
        <w:spacing w:before="0" w:line="240" w:lineRule="auto"/>
        <w:ind w:left="4247"/>
      </w:pPr>
      <w:r>
        <w:t>v</w:t>
      </w:r>
      <w:r w:rsidR="007F5CA1" w:rsidRPr="007F5CA1">
        <w:t>edoucí</w:t>
      </w:r>
      <w:r>
        <w:t xml:space="preserve"> </w:t>
      </w:r>
      <w:r w:rsidR="007F5CA1" w:rsidRPr="007F5CA1">
        <w:t>oddělení</w:t>
      </w:r>
      <w:r>
        <w:t xml:space="preserve"> </w:t>
      </w:r>
      <w:r w:rsidR="007F5CA1" w:rsidRPr="007F5CA1">
        <w:t>literatury a knihoven</w:t>
      </w:r>
    </w:p>
    <w:p w14:paraId="74AC0683" w14:textId="215CFF41" w:rsidR="002314D3" w:rsidRPr="007F5CA1" w:rsidRDefault="009E1E1C" w:rsidP="005F381D">
      <w:pPr>
        <w:spacing w:before="0" w:line="240" w:lineRule="auto"/>
        <w:ind w:left="4247"/>
      </w:pPr>
      <w:r>
        <w:t xml:space="preserve">             </w:t>
      </w:r>
      <w:r w:rsidR="002314D3">
        <w:t>Ministerstva kultury</w:t>
      </w:r>
    </w:p>
    <w:sectPr w:rsidR="002314D3" w:rsidRPr="007F5CA1" w:rsidSect="00E026D7">
      <w:headerReference w:type="even" r:id="rId9"/>
      <w:headerReference w:type="default" r:id="rId10"/>
      <w:footerReference w:type="even" r:id="rId11"/>
      <w:footerReference w:type="default" r:id="rId12"/>
      <w:headerReference w:type="first" r:id="rId13"/>
      <w:footerReference w:type="first" r:id="rId14"/>
      <w:pgSz w:w="11906" w:h="16838"/>
      <w:pgMar w:top="567" w:right="1418" w:bottom="567"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80D6D" w15:done="0"/>
  <w15:commentEx w15:paraId="266FF174" w15:done="0"/>
  <w15:commentEx w15:paraId="438A80FC" w15:done="0"/>
  <w15:commentEx w15:paraId="7699AC3E" w15:done="0"/>
  <w15:commentEx w15:paraId="200EDA36" w15:done="0"/>
  <w15:commentEx w15:paraId="3CD8DAA9" w15:done="0"/>
  <w15:commentEx w15:paraId="7F8A3225" w15:done="0"/>
  <w15:commentEx w15:paraId="4B034492" w15:done="0"/>
  <w15:commentEx w15:paraId="1B402E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F7E15" w14:textId="77777777" w:rsidR="00FC2F1B" w:rsidRDefault="00FC2F1B" w:rsidP="004A7F5A">
      <w:r>
        <w:separator/>
      </w:r>
    </w:p>
  </w:endnote>
  <w:endnote w:type="continuationSeparator" w:id="0">
    <w:p w14:paraId="3687AA3A" w14:textId="77777777" w:rsidR="00FC2F1B" w:rsidRDefault="00FC2F1B" w:rsidP="004A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faPID">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3719" w14:textId="77777777" w:rsidR="000C60BE" w:rsidRDefault="000C60B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F7AA9" w14:textId="77777777" w:rsidR="000C60BE" w:rsidRDefault="000C60B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B9D6E" w14:textId="77777777" w:rsidR="000C60BE" w:rsidRDefault="000C60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F7E53" w14:textId="77777777" w:rsidR="00FC2F1B" w:rsidRDefault="00FC2F1B" w:rsidP="004A7F5A">
      <w:r>
        <w:separator/>
      </w:r>
    </w:p>
  </w:footnote>
  <w:footnote w:type="continuationSeparator" w:id="0">
    <w:p w14:paraId="254A4050" w14:textId="77777777" w:rsidR="00FC2F1B" w:rsidRDefault="00FC2F1B" w:rsidP="004A7F5A">
      <w:r>
        <w:continuationSeparator/>
      </w:r>
    </w:p>
  </w:footnote>
  <w:footnote w:id="1">
    <w:p w14:paraId="2339591A" w14:textId="30A30260" w:rsidR="00870AAC" w:rsidRPr="00E915D4" w:rsidRDefault="00870AAC" w:rsidP="00E915D4">
      <w:pPr>
        <w:pStyle w:val="Podarou"/>
        <w:jc w:val="both"/>
        <w:rPr>
          <w:szCs w:val="22"/>
        </w:rPr>
      </w:pPr>
      <w:r w:rsidRPr="00E915D4">
        <w:rPr>
          <w:rStyle w:val="Znakapoznpodarou"/>
          <w:szCs w:val="22"/>
        </w:rPr>
        <w:footnoteRef/>
      </w:r>
      <w:r w:rsidRPr="00E915D4">
        <w:rPr>
          <w:szCs w:val="22"/>
        </w:rPr>
        <w:t xml:space="preserve"> Více zde </w:t>
      </w:r>
      <w:hyperlink r:id="rId1" w:history="1">
        <w:r w:rsidRPr="00E915D4">
          <w:rPr>
            <w:rStyle w:val="Hypertextovodkaz"/>
            <w:szCs w:val="22"/>
          </w:rPr>
          <w:t>https://www.mkcr.cz/statni-kulturni-politika-69.html</w:t>
        </w:r>
      </w:hyperlink>
    </w:p>
  </w:footnote>
  <w:footnote w:id="2">
    <w:p w14:paraId="02517918" w14:textId="0A9F4F6F" w:rsidR="00E915D4" w:rsidRPr="00E915D4" w:rsidRDefault="00B47952" w:rsidP="00E915D4">
      <w:pPr>
        <w:pStyle w:val="Podarou"/>
        <w:jc w:val="both"/>
        <w:rPr>
          <w:szCs w:val="22"/>
        </w:rPr>
      </w:pPr>
      <w:r w:rsidRPr="00E915D4">
        <w:rPr>
          <w:rStyle w:val="Znakapoznpodarou"/>
          <w:szCs w:val="22"/>
        </w:rPr>
        <w:footnoteRef/>
      </w:r>
      <w:r w:rsidRPr="00E915D4">
        <w:rPr>
          <w:szCs w:val="22"/>
        </w:rPr>
        <w:t xml:space="preserve"> Podrobněji Metodické vyjádření MK k problematice poskytování VKIS zaručujícím rovný přístup všem bez rozdílu – viz </w:t>
      </w:r>
      <w:hyperlink r:id="rId2" w:history="1">
        <w:r w:rsidRPr="00E915D4">
          <w:rPr>
            <w:rStyle w:val="Hypertextovodkaz"/>
            <w:szCs w:val="22"/>
          </w:rPr>
          <w:t>https://www.mkcr.cz/doc/cms_library/metodicke-vyjadreni-k-principu-rovnosti-podle-knihovniho-zakona_2-1079.pdf</w:t>
        </w:r>
      </w:hyperlink>
    </w:p>
  </w:footnote>
  <w:footnote w:id="3">
    <w:p w14:paraId="4D2DDAD2" w14:textId="568E88BD" w:rsidR="00680824" w:rsidRPr="00E915D4" w:rsidRDefault="00680824" w:rsidP="00E915D4">
      <w:pPr>
        <w:pStyle w:val="Textpoznpodarou"/>
        <w:spacing w:before="0" w:line="240" w:lineRule="auto"/>
        <w:ind w:firstLine="0"/>
        <w:rPr>
          <w:sz w:val="22"/>
          <w:szCs w:val="22"/>
        </w:rPr>
      </w:pPr>
      <w:r w:rsidRPr="00E915D4">
        <w:rPr>
          <w:rStyle w:val="Znakapoznpodarou"/>
          <w:sz w:val="22"/>
          <w:szCs w:val="22"/>
        </w:rPr>
        <w:footnoteRef/>
      </w:r>
      <w:r w:rsidRPr="00E915D4">
        <w:rPr>
          <w:sz w:val="22"/>
          <w:szCs w:val="22"/>
        </w:rPr>
        <w:t xml:space="preserve"> Platné právní předpisy, a to i z oblasti trestněprávní, ovšem stanoví určité meze principu rovnosti.</w:t>
      </w:r>
    </w:p>
  </w:footnote>
  <w:footnote w:id="4">
    <w:p w14:paraId="0326F648" w14:textId="231AA94B" w:rsidR="00A532B7" w:rsidRPr="00E915D4" w:rsidRDefault="00870AAC" w:rsidP="00E915D4">
      <w:pPr>
        <w:pStyle w:val="Podarou"/>
        <w:jc w:val="both"/>
        <w:rPr>
          <w:szCs w:val="22"/>
        </w:rPr>
      </w:pPr>
      <w:r w:rsidRPr="00E915D4">
        <w:rPr>
          <w:rStyle w:val="Znakapoznpodarou"/>
          <w:szCs w:val="22"/>
        </w:rPr>
        <w:footnoteRef/>
      </w:r>
      <w:r w:rsidRPr="00E915D4">
        <w:rPr>
          <w:szCs w:val="22"/>
        </w:rPr>
        <w:t xml:space="preserve"> Viz </w:t>
      </w:r>
      <w:hyperlink r:id="rId3" w:history="1">
        <w:r w:rsidR="00A532B7" w:rsidRPr="00E915D4">
          <w:rPr>
            <w:rStyle w:val="Hypertextovodkaz"/>
            <w:szCs w:val="22"/>
          </w:rPr>
          <w:t>https://www.mkcr.cz/evidence-knihoven-adresar-knihoven-evidovanych-ministerstvem-kultury-a-souvisejici-informace-341.html</w:t>
        </w:r>
      </w:hyperlink>
    </w:p>
  </w:footnote>
  <w:footnote w:id="5">
    <w:p w14:paraId="0902BEEF" w14:textId="237142C1" w:rsidR="00B8526C" w:rsidRPr="00F105A1" w:rsidRDefault="00B8526C" w:rsidP="00E915D4">
      <w:pPr>
        <w:pStyle w:val="Textpoznpodarou"/>
        <w:spacing w:before="0" w:line="240" w:lineRule="auto"/>
        <w:ind w:firstLine="0"/>
        <w:rPr>
          <w:sz w:val="22"/>
          <w:szCs w:val="22"/>
        </w:rPr>
      </w:pPr>
      <w:r w:rsidRPr="00F105A1">
        <w:rPr>
          <w:rStyle w:val="Znakapoznpodarou"/>
          <w:sz w:val="22"/>
          <w:szCs w:val="22"/>
        </w:rPr>
        <w:footnoteRef/>
      </w:r>
      <w:r w:rsidR="008732B1" w:rsidRPr="00F105A1">
        <w:rPr>
          <w:sz w:val="22"/>
          <w:szCs w:val="22"/>
        </w:rPr>
        <w:t xml:space="preserve"> </w:t>
      </w:r>
      <w:r w:rsidRPr="00F105A1">
        <w:rPr>
          <w:sz w:val="22"/>
          <w:szCs w:val="22"/>
        </w:rPr>
        <w:t>Manifest IFLA/UNESCO o veřejných knihovnách 1994. Český překlad publikován například: Služby veřejných knihoven. Směrnice IFLA. Praha, Národní knihovna ČR 2012.</w:t>
      </w:r>
    </w:p>
  </w:footnote>
  <w:footnote w:id="6">
    <w:p w14:paraId="41BCF743" w14:textId="3C634FC4" w:rsidR="00870AAC" w:rsidRDefault="00870AAC" w:rsidP="00E915D4">
      <w:pPr>
        <w:pStyle w:val="Podarou"/>
        <w:jc w:val="both"/>
      </w:pPr>
      <w:r>
        <w:rPr>
          <w:rStyle w:val="Znakapoznpodarou"/>
        </w:rPr>
        <w:footnoteRef/>
      </w:r>
      <w:r>
        <w:t xml:space="preserve"> </w:t>
      </w:r>
      <w:r w:rsidR="005758BA" w:rsidRPr="00D22021">
        <w:t xml:space="preserve">KOONTZ, </w:t>
      </w:r>
      <w:proofErr w:type="spellStart"/>
      <w:r w:rsidR="005758BA" w:rsidRPr="00D22021">
        <w:t>Christie</w:t>
      </w:r>
      <w:proofErr w:type="spellEnd"/>
      <w:r w:rsidR="005758BA" w:rsidRPr="00D22021">
        <w:t xml:space="preserve"> a Barbara GUBBIN. </w:t>
      </w:r>
      <w:r w:rsidR="005758BA" w:rsidRPr="00D22021">
        <w:rPr>
          <w:i/>
        </w:rPr>
        <w:t>Služby veřejných knihoven: směrnice IFLA</w:t>
      </w:r>
      <w:r w:rsidR="005758BA" w:rsidRPr="00D22021">
        <w:t xml:space="preserve"> [online]. 2., zcela </w:t>
      </w:r>
      <w:proofErr w:type="spellStart"/>
      <w:r w:rsidR="005758BA" w:rsidRPr="00D22021">
        <w:t>přeprac</w:t>
      </w:r>
      <w:proofErr w:type="spellEnd"/>
      <w:r w:rsidR="005758BA" w:rsidRPr="00D22021">
        <w:t>. vyd. Praha: Národní knihovna České republiky - Knihovnický institut, 2012 [cit. 2019-10-01]. ISBN 978-80-7050-612-7.</w:t>
      </w:r>
    </w:p>
  </w:footnote>
  <w:footnote w:id="7">
    <w:p w14:paraId="0966936B" w14:textId="7E9EAA5B" w:rsidR="00870AAC" w:rsidRDefault="00870AAC" w:rsidP="00E915D4">
      <w:pPr>
        <w:pStyle w:val="Podarou"/>
        <w:jc w:val="both"/>
      </w:pPr>
      <w:r>
        <w:rPr>
          <w:rStyle w:val="Znakapoznpodarou"/>
        </w:rPr>
        <w:footnoteRef/>
      </w:r>
      <w:r>
        <w:t xml:space="preserve"> </w:t>
      </w:r>
      <w:r w:rsidRPr="00D22021">
        <w:t xml:space="preserve">Zjištěno na základě analýzy rezortní statistiky kultury zpracovávané Národním informačním poradenským střediskem pro kulturu z roku </w:t>
      </w:r>
      <w:r w:rsidR="005758BA" w:rsidRPr="00D22021">
        <w:t>2018</w:t>
      </w:r>
      <w:r w:rsidRPr="00D22021">
        <w:t>.</w:t>
      </w:r>
    </w:p>
  </w:footnote>
  <w:footnote w:id="8">
    <w:p w14:paraId="3F322DB0" w14:textId="77777777" w:rsidR="00870AAC" w:rsidRPr="00E915D4" w:rsidRDefault="00870AAC" w:rsidP="00E915D4">
      <w:pPr>
        <w:spacing w:line="240" w:lineRule="auto"/>
        <w:ind w:firstLine="0"/>
        <w:rPr>
          <w:sz w:val="22"/>
          <w:szCs w:val="22"/>
        </w:rPr>
      </w:pPr>
      <w:r w:rsidRPr="00E915D4">
        <w:rPr>
          <w:rStyle w:val="Znakapoznpodarou"/>
          <w:sz w:val="22"/>
          <w:szCs w:val="22"/>
        </w:rPr>
        <w:footnoteRef/>
      </w:r>
      <w:r w:rsidRPr="00E915D4">
        <w:rPr>
          <w:sz w:val="22"/>
          <w:szCs w:val="22"/>
        </w:rPr>
        <w:t xml:space="preserve"> </w:t>
      </w:r>
      <w:r w:rsidRPr="00E915D4">
        <w:rPr>
          <w:rStyle w:val="PodarouChar"/>
          <w:szCs w:val="22"/>
        </w:rPr>
        <w:t>Stanovená hodnota provozní doby se vztahuje na týdenní provozní dobu nejdéle otevřeného provozního útvaru knihovny včetně poboček. V případě poboček se provozní doba stanovuje podle počtu obsluhované populace, např. počtu obyvatel městské částí, sídliště či přidružené obce v dané lokalitě.</w:t>
      </w:r>
    </w:p>
  </w:footnote>
  <w:footnote w:id="9">
    <w:p w14:paraId="030F8D29" w14:textId="77777777" w:rsidR="00870AAC" w:rsidRPr="00E915D4" w:rsidRDefault="00870AAC" w:rsidP="00720F27">
      <w:pPr>
        <w:pStyle w:val="Podarou"/>
        <w:jc w:val="both"/>
        <w:rPr>
          <w:szCs w:val="22"/>
        </w:rPr>
      </w:pPr>
      <w:r w:rsidRPr="00E915D4">
        <w:rPr>
          <w:rStyle w:val="Znakapoznpodarou"/>
          <w:szCs w:val="22"/>
        </w:rPr>
        <w:footnoteRef/>
      </w:r>
      <w:r w:rsidRPr="00E915D4">
        <w:rPr>
          <w:szCs w:val="22"/>
        </w:rPr>
        <w:t xml:space="preserve"> Uvedený indikátor zahrnuje průměrnou hodnotu na nákup knih, periodik, zvukových a dalších dokumentů včetně nákupu databází a licencí na elektronické informační zdroje, a to pořízených pouze z vlastních finančních zdrojů, nikoliv z dotací na tvorbu výměnného fondu.</w:t>
      </w:r>
    </w:p>
  </w:footnote>
  <w:footnote w:id="10">
    <w:p w14:paraId="48E19216" w14:textId="10850A47" w:rsidR="00F105A1" w:rsidRPr="00E915D4" w:rsidRDefault="00870AAC" w:rsidP="00E915D4">
      <w:pPr>
        <w:pStyle w:val="Textpoznpodarou"/>
        <w:spacing w:before="0" w:line="240" w:lineRule="auto"/>
        <w:ind w:firstLine="0"/>
        <w:rPr>
          <w:sz w:val="22"/>
          <w:szCs w:val="22"/>
        </w:rPr>
      </w:pPr>
      <w:r w:rsidRPr="00E915D4">
        <w:rPr>
          <w:rStyle w:val="Znakapoznpodarou"/>
          <w:sz w:val="22"/>
          <w:szCs w:val="22"/>
        </w:rPr>
        <w:footnoteRef/>
      </w:r>
      <w:r w:rsidRPr="00E915D4">
        <w:rPr>
          <w:sz w:val="22"/>
          <w:szCs w:val="22"/>
        </w:rPr>
        <w:t xml:space="preserve"> </w:t>
      </w:r>
      <w:r w:rsidRPr="00E915D4">
        <w:rPr>
          <w:i/>
          <w:iCs/>
          <w:sz w:val="22"/>
          <w:szCs w:val="22"/>
          <w:shd w:val="clear" w:color="auto" w:fill="FFFFFF"/>
        </w:rPr>
        <w:t xml:space="preserve">Standard pro dobrý knihovní fond: </w:t>
      </w:r>
      <w:r w:rsidRPr="00D22021">
        <w:rPr>
          <w:i/>
          <w:iCs/>
          <w:sz w:val="22"/>
          <w:szCs w:val="22"/>
          <w:shd w:val="clear" w:color="auto" w:fill="FFFFFF"/>
        </w:rPr>
        <w:t>metodický pokyn Ministerstva kultury k vymezení standardu doplňování a aktualizace knihovního fondu pro knihovny zřizované a/nebo provozované obcemi na území České republiky</w:t>
      </w:r>
      <w:r w:rsidRPr="00D22021">
        <w:rPr>
          <w:sz w:val="22"/>
          <w:szCs w:val="22"/>
          <w:shd w:val="clear" w:color="auto" w:fill="FFFFFF"/>
        </w:rPr>
        <w:t>. 1. vydání. Praha: Národní knihovna České republiky - Knihovnický institut, 2017. 20 stran. </w:t>
      </w:r>
      <w:r w:rsidRPr="00D22021">
        <w:rPr>
          <w:sz w:val="22"/>
          <w:szCs w:val="22"/>
        </w:rPr>
        <w:t>ISBN 978-80-7050-689-9</w:t>
      </w:r>
      <w:r w:rsidRPr="00D22021">
        <w:rPr>
          <w:sz w:val="22"/>
          <w:szCs w:val="22"/>
          <w:shd w:val="clear" w:color="auto" w:fill="FFFFFF"/>
        </w:rPr>
        <w:t xml:space="preserve">. Dostupné také z: </w:t>
      </w:r>
      <w:hyperlink r:id="rId4" w:history="1">
        <w:r w:rsidR="005758BA" w:rsidRPr="00D22021">
          <w:rPr>
            <w:rStyle w:val="Hypertextovodkaz"/>
            <w:sz w:val="22"/>
            <w:szCs w:val="22"/>
            <w:shd w:val="clear" w:color="auto" w:fill="FFFFFF"/>
          </w:rPr>
          <w:t>https://ipk.nkp.cz/docs/standard-pro-dobry-knihovni-fond</w:t>
        </w:r>
      </w:hyperlink>
      <w:r w:rsidR="00F105A1" w:rsidRPr="00D22021">
        <w:rPr>
          <w:sz w:val="22"/>
          <w:szCs w:val="22"/>
          <w:shd w:val="clear" w:color="auto" w:fill="FFFFFF"/>
        </w:rPr>
        <w:t>.</w:t>
      </w:r>
    </w:p>
  </w:footnote>
  <w:footnote w:id="11">
    <w:p w14:paraId="5343B052" w14:textId="19DEABB6" w:rsidR="00870AAC" w:rsidRPr="00E915D4" w:rsidRDefault="00870AAC" w:rsidP="00720F27">
      <w:pPr>
        <w:pStyle w:val="Podarou"/>
        <w:jc w:val="both"/>
        <w:rPr>
          <w:szCs w:val="22"/>
        </w:rPr>
      </w:pPr>
      <w:r w:rsidRPr="00E915D4">
        <w:rPr>
          <w:rStyle w:val="Znakapoznpodarou"/>
          <w:szCs w:val="22"/>
        </w:rPr>
        <w:footnoteRef/>
      </w:r>
      <w:r w:rsidRPr="00E915D4">
        <w:rPr>
          <w:szCs w:val="22"/>
        </w:rPr>
        <w:t xml:space="preserve"> Spádová oblast – zpravidla se jedná o území obce, v případě, že knihovna slouží i přidruženým obcí</w:t>
      </w:r>
      <w:r w:rsidR="00E96176" w:rsidRPr="00E915D4">
        <w:rPr>
          <w:szCs w:val="22"/>
        </w:rPr>
        <w:t>m</w:t>
      </w:r>
      <w:r w:rsidRPr="00E915D4">
        <w:rPr>
          <w:szCs w:val="22"/>
        </w:rPr>
        <w:t>, provede se součet obyvatel všech lokalit, kterým knihovna slouží. V případě knihovny sloužící určité části obce, hodnot</w:t>
      </w:r>
      <w:r w:rsidR="00C95175" w:rsidRPr="00E915D4">
        <w:rPr>
          <w:szCs w:val="22"/>
        </w:rPr>
        <w:t>í se počet obyvatel této části.</w:t>
      </w:r>
    </w:p>
  </w:footnote>
  <w:footnote w:id="12">
    <w:p w14:paraId="5ACC37C6" w14:textId="6AE5DB45" w:rsidR="00870AAC" w:rsidRPr="00E915D4" w:rsidRDefault="00870AAC" w:rsidP="00720F27">
      <w:pPr>
        <w:pStyle w:val="Podarou"/>
        <w:jc w:val="both"/>
        <w:rPr>
          <w:szCs w:val="22"/>
        </w:rPr>
      </w:pPr>
      <w:r w:rsidRPr="00E915D4">
        <w:rPr>
          <w:rStyle w:val="Znakapoznpodarou"/>
          <w:szCs w:val="22"/>
        </w:rPr>
        <w:footnoteRef/>
      </w:r>
      <w:r w:rsidRPr="00E915D4">
        <w:rPr>
          <w:szCs w:val="22"/>
        </w:rPr>
        <w:t xml:space="preserve"> Technická normalizační informace TNI ISO/TR 11219 (01 3715) – Informace a dokumentace – kvalitativní podmínky a základní statistika pro budovy knihoven – plocha, funkčnost, design. Praha: Úřad pro technickou normalizaci, metrologii a státní zkušebnictví, 2014. 164 s.</w:t>
      </w:r>
    </w:p>
    <w:p w14:paraId="69E73ADB" w14:textId="5B36F97E" w:rsidR="00C95175" w:rsidRPr="00E915D4" w:rsidRDefault="00870AAC" w:rsidP="00720F27">
      <w:pPr>
        <w:shd w:val="clear" w:color="auto" w:fill="FFFFFF"/>
        <w:spacing w:before="0" w:line="240" w:lineRule="auto"/>
        <w:ind w:firstLine="0"/>
        <w:rPr>
          <w:sz w:val="22"/>
          <w:szCs w:val="22"/>
        </w:rPr>
      </w:pPr>
      <w:r w:rsidRPr="00E915D4">
        <w:rPr>
          <w:i/>
          <w:iCs/>
          <w:sz w:val="22"/>
          <w:szCs w:val="22"/>
        </w:rPr>
        <w:t>Doporučení pro výstavbu, rekonstrukci a zařizování knihoven zřizovaných a/nebo provozovaných obcemi na území České republiky</w:t>
      </w:r>
      <w:r w:rsidRPr="00E915D4">
        <w:rPr>
          <w:sz w:val="22"/>
          <w:szCs w:val="22"/>
        </w:rPr>
        <w:t xml:space="preserve"> [online]. Praha: Národní knihovna ČR, 2012 [cit. 2018-06-20]. Dostupné z: </w:t>
      </w:r>
      <w:hyperlink r:id="rId5" w:history="1">
        <w:r w:rsidR="00C95175" w:rsidRPr="00E915D4">
          <w:rPr>
            <w:rStyle w:val="Hypertextovodkaz"/>
            <w:sz w:val="22"/>
            <w:szCs w:val="22"/>
          </w:rPr>
          <w:t>https://ipk.nkp.cz/docs/Doporuceni_Vystavba_07_05_2012DEF.pdf</w:t>
        </w:r>
      </w:hyperlink>
    </w:p>
  </w:footnote>
  <w:footnote w:id="13">
    <w:p w14:paraId="4E3C84C8" w14:textId="77777777" w:rsidR="00870AAC" w:rsidRPr="009A1B40" w:rsidRDefault="00870AAC" w:rsidP="00720F27">
      <w:pPr>
        <w:pStyle w:val="Podarou"/>
        <w:jc w:val="both"/>
        <w:rPr>
          <w:szCs w:val="22"/>
        </w:rPr>
      </w:pPr>
      <w:r w:rsidRPr="00C95175">
        <w:rPr>
          <w:rStyle w:val="Znakapoznpodarou"/>
          <w:szCs w:val="22"/>
        </w:rPr>
        <w:footnoteRef/>
      </w:r>
      <w:r w:rsidRPr="00C95175">
        <w:rPr>
          <w:szCs w:val="22"/>
        </w:rPr>
        <w:t xml:space="preserve"> </w:t>
      </w:r>
      <w:r w:rsidRPr="00C95175">
        <w:rPr>
          <w:rStyle w:val="PodarouChar"/>
          <w:szCs w:val="22"/>
        </w:rPr>
        <w:t xml:space="preserve">Definice studijního místa dle ČSN ISO 11620 (01 01143) Informace a dokumentace – ukazatele výkonnosti knihoven. </w:t>
      </w:r>
      <w:r w:rsidRPr="00C95175">
        <w:rPr>
          <w:szCs w:val="22"/>
        </w:rPr>
        <w:t xml:space="preserve">Místo sloužící uživatelům na čtení nebo studium, ať už se zařízeními, nebo bez nich. Patří sem místa ve čtenářských koutcích, v seminárních a studijních prostorách a </w:t>
      </w:r>
      <w:r w:rsidRPr="009A1B40">
        <w:rPr>
          <w:szCs w:val="22"/>
        </w:rPr>
        <w:t>v audiovizuálních a dětských odděleních knihovny. Nepatří sem místa v halách, přednáškových a divadelních sálech, kde se uskutečňují speciální představení. Vyloučené jsou i podlahové prostory, kde mohou studenti sedět, a podobné neformální prostory.</w:t>
      </w:r>
    </w:p>
  </w:footnote>
  <w:footnote w:id="14">
    <w:p w14:paraId="476AF08A" w14:textId="06F5F30E" w:rsidR="001A284D" w:rsidRPr="00E915D4" w:rsidRDefault="001A284D" w:rsidP="00E915D4">
      <w:pPr>
        <w:pStyle w:val="Textpoznpodarou"/>
        <w:spacing w:line="240" w:lineRule="auto"/>
        <w:ind w:firstLine="0"/>
        <w:rPr>
          <w:sz w:val="22"/>
          <w:szCs w:val="22"/>
        </w:rPr>
      </w:pPr>
      <w:r w:rsidRPr="00E915D4">
        <w:rPr>
          <w:rStyle w:val="Znakapoznpodarou"/>
          <w:sz w:val="22"/>
          <w:szCs w:val="22"/>
        </w:rPr>
        <w:footnoteRef/>
      </w:r>
      <w:r w:rsidRPr="00E915D4">
        <w:rPr>
          <w:sz w:val="22"/>
          <w:szCs w:val="22"/>
        </w:rPr>
        <w:t xml:space="preserve"> V rámci českého právního řádu musí být přístup z podstaty věci omezen, např. osobám do 18 let nesmí být zpřístupněna pornografie, vůbec nesmějí být zpřístupňovány např. stránky propagující fašismus apod.</w:t>
      </w:r>
    </w:p>
  </w:footnote>
  <w:footnote w:id="15">
    <w:p w14:paraId="58C3B308" w14:textId="64DE6DBF" w:rsidR="00B619F4" w:rsidRPr="00E915D4" w:rsidRDefault="00870AAC" w:rsidP="00E915D4">
      <w:pPr>
        <w:pStyle w:val="Podarou"/>
        <w:jc w:val="both"/>
        <w:rPr>
          <w:szCs w:val="22"/>
        </w:rPr>
      </w:pPr>
      <w:r w:rsidRPr="00E915D4">
        <w:rPr>
          <w:rStyle w:val="Znakapoznpodarou"/>
          <w:szCs w:val="22"/>
        </w:rPr>
        <w:footnoteRef/>
      </w:r>
      <w:r w:rsidRPr="00E915D4">
        <w:rPr>
          <w:szCs w:val="22"/>
        </w:rPr>
        <w:t xml:space="preserve"> </w:t>
      </w:r>
      <w:proofErr w:type="gramStart"/>
      <w:r w:rsidRPr="00E915D4">
        <w:rPr>
          <w:i/>
          <w:iCs/>
          <w:szCs w:val="22"/>
        </w:rPr>
        <w:t>KNIHOVNY.CZ</w:t>
      </w:r>
      <w:proofErr w:type="gramEnd"/>
      <w:r w:rsidRPr="00E915D4">
        <w:rPr>
          <w:i/>
          <w:iCs/>
          <w:szCs w:val="22"/>
        </w:rPr>
        <w:t>: Informace a služby</w:t>
      </w:r>
      <w:r w:rsidRPr="00E915D4">
        <w:rPr>
          <w:szCs w:val="22"/>
          <w:shd w:val="clear" w:color="auto" w:fill="FFFFFF"/>
        </w:rPr>
        <w:t xml:space="preserve"> [online]. Moravská zemská knihovna [cit. 2018-06-21]. Dostupné z: </w:t>
      </w:r>
      <w:hyperlink r:id="rId6" w:history="1">
        <w:r w:rsidR="00B619F4" w:rsidRPr="00E915D4">
          <w:rPr>
            <w:rStyle w:val="Hypertextovodkaz"/>
            <w:szCs w:val="22"/>
            <w:shd w:val="clear" w:color="auto" w:fill="FFFFFF"/>
          </w:rPr>
          <w:t>https://www.knihovny.cz/</w:t>
        </w:r>
      </w:hyperlink>
    </w:p>
  </w:footnote>
  <w:footnote w:id="16">
    <w:p w14:paraId="442512AD" w14:textId="1F040B4F" w:rsidR="00B619F4" w:rsidRPr="00D22021" w:rsidRDefault="00870AAC" w:rsidP="00E915D4">
      <w:pPr>
        <w:pStyle w:val="Podarou"/>
        <w:jc w:val="both"/>
        <w:rPr>
          <w:szCs w:val="22"/>
        </w:rPr>
      </w:pPr>
      <w:r w:rsidRPr="00E915D4">
        <w:rPr>
          <w:rStyle w:val="Znakapoznpodarou"/>
          <w:szCs w:val="22"/>
        </w:rPr>
        <w:footnoteRef/>
      </w:r>
      <w:r w:rsidRPr="00E915D4">
        <w:rPr>
          <w:szCs w:val="22"/>
        </w:rPr>
        <w:t xml:space="preserve"> </w:t>
      </w:r>
      <w:r w:rsidRPr="00D22021">
        <w:rPr>
          <w:i/>
          <w:iCs/>
          <w:szCs w:val="22"/>
        </w:rPr>
        <w:t>Souborný katalog České republiky</w:t>
      </w:r>
      <w:r w:rsidRPr="00D22021">
        <w:rPr>
          <w:szCs w:val="22"/>
        </w:rPr>
        <w:t xml:space="preserve"> [online]. Národní knihovna ČR [cit. 2018-06-21]. Dostupné z: </w:t>
      </w:r>
      <w:hyperlink r:id="rId7" w:history="1">
        <w:r w:rsidR="00AF3B7D" w:rsidRPr="00D22021">
          <w:rPr>
            <w:rStyle w:val="Hypertextovodkaz"/>
            <w:szCs w:val="22"/>
          </w:rPr>
          <w:t>https://www.caslin.cz/</w:t>
        </w:r>
      </w:hyperlink>
    </w:p>
  </w:footnote>
  <w:footnote w:id="17">
    <w:p w14:paraId="05ABD39D" w14:textId="6886BA25" w:rsidR="00B619F4" w:rsidRPr="00E915D4" w:rsidRDefault="00870AAC" w:rsidP="00E915D4">
      <w:pPr>
        <w:pStyle w:val="Podarou"/>
        <w:jc w:val="both"/>
        <w:rPr>
          <w:szCs w:val="22"/>
        </w:rPr>
      </w:pPr>
      <w:r w:rsidRPr="00D22021">
        <w:rPr>
          <w:rStyle w:val="Znakapoznpodarou"/>
          <w:szCs w:val="22"/>
        </w:rPr>
        <w:footnoteRef/>
      </w:r>
      <w:r w:rsidRPr="00D22021">
        <w:rPr>
          <w:szCs w:val="22"/>
        </w:rPr>
        <w:t xml:space="preserve"> </w:t>
      </w:r>
      <w:r w:rsidRPr="00D22021">
        <w:rPr>
          <w:i/>
          <w:iCs/>
          <w:szCs w:val="22"/>
        </w:rPr>
        <w:t>Ptejte</w:t>
      </w:r>
      <w:r w:rsidRPr="00E915D4">
        <w:rPr>
          <w:i/>
          <w:iCs/>
          <w:szCs w:val="22"/>
        </w:rPr>
        <w:t xml:space="preserve"> se knihovn</w:t>
      </w:r>
      <w:r w:rsidR="008E4019" w:rsidRPr="00E915D4">
        <w:rPr>
          <w:i/>
          <w:iCs/>
          <w:szCs w:val="22"/>
        </w:rPr>
        <w:t>y</w:t>
      </w:r>
      <w:r w:rsidRPr="00E915D4">
        <w:rPr>
          <w:szCs w:val="22"/>
        </w:rPr>
        <w:t xml:space="preserve"> [online]. Národní knihovna ČR [cit. 2018-06-21]. Dostupné z: </w:t>
      </w:r>
      <w:hyperlink r:id="rId8" w:history="1">
        <w:r w:rsidR="00B619F4" w:rsidRPr="00E915D4">
          <w:rPr>
            <w:rStyle w:val="Hypertextovodkaz"/>
            <w:szCs w:val="22"/>
          </w:rPr>
          <w:t>https://www.ptejteseknihovny.cz/</w:t>
        </w:r>
      </w:hyperlink>
    </w:p>
  </w:footnote>
  <w:footnote w:id="18">
    <w:p w14:paraId="51906900" w14:textId="5B43563A" w:rsidR="00B619F4" w:rsidRPr="00E915D4" w:rsidRDefault="00870AAC" w:rsidP="00E915D4">
      <w:pPr>
        <w:pStyle w:val="Podarou"/>
        <w:jc w:val="both"/>
        <w:rPr>
          <w:szCs w:val="22"/>
        </w:rPr>
      </w:pPr>
      <w:r w:rsidRPr="00E915D4">
        <w:rPr>
          <w:rStyle w:val="Znakapoznpodarou"/>
          <w:szCs w:val="22"/>
        </w:rPr>
        <w:footnoteRef/>
      </w:r>
      <w:r w:rsidRPr="00E915D4">
        <w:rPr>
          <w:szCs w:val="22"/>
        </w:rPr>
        <w:t xml:space="preserve"> </w:t>
      </w:r>
      <w:r w:rsidRPr="00E915D4">
        <w:rPr>
          <w:i/>
          <w:iCs/>
          <w:szCs w:val="22"/>
        </w:rPr>
        <w:t>Pravidla přístupného webu</w:t>
      </w:r>
      <w:r w:rsidRPr="00E915D4">
        <w:rPr>
          <w:szCs w:val="22"/>
        </w:rPr>
        <w:t xml:space="preserve"> [online]. </w:t>
      </w:r>
      <w:proofErr w:type="spellStart"/>
      <w:r w:rsidRPr="00E915D4">
        <w:rPr>
          <w:szCs w:val="22"/>
        </w:rPr>
        <w:t>Tyflocentrum</w:t>
      </w:r>
      <w:proofErr w:type="spellEnd"/>
      <w:r w:rsidRPr="00E915D4">
        <w:rPr>
          <w:szCs w:val="22"/>
        </w:rPr>
        <w:t xml:space="preserve"> Brno [cit. 2018-06-21]. Dostupné z: </w:t>
      </w:r>
      <w:hyperlink r:id="rId9" w:history="1">
        <w:r w:rsidR="00B619F4" w:rsidRPr="00E915D4">
          <w:rPr>
            <w:rStyle w:val="Hypertextovodkaz"/>
            <w:szCs w:val="22"/>
          </w:rPr>
          <w:t>http://www.pravidla-pristupnosti.cz/</w:t>
        </w:r>
      </w:hyperlink>
    </w:p>
  </w:footnote>
  <w:footnote w:id="19">
    <w:p w14:paraId="0A382989" w14:textId="414FDC64" w:rsidR="00870AAC" w:rsidRPr="00E915D4" w:rsidRDefault="00870AAC" w:rsidP="00E915D4">
      <w:pPr>
        <w:pStyle w:val="Podarou"/>
        <w:jc w:val="both"/>
        <w:rPr>
          <w:szCs w:val="22"/>
        </w:rPr>
      </w:pPr>
      <w:r w:rsidRPr="00E915D4">
        <w:rPr>
          <w:rStyle w:val="Znakapoznpodarou"/>
          <w:szCs w:val="22"/>
        </w:rPr>
        <w:footnoteRef/>
      </w:r>
      <w:r w:rsidRPr="00E915D4">
        <w:rPr>
          <w:szCs w:val="22"/>
        </w:rPr>
        <w:t xml:space="preserve"> </w:t>
      </w:r>
      <w:r w:rsidRPr="00E915D4">
        <w:rPr>
          <w:bCs/>
          <w:szCs w:val="22"/>
        </w:rPr>
        <w:t>Elektronický katalog knihovny (OPAC)</w:t>
      </w:r>
      <w:r w:rsidRPr="00E915D4">
        <w:rPr>
          <w:b/>
          <w:bCs/>
          <w:szCs w:val="22"/>
        </w:rPr>
        <w:t xml:space="preserve"> - </w:t>
      </w:r>
      <w:r w:rsidRPr="00E915D4">
        <w:rPr>
          <w:bCs/>
          <w:szCs w:val="22"/>
        </w:rPr>
        <w:t>d</w:t>
      </w:r>
      <w:r w:rsidRPr="00E915D4">
        <w:rPr>
          <w:szCs w:val="22"/>
        </w:rPr>
        <w:t>atabáze bibliografických záznamů knihovního fondu knihovny v elektronické formě</w:t>
      </w:r>
      <w:r w:rsidR="00F43597" w:rsidRPr="00E915D4">
        <w:rPr>
          <w:szCs w:val="22"/>
        </w:rPr>
        <w:t>.</w:t>
      </w:r>
    </w:p>
  </w:footnote>
  <w:footnote w:id="20">
    <w:p w14:paraId="6E586292" w14:textId="3C926137" w:rsidR="00F03D78" w:rsidRPr="00E915D4" w:rsidRDefault="00870AAC" w:rsidP="009F42F6">
      <w:pPr>
        <w:pStyle w:val="Textpoznpodarou"/>
        <w:spacing w:line="240" w:lineRule="auto"/>
        <w:ind w:firstLine="0"/>
        <w:rPr>
          <w:sz w:val="22"/>
          <w:szCs w:val="22"/>
        </w:rPr>
      </w:pPr>
      <w:r w:rsidRPr="00E915D4">
        <w:rPr>
          <w:rStyle w:val="Znakapoznpodarou"/>
          <w:sz w:val="22"/>
          <w:szCs w:val="22"/>
        </w:rPr>
        <w:footnoteRef/>
      </w:r>
      <w:r w:rsidRPr="00E915D4">
        <w:rPr>
          <w:sz w:val="22"/>
          <w:szCs w:val="22"/>
        </w:rPr>
        <w:t xml:space="preserve"> </w:t>
      </w:r>
      <w:r w:rsidRPr="00E915D4">
        <w:rPr>
          <w:sz w:val="22"/>
          <w:szCs w:val="22"/>
          <w:shd w:val="clear" w:color="auto" w:fill="FFFFFF"/>
        </w:rPr>
        <w:t>Měření výkonu a kvality v knihovnách. </w:t>
      </w:r>
      <w:r w:rsidRPr="00E915D4">
        <w:rPr>
          <w:i/>
          <w:iCs/>
          <w:sz w:val="22"/>
          <w:szCs w:val="22"/>
        </w:rPr>
        <w:t>Informace pro knihovny</w:t>
      </w:r>
      <w:r w:rsidRPr="00E915D4">
        <w:rPr>
          <w:sz w:val="22"/>
          <w:szCs w:val="22"/>
          <w:shd w:val="clear" w:color="auto" w:fill="FFFFFF"/>
        </w:rPr>
        <w:t xml:space="preserve"> [online]. Národní knihovna ČR [cit. 2018-06-21]. Dostupné z: </w:t>
      </w:r>
      <w:hyperlink r:id="rId10" w:history="1">
        <w:r w:rsidR="00F03D78" w:rsidRPr="00E915D4">
          <w:rPr>
            <w:rStyle w:val="Hypertextovodkaz"/>
            <w:sz w:val="22"/>
            <w:szCs w:val="22"/>
            <w:shd w:val="clear" w:color="auto" w:fill="FFFFFF"/>
          </w:rPr>
          <w:t>https://ipk.nkp.cz/odborne-cinnosti/mereni-vykonu-a-kvality-v-knihovnach-1</w:t>
        </w:r>
      </w:hyperlink>
    </w:p>
  </w:footnote>
  <w:footnote w:id="21">
    <w:p w14:paraId="0F9D5290" w14:textId="6A685E2D" w:rsidR="00F03D78" w:rsidRPr="00E915D4" w:rsidRDefault="00575AAA" w:rsidP="009F42F6">
      <w:pPr>
        <w:pStyle w:val="Textpoznpodarou"/>
        <w:spacing w:before="0" w:line="240" w:lineRule="auto"/>
        <w:ind w:firstLine="0"/>
        <w:rPr>
          <w:sz w:val="22"/>
          <w:szCs w:val="22"/>
        </w:rPr>
      </w:pPr>
      <w:r w:rsidRPr="00E915D4">
        <w:rPr>
          <w:rStyle w:val="Znakapoznpodarou"/>
          <w:sz w:val="22"/>
          <w:szCs w:val="22"/>
        </w:rPr>
        <w:footnoteRef/>
      </w:r>
      <w:r w:rsidRPr="00E915D4">
        <w:rPr>
          <w:sz w:val="22"/>
          <w:szCs w:val="22"/>
        </w:rPr>
        <w:t xml:space="preserve"> </w:t>
      </w:r>
      <w:r w:rsidRPr="00E915D4">
        <w:rPr>
          <w:sz w:val="22"/>
          <w:szCs w:val="22"/>
          <w:shd w:val="clear" w:color="auto" w:fill="FFFFFF"/>
        </w:rPr>
        <w:t xml:space="preserve">Koncepce celoživotního vzdělávání </w:t>
      </w:r>
      <w:r w:rsidRPr="00D22021">
        <w:rPr>
          <w:sz w:val="22"/>
          <w:szCs w:val="22"/>
          <w:shd w:val="clear" w:color="auto" w:fill="FFFFFF"/>
        </w:rPr>
        <w:t>knihovníků (CŽV). </w:t>
      </w:r>
      <w:r w:rsidRPr="00D22021">
        <w:rPr>
          <w:i/>
          <w:iCs/>
          <w:sz w:val="22"/>
          <w:szCs w:val="22"/>
          <w:shd w:val="clear" w:color="auto" w:fill="FFFFFF"/>
        </w:rPr>
        <w:t>Knihovna plus</w:t>
      </w:r>
      <w:r w:rsidRPr="00D22021">
        <w:rPr>
          <w:sz w:val="22"/>
          <w:szCs w:val="22"/>
          <w:shd w:val="clear" w:color="auto" w:fill="FFFFFF"/>
        </w:rPr>
        <w:t> [online], 2017, </w:t>
      </w:r>
      <w:r w:rsidRPr="00D22021">
        <w:rPr>
          <w:b/>
          <w:bCs/>
          <w:sz w:val="22"/>
          <w:szCs w:val="22"/>
          <w:shd w:val="clear" w:color="auto" w:fill="FFFFFF"/>
        </w:rPr>
        <w:t>13</w:t>
      </w:r>
      <w:r w:rsidRPr="00D22021">
        <w:rPr>
          <w:sz w:val="22"/>
          <w:szCs w:val="22"/>
          <w:shd w:val="clear" w:color="auto" w:fill="FFFFFF"/>
        </w:rPr>
        <w:t>(1) </w:t>
      </w:r>
      <w:r w:rsidRPr="00D22021">
        <w:rPr>
          <w:sz w:val="22"/>
          <w:szCs w:val="22"/>
        </w:rPr>
        <w:t>[cit. 2018-06-21]</w:t>
      </w:r>
      <w:r w:rsidRPr="00D22021">
        <w:rPr>
          <w:sz w:val="22"/>
          <w:szCs w:val="22"/>
          <w:shd w:val="clear" w:color="auto" w:fill="FFFFFF"/>
        </w:rPr>
        <w:t>. </w:t>
      </w:r>
      <w:r w:rsidRPr="00D22021">
        <w:rPr>
          <w:sz w:val="22"/>
          <w:szCs w:val="22"/>
        </w:rPr>
        <w:t>ISSN 1801-5948</w:t>
      </w:r>
      <w:r w:rsidRPr="00D22021">
        <w:rPr>
          <w:sz w:val="22"/>
          <w:szCs w:val="22"/>
          <w:shd w:val="clear" w:color="auto" w:fill="FFFFFF"/>
        </w:rPr>
        <w:t xml:space="preserve">. Dostupné z: </w:t>
      </w:r>
      <w:hyperlink r:id="rId11" w:history="1">
        <w:r w:rsidR="00AF3B7D" w:rsidRPr="00D22021">
          <w:rPr>
            <w:rStyle w:val="Hypertextovodkaz"/>
            <w:sz w:val="22"/>
            <w:szCs w:val="22"/>
            <w:shd w:val="clear" w:color="auto" w:fill="FFFFFF"/>
          </w:rPr>
          <w:t>https://knihovnaplus.nkp.cz/archiv/2017-01/informace-a-konference/koncepce-celozivotniho-vzdelavani-knihovniku-czv</w:t>
        </w:r>
      </w:hyperlink>
    </w:p>
  </w:footnote>
  <w:footnote w:id="22">
    <w:p w14:paraId="6A7227C9" w14:textId="72A49334" w:rsidR="00465226" w:rsidRPr="00E915D4" w:rsidRDefault="00465226" w:rsidP="00E915D4">
      <w:pPr>
        <w:pStyle w:val="Textkomente"/>
        <w:spacing w:before="0" w:line="240" w:lineRule="auto"/>
        <w:ind w:firstLine="0"/>
        <w:rPr>
          <w:sz w:val="22"/>
          <w:szCs w:val="22"/>
        </w:rPr>
      </w:pPr>
      <w:r w:rsidRPr="00E915D4">
        <w:rPr>
          <w:rStyle w:val="Znakapoznpodarou"/>
          <w:sz w:val="22"/>
          <w:szCs w:val="22"/>
        </w:rPr>
        <w:footnoteRef/>
      </w:r>
      <w:r w:rsidRPr="00E915D4">
        <w:rPr>
          <w:sz w:val="22"/>
          <w:szCs w:val="22"/>
        </w:rPr>
        <w:t xml:space="preserve"> Komunitní aktivity, tj. </w:t>
      </w:r>
      <w:r w:rsidRPr="00E915D4">
        <w:rPr>
          <w:sz w:val="22"/>
          <w:szCs w:val="22"/>
          <w:shd w:val="clear" w:color="auto" w:fill="FFFFFF"/>
        </w:rPr>
        <w:t>takové činnosti knihovny, které nejsou primárně zaměřeny na registrované uživatele knihovny, ale oslovují celou komunitu nebo její část a vedou k jejímu posilování. Současně také posilují místo knihovny v dané komunitě.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80DF3" w14:textId="77777777" w:rsidR="000C60BE" w:rsidRDefault="000C60B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FD73" w14:textId="77777777" w:rsidR="000C60BE" w:rsidRDefault="000C60B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85910" w14:textId="77777777" w:rsidR="000C60BE" w:rsidRDefault="000C60B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628"/>
    <w:multiLevelType w:val="hybridMultilevel"/>
    <w:tmpl w:val="741A8EA2"/>
    <w:lvl w:ilvl="0" w:tplc="6340F2BE">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3E0551C"/>
    <w:multiLevelType w:val="hybridMultilevel"/>
    <w:tmpl w:val="A1B08DBC"/>
    <w:lvl w:ilvl="0" w:tplc="04050011">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08F12FF0"/>
    <w:multiLevelType w:val="hybridMultilevel"/>
    <w:tmpl w:val="96E2E6AE"/>
    <w:lvl w:ilvl="0" w:tplc="04050011">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CF2424D"/>
    <w:multiLevelType w:val="hybridMultilevel"/>
    <w:tmpl w:val="5450E7F8"/>
    <w:lvl w:ilvl="0" w:tplc="C4B00E90">
      <w:start w:val="1"/>
      <w:numFmt w:val="decimal"/>
      <w:pStyle w:val="slovn"/>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13310436"/>
    <w:multiLevelType w:val="multilevel"/>
    <w:tmpl w:val="2F7868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AD568E"/>
    <w:multiLevelType w:val="hybridMultilevel"/>
    <w:tmpl w:val="BB4AC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DF56F9"/>
    <w:multiLevelType w:val="hybridMultilevel"/>
    <w:tmpl w:val="8A5A311E"/>
    <w:lvl w:ilvl="0" w:tplc="04050011">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583798A"/>
    <w:multiLevelType w:val="hybridMultilevel"/>
    <w:tmpl w:val="A2E0ED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535E73"/>
    <w:multiLevelType w:val="hybridMultilevel"/>
    <w:tmpl w:val="4184EBE8"/>
    <w:lvl w:ilvl="0" w:tplc="04050011">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DED4DA3"/>
    <w:multiLevelType w:val="hybridMultilevel"/>
    <w:tmpl w:val="5A10A57E"/>
    <w:lvl w:ilvl="0" w:tplc="04050011">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22CA5CD1"/>
    <w:multiLevelType w:val="hybridMultilevel"/>
    <w:tmpl w:val="A380D3E2"/>
    <w:lvl w:ilvl="0" w:tplc="3E06F6A4">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7DB249B"/>
    <w:multiLevelType w:val="hybridMultilevel"/>
    <w:tmpl w:val="A574F42A"/>
    <w:lvl w:ilvl="0" w:tplc="8928518A">
      <w:start w:val="1"/>
      <w:numFmt w:val="decimal"/>
      <w:pStyle w:val="slovn3a"/>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282846A2"/>
    <w:multiLevelType w:val="multilevel"/>
    <w:tmpl w:val="2F7868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ABF2072"/>
    <w:multiLevelType w:val="hybridMultilevel"/>
    <w:tmpl w:val="E09AFCF2"/>
    <w:lvl w:ilvl="0" w:tplc="04050011">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361342ED"/>
    <w:multiLevelType w:val="hybridMultilevel"/>
    <w:tmpl w:val="86FC1AE0"/>
    <w:lvl w:ilvl="0" w:tplc="901272B8">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409008A0"/>
    <w:multiLevelType w:val="hybridMultilevel"/>
    <w:tmpl w:val="2950252E"/>
    <w:lvl w:ilvl="0" w:tplc="04050011">
      <w:start w:val="1"/>
      <w:numFmt w:val="decimal"/>
      <w:lvlText w:val="%1)"/>
      <w:lvlJc w:val="left"/>
      <w:pPr>
        <w:ind w:left="426"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48F068BB"/>
    <w:multiLevelType w:val="hybridMultilevel"/>
    <w:tmpl w:val="50289288"/>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7">
    <w:nsid w:val="4CB7568F"/>
    <w:multiLevelType w:val="hybridMultilevel"/>
    <w:tmpl w:val="D3DC474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8">
    <w:nsid w:val="4D27093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16B31E8"/>
    <w:multiLevelType w:val="hybridMultilevel"/>
    <w:tmpl w:val="B42C88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B6E4658"/>
    <w:multiLevelType w:val="hybridMultilevel"/>
    <w:tmpl w:val="47AE5A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A0C1B6B"/>
    <w:multiLevelType w:val="hybridMultilevel"/>
    <w:tmpl w:val="FC0AD522"/>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6A370AD4"/>
    <w:multiLevelType w:val="hybridMultilevel"/>
    <w:tmpl w:val="2BF23BE4"/>
    <w:lvl w:ilvl="0" w:tplc="C7966694">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6F060842"/>
    <w:multiLevelType w:val="hybridMultilevel"/>
    <w:tmpl w:val="0C8A7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54069F1"/>
    <w:multiLevelType w:val="hybridMultilevel"/>
    <w:tmpl w:val="44C4A3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385C8F"/>
    <w:multiLevelType w:val="hybridMultilevel"/>
    <w:tmpl w:val="37F07F7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nsid w:val="79E358B0"/>
    <w:multiLevelType w:val="hybridMultilevel"/>
    <w:tmpl w:val="0EECB548"/>
    <w:lvl w:ilvl="0" w:tplc="02689DFA">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4E628D"/>
    <w:multiLevelType w:val="hybridMultilevel"/>
    <w:tmpl w:val="1C2C3D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E741DA"/>
    <w:multiLevelType w:val="hybridMultilevel"/>
    <w:tmpl w:val="DEE82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16"/>
  </w:num>
  <w:num w:numId="4">
    <w:abstractNumId w:val="18"/>
  </w:num>
  <w:num w:numId="5">
    <w:abstractNumId w:val="5"/>
  </w:num>
  <w:num w:numId="6">
    <w:abstractNumId w:val="26"/>
  </w:num>
  <w:num w:numId="7">
    <w:abstractNumId w:val="19"/>
  </w:num>
  <w:num w:numId="8">
    <w:abstractNumId w:val="28"/>
  </w:num>
  <w:num w:numId="9">
    <w:abstractNumId w:val="24"/>
  </w:num>
  <w:num w:numId="10">
    <w:abstractNumId w:val="20"/>
  </w:num>
  <w:num w:numId="11">
    <w:abstractNumId w:val="7"/>
  </w:num>
  <w:num w:numId="12">
    <w:abstractNumId w:val="27"/>
  </w:num>
  <w:num w:numId="13">
    <w:abstractNumId w:val="3"/>
  </w:num>
  <w:num w:numId="14">
    <w:abstractNumId w:val="22"/>
  </w:num>
  <w:num w:numId="15">
    <w:abstractNumId w:val="4"/>
  </w:num>
  <w:num w:numId="16">
    <w:abstractNumId w:val="11"/>
  </w:num>
  <w:num w:numId="17">
    <w:abstractNumId w:val="11"/>
    <w:lvlOverride w:ilvl="0">
      <w:startOverride w:val="1"/>
    </w:lvlOverride>
  </w:num>
  <w:num w:numId="18">
    <w:abstractNumId w:val="11"/>
    <w:lvlOverride w:ilvl="0">
      <w:startOverride w:val="1"/>
    </w:lvlOverride>
  </w:num>
  <w:num w:numId="19">
    <w:abstractNumId w:val="14"/>
  </w:num>
  <w:num w:numId="20">
    <w:abstractNumId w:val="0"/>
  </w:num>
  <w:num w:numId="21">
    <w:abstractNumId w:val="8"/>
  </w:num>
  <w:num w:numId="22">
    <w:abstractNumId w:val="9"/>
  </w:num>
  <w:num w:numId="23">
    <w:abstractNumId w:val="1"/>
  </w:num>
  <w:num w:numId="24">
    <w:abstractNumId w:val="6"/>
  </w:num>
  <w:num w:numId="25">
    <w:abstractNumId w:val="2"/>
  </w:num>
  <w:num w:numId="26">
    <w:abstractNumId w:val="13"/>
  </w:num>
  <w:num w:numId="27">
    <w:abstractNumId w:val="15"/>
  </w:num>
  <w:num w:numId="28">
    <w:abstractNumId w:val="25"/>
  </w:num>
  <w:num w:numId="29">
    <w:abstractNumId w:val="10"/>
  </w:num>
  <w:num w:numId="30">
    <w:abstractNumId w:val="23"/>
  </w:num>
  <w:num w:numId="31">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ter Vít">
    <w15:presenceInfo w15:providerId="AD" w15:userId="S-1-5-21-1125209875-2129146331-623647154-1248"/>
  </w15:person>
  <w15:person w15:author="skolici mistnost">
    <w15:presenceInfo w15:providerId="AD" w15:userId="S-1-5-21-1125209875-2129146331-623647154-1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EA"/>
    <w:rsid w:val="000069FE"/>
    <w:rsid w:val="000162F0"/>
    <w:rsid w:val="00016EF4"/>
    <w:rsid w:val="000209D4"/>
    <w:rsid w:val="00024ADE"/>
    <w:rsid w:val="0003154D"/>
    <w:rsid w:val="00031DDF"/>
    <w:rsid w:val="000552E3"/>
    <w:rsid w:val="00074099"/>
    <w:rsid w:val="000766CF"/>
    <w:rsid w:val="00077868"/>
    <w:rsid w:val="00082C62"/>
    <w:rsid w:val="00084530"/>
    <w:rsid w:val="000959CF"/>
    <w:rsid w:val="000A3289"/>
    <w:rsid w:val="000A53F5"/>
    <w:rsid w:val="000C0860"/>
    <w:rsid w:val="000C4FF2"/>
    <w:rsid w:val="000C60BE"/>
    <w:rsid w:val="000C7031"/>
    <w:rsid w:val="000D5FE8"/>
    <w:rsid w:val="000E3963"/>
    <w:rsid w:val="000F20A0"/>
    <w:rsid w:val="000F3282"/>
    <w:rsid w:val="00107A64"/>
    <w:rsid w:val="0011033B"/>
    <w:rsid w:val="00110362"/>
    <w:rsid w:val="00112603"/>
    <w:rsid w:val="00112EBA"/>
    <w:rsid w:val="00120EED"/>
    <w:rsid w:val="00121C26"/>
    <w:rsid w:val="00135F9E"/>
    <w:rsid w:val="00151DAA"/>
    <w:rsid w:val="0015218C"/>
    <w:rsid w:val="001575A2"/>
    <w:rsid w:val="00162ECF"/>
    <w:rsid w:val="00164665"/>
    <w:rsid w:val="001648F4"/>
    <w:rsid w:val="00166297"/>
    <w:rsid w:val="00166F08"/>
    <w:rsid w:val="0017118E"/>
    <w:rsid w:val="00181642"/>
    <w:rsid w:val="001901E0"/>
    <w:rsid w:val="001A284D"/>
    <w:rsid w:val="001A400D"/>
    <w:rsid w:val="001A409E"/>
    <w:rsid w:val="001B2FFE"/>
    <w:rsid w:val="001C23C8"/>
    <w:rsid w:val="001C4A71"/>
    <w:rsid w:val="001D1D54"/>
    <w:rsid w:val="001D31F5"/>
    <w:rsid w:val="001D6191"/>
    <w:rsid w:val="001D7E51"/>
    <w:rsid w:val="001E1B80"/>
    <w:rsid w:val="001E44B7"/>
    <w:rsid w:val="00200927"/>
    <w:rsid w:val="00210827"/>
    <w:rsid w:val="00211C3A"/>
    <w:rsid w:val="00213759"/>
    <w:rsid w:val="002212BB"/>
    <w:rsid w:val="002314D3"/>
    <w:rsid w:val="00234954"/>
    <w:rsid w:val="00243CEE"/>
    <w:rsid w:val="00244882"/>
    <w:rsid w:val="00247A05"/>
    <w:rsid w:val="00275040"/>
    <w:rsid w:val="00275CC2"/>
    <w:rsid w:val="002844E3"/>
    <w:rsid w:val="00284737"/>
    <w:rsid w:val="00291ED9"/>
    <w:rsid w:val="002A4611"/>
    <w:rsid w:val="002A4E09"/>
    <w:rsid w:val="002A6325"/>
    <w:rsid w:val="002B1B50"/>
    <w:rsid w:val="002B1D4C"/>
    <w:rsid w:val="002B2A22"/>
    <w:rsid w:val="002C6D16"/>
    <w:rsid w:val="002D2C4D"/>
    <w:rsid w:val="002D40D2"/>
    <w:rsid w:val="002E0E77"/>
    <w:rsid w:val="002E4A9A"/>
    <w:rsid w:val="002E5E9B"/>
    <w:rsid w:val="003009AE"/>
    <w:rsid w:val="0030281C"/>
    <w:rsid w:val="00304544"/>
    <w:rsid w:val="00304782"/>
    <w:rsid w:val="00310360"/>
    <w:rsid w:val="00315040"/>
    <w:rsid w:val="00317543"/>
    <w:rsid w:val="003404E9"/>
    <w:rsid w:val="003405B4"/>
    <w:rsid w:val="00350A40"/>
    <w:rsid w:val="00355E78"/>
    <w:rsid w:val="00355F6B"/>
    <w:rsid w:val="003623CD"/>
    <w:rsid w:val="00370330"/>
    <w:rsid w:val="003703C5"/>
    <w:rsid w:val="003706CD"/>
    <w:rsid w:val="00382A33"/>
    <w:rsid w:val="00384DD4"/>
    <w:rsid w:val="003913AA"/>
    <w:rsid w:val="0039160C"/>
    <w:rsid w:val="00393434"/>
    <w:rsid w:val="003A5FC3"/>
    <w:rsid w:val="003D29AE"/>
    <w:rsid w:val="003E478B"/>
    <w:rsid w:val="003F075E"/>
    <w:rsid w:val="003F250C"/>
    <w:rsid w:val="003F7B9F"/>
    <w:rsid w:val="0040512D"/>
    <w:rsid w:val="00415B71"/>
    <w:rsid w:val="00420E4E"/>
    <w:rsid w:val="00426FD2"/>
    <w:rsid w:val="00427F4A"/>
    <w:rsid w:val="00435B16"/>
    <w:rsid w:val="00445171"/>
    <w:rsid w:val="00454365"/>
    <w:rsid w:val="00457324"/>
    <w:rsid w:val="00465226"/>
    <w:rsid w:val="00471BE7"/>
    <w:rsid w:val="00477C0B"/>
    <w:rsid w:val="00482554"/>
    <w:rsid w:val="0048336A"/>
    <w:rsid w:val="004930DB"/>
    <w:rsid w:val="0049451A"/>
    <w:rsid w:val="00496980"/>
    <w:rsid w:val="004A372F"/>
    <w:rsid w:val="004A7F5A"/>
    <w:rsid w:val="004B0A81"/>
    <w:rsid w:val="004B1D23"/>
    <w:rsid w:val="004C2C71"/>
    <w:rsid w:val="004C7773"/>
    <w:rsid w:val="004D044B"/>
    <w:rsid w:val="004D04F6"/>
    <w:rsid w:val="004D2084"/>
    <w:rsid w:val="004E14A5"/>
    <w:rsid w:val="004E6AEA"/>
    <w:rsid w:val="004F12F1"/>
    <w:rsid w:val="00507F89"/>
    <w:rsid w:val="00512A81"/>
    <w:rsid w:val="005158A4"/>
    <w:rsid w:val="005168B5"/>
    <w:rsid w:val="00517E0A"/>
    <w:rsid w:val="00550B81"/>
    <w:rsid w:val="00552578"/>
    <w:rsid w:val="00552A8D"/>
    <w:rsid w:val="005569FA"/>
    <w:rsid w:val="00564A95"/>
    <w:rsid w:val="00571DC1"/>
    <w:rsid w:val="00573755"/>
    <w:rsid w:val="005755C5"/>
    <w:rsid w:val="005758BA"/>
    <w:rsid w:val="00575AAA"/>
    <w:rsid w:val="00577FA1"/>
    <w:rsid w:val="0058429D"/>
    <w:rsid w:val="0058487E"/>
    <w:rsid w:val="0059348D"/>
    <w:rsid w:val="0059403C"/>
    <w:rsid w:val="005A5684"/>
    <w:rsid w:val="005D60A0"/>
    <w:rsid w:val="005E5554"/>
    <w:rsid w:val="005F0127"/>
    <w:rsid w:val="005F0357"/>
    <w:rsid w:val="005F381D"/>
    <w:rsid w:val="005F542E"/>
    <w:rsid w:val="005F7E1D"/>
    <w:rsid w:val="0060358B"/>
    <w:rsid w:val="00605CBA"/>
    <w:rsid w:val="00610331"/>
    <w:rsid w:val="00623A67"/>
    <w:rsid w:val="006553EA"/>
    <w:rsid w:val="006605C0"/>
    <w:rsid w:val="00663B31"/>
    <w:rsid w:val="00665EF9"/>
    <w:rsid w:val="00667D7F"/>
    <w:rsid w:val="006765C3"/>
    <w:rsid w:val="00680327"/>
    <w:rsid w:val="00680824"/>
    <w:rsid w:val="00681702"/>
    <w:rsid w:val="006879C9"/>
    <w:rsid w:val="006B7F05"/>
    <w:rsid w:val="006C1B7B"/>
    <w:rsid w:val="006C7F28"/>
    <w:rsid w:val="006D04A4"/>
    <w:rsid w:val="006D5754"/>
    <w:rsid w:val="006D5AE5"/>
    <w:rsid w:val="006D625F"/>
    <w:rsid w:val="006E3CF4"/>
    <w:rsid w:val="006E5C17"/>
    <w:rsid w:val="006F7209"/>
    <w:rsid w:val="006F7956"/>
    <w:rsid w:val="00703782"/>
    <w:rsid w:val="0071405F"/>
    <w:rsid w:val="00716D44"/>
    <w:rsid w:val="00720D3B"/>
    <w:rsid w:val="00720F27"/>
    <w:rsid w:val="007216BA"/>
    <w:rsid w:val="0074223E"/>
    <w:rsid w:val="00744BE6"/>
    <w:rsid w:val="00760816"/>
    <w:rsid w:val="00771282"/>
    <w:rsid w:val="0078222D"/>
    <w:rsid w:val="007947A0"/>
    <w:rsid w:val="007C78AA"/>
    <w:rsid w:val="007D730A"/>
    <w:rsid w:val="007E1196"/>
    <w:rsid w:val="007E18B8"/>
    <w:rsid w:val="007E3B44"/>
    <w:rsid w:val="007F5CA1"/>
    <w:rsid w:val="0080189B"/>
    <w:rsid w:val="00801B5F"/>
    <w:rsid w:val="00806310"/>
    <w:rsid w:val="008235CB"/>
    <w:rsid w:val="0082656D"/>
    <w:rsid w:val="00844E5D"/>
    <w:rsid w:val="00861CB3"/>
    <w:rsid w:val="00870AAC"/>
    <w:rsid w:val="008710A6"/>
    <w:rsid w:val="00873290"/>
    <w:rsid w:val="008732B1"/>
    <w:rsid w:val="0089425D"/>
    <w:rsid w:val="008A0E1A"/>
    <w:rsid w:val="008B274D"/>
    <w:rsid w:val="008B5135"/>
    <w:rsid w:val="008B5A9D"/>
    <w:rsid w:val="008C31CF"/>
    <w:rsid w:val="008D19BC"/>
    <w:rsid w:val="008E4019"/>
    <w:rsid w:val="008E4229"/>
    <w:rsid w:val="008E522A"/>
    <w:rsid w:val="008E7912"/>
    <w:rsid w:val="008F24C4"/>
    <w:rsid w:val="008F5F17"/>
    <w:rsid w:val="008F6D4C"/>
    <w:rsid w:val="00907467"/>
    <w:rsid w:val="00912E1B"/>
    <w:rsid w:val="00924620"/>
    <w:rsid w:val="009320AD"/>
    <w:rsid w:val="00934FC6"/>
    <w:rsid w:val="00955B97"/>
    <w:rsid w:val="00973D50"/>
    <w:rsid w:val="00981348"/>
    <w:rsid w:val="00982B88"/>
    <w:rsid w:val="009848B8"/>
    <w:rsid w:val="0099055C"/>
    <w:rsid w:val="009964C7"/>
    <w:rsid w:val="00996EC0"/>
    <w:rsid w:val="009A1B40"/>
    <w:rsid w:val="009A28B1"/>
    <w:rsid w:val="009B181C"/>
    <w:rsid w:val="009C19DD"/>
    <w:rsid w:val="009C21F8"/>
    <w:rsid w:val="009E1E1C"/>
    <w:rsid w:val="009E5C0E"/>
    <w:rsid w:val="009F2321"/>
    <w:rsid w:val="009F42F6"/>
    <w:rsid w:val="009F4A94"/>
    <w:rsid w:val="00A06399"/>
    <w:rsid w:val="00A36F9B"/>
    <w:rsid w:val="00A43390"/>
    <w:rsid w:val="00A532B7"/>
    <w:rsid w:val="00A661D5"/>
    <w:rsid w:val="00A730A5"/>
    <w:rsid w:val="00A7420D"/>
    <w:rsid w:val="00A827B6"/>
    <w:rsid w:val="00A920DD"/>
    <w:rsid w:val="00A9706C"/>
    <w:rsid w:val="00AA1560"/>
    <w:rsid w:val="00AB0AE6"/>
    <w:rsid w:val="00AB2F53"/>
    <w:rsid w:val="00AB51F1"/>
    <w:rsid w:val="00AC3336"/>
    <w:rsid w:val="00AC7DFE"/>
    <w:rsid w:val="00AD4E22"/>
    <w:rsid w:val="00AD5C55"/>
    <w:rsid w:val="00AD713B"/>
    <w:rsid w:val="00AE4ABD"/>
    <w:rsid w:val="00AF0518"/>
    <w:rsid w:val="00AF3B7D"/>
    <w:rsid w:val="00AF6072"/>
    <w:rsid w:val="00AF7667"/>
    <w:rsid w:val="00B00DC6"/>
    <w:rsid w:val="00B016C6"/>
    <w:rsid w:val="00B044DC"/>
    <w:rsid w:val="00B1226F"/>
    <w:rsid w:val="00B24D98"/>
    <w:rsid w:val="00B26F11"/>
    <w:rsid w:val="00B32267"/>
    <w:rsid w:val="00B360C4"/>
    <w:rsid w:val="00B47952"/>
    <w:rsid w:val="00B47AF2"/>
    <w:rsid w:val="00B47CCA"/>
    <w:rsid w:val="00B51718"/>
    <w:rsid w:val="00B54F50"/>
    <w:rsid w:val="00B609CE"/>
    <w:rsid w:val="00B619F4"/>
    <w:rsid w:val="00B66928"/>
    <w:rsid w:val="00B844FC"/>
    <w:rsid w:val="00B8526C"/>
    <w:rsid w:val="00B852FA"/>
    <w:rsid w:val="00BA2286"/>
    <w:rsid w:val="00BB0D92"/>
    <w:rsid w:val="00BC191A"/>
    <w:rsid w:val="00BC2AAE"/>
    <w:rsid w:val="00BC4171"/>
    <w:rsid w:val="00BC5CFD"/>
    <w:rsid w:val="00BC6910"/>
    <w:rsid w:val="00BC6D8E"/>
    <w:rsid w:val="00BD627A"/>
    <w:rsid w:val="00BE4D3E"/>
    <w:rsid w:val="00C101B6"/>
    <w:rsid w:val="00C12B7F"/>
    <w:rsid w:val="00C54464"/>
    <w:rsid w:val="00C561E6"/>
    <w:rsid w:val="00C617D8"/>
    <w:rsid w:val="00C67817"/>
    <w:rsid w:val="00C700EA"/>
    <w:rsid w:val="00C7264F"/>
    <w:rsid w:val="00C7392E"/>
    <w:rsid w:val="00C95175"/>
    <w:rsid w:val="00C96AA3"/>
    <w:rsid w:val="00CA0CED"/>
    <w:rsid w:val="00CB3236"/>
    <w:rsid w:val="00CC4479"/>
    <w:rsid w:val="00CD0184"/>
    <w:rsid w:val="00CD3F08"/>
    <w:rsid w:val="00CE2C70"/>
    <w:rsid w:val="00D026A3"/>
    <w:rsid w:val="00D0394D"/>
    <w:rsid w:val="00D101FE"/>
    <w:rsid w:val="00D20B27"/>
    <w:rsid w:val="00D22021"/>
    <w:rsid w:val="00D317C6"/>
    <w:rsid w:val="00D346A9"/>
    <w:rsid w:val="00D34B97"/>
    <w:rsid w:val="00D53381"/>
    <w:rsid w:val="00D53FE9"/>
    <w:rsid w:val="00D62096"/>
    <w:rsid w:val="00D85A88"/>
    <w:rsid w:val="00D90988"/>
    <w:rsid w:val="00DA638C"/>
    <w:rsid w:val="00DA7FF2"/>
    <w:rsid w:val="00DB2198"/>
    <w:rsid w:val="00DC1A7B"/>
    <w:rsid w:val="00DC3D77"/>
    <w:rsid w:val="00DD4AEA"/>
    <w:rsid w:val="00DD7EF9"/>
    <w:rsid w:val="00DE03DE"/>
    <w:rsid w:val="00DE1A6D"/>
    <w:rsid w:val="00DF6FD6"/>
    <w:rsid w:val="00E026D7"/>
    <w:rsid w:val="00E0405D"/>
    <w:rsid w:val="00E04C95"/>
    <w:rsid w:val="00E24EDD"/>
    <w:rsid w:val="00E374CE"/>
    <w:rsid w:val="00E614B8"/>
    <w:rsid w:val="00E67C52"/>
    <w:rsid w:val="00E67F22"/>
    <w:rsid w:val="00E70532"/>
    <w:rsid w:val="00E71BC8"/>
    <w:rsid w:val="00E76928"/>
    <w:rsid w:val="00E76FAB"/>
    <w:rsid w:val="00E8565E"/>
    <w:rsid w:val="00E87606"/>
    <w:rsid w:val="00E87ECC"/>
    <w:rsid w:val="00E90382"/>
    <w:rsid w:val="00E915D4"/>
    <w:rsid w:val="00E96176"/>
    <w:rsid w:val="00EA19E0"/>
    <w:rsid w:val="00EA45DB"/>
    <w:rsid w:val="00EA4ABF"/>
    <w:rsid w:val="00EB65FD"/>
    <w:rsid w:val="00EB7BC7"/>
    <w:rsid w:val="00EC088A"/>
    <w:rsid w:val="00ED2B8C"/>
    <w:rsid w:val="00ED7B9B"/>
    <w:rsid w:val="00EE46E8"/>
    <w:rsid w:val="00EE7611"/>
    <w:rsid w:val="00EF70F3"/>
    <w:rsid w:val="00F02F81"/>
    <w:rsid w:val="00F03D78"/>
    <w:rsid w:val="00F105A1"/>
    <w:rsid w:val="00F227FF"/>
    <w:rsid w:val="00F2615D"/>
    <w:rsid w:val="00F26DD3"/>
    <w:rsid w:val="00F31A9F"/>
    <w:rsid w:val="00F34258"/>
    <w:rsid w:val="00F360A2"/>
    <w:rsid w:val="00F40A10"/>
    <w:rsid w:val="00F43597"/>
    <w:rsid w:val="00F613AF"/>
    <w:rsid w:val="00F65BE0"/>
    <w:rsid w:val="00F72513"/>
    <w:rsid w:val="00F76F2A"/>
    <w:rsid w:val="00F80DE1"/>
    <w:rsid w:val="00F904D5"/>
    <w:rsid w:val="00F94539"/>
    <w:rsid w:val="00F94B1D"/>
    <w:rsid w:val="00F971B6"/>
    <w:rsid w:val="00FB6244"/>
    <w:rsid w:val="00FC2F1B"/>
    <w:rsid w:val="00FC7379"/>
    <w:rsid w:val="00FD0B8F"/>
    <w:rsid w:val="00FD4D33"/>
    <w:rsid w:val="00FE1A2A"/>
    <w:rsid w:val="00FF2AC8"/>
    <w:rsid w:val="00FF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289"/>
    <o:shapelayout v:ext="edit">
      <o:idmap v:ext="edit" data="1"/>
    </o:shapelayout>
  </w:shapeDefaults>
  <w:decimalSymbol w:val=","/>
  <w:listSeparator w:val=";"/>
  <w14:docId w14:val="4675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4882"/>
    <w:pPr>
      <w:spacing w:before="120" w:line="276" w:lineRule="auto"/>
      <w:ind w:firstLine="709"/>
      <w:jc w:val="both"/>
    </w:pPr>
    <w:rPr>
      <w:sz w:val="24"/>
      <w:szCs w:val="24"/>
    </w:rPr>
  </w:style>
  <w:style w:type="paragraph" w:styleId="Nadpis1">
    <w:name w:val="heading 1"/>
    <w:basedOn w:val="Normln"/>
    <w:next w:val="Normln"/>
    <w:link w:val="Nadpis1Char"/>
    <w:qFormat/>
    <w:rsid w:val="004A7F5A"/>
    <w:pPr>
      <w:jc w:val="center"/>
      <w:outlineLvl w:val="0"/>
    </w:pPr>
    <w:rPr>
      <w:b/>
      <w:bCs/>
    </w:rPr>
  </w:style>
  <w:style w:type="paragraph" w:styleId="Nadpis2">
    <w:name w:val="heading 2"/>
    <w:basedOn w:val="Normln"/>
    <w:next w:val="Normln"/>
    <w:link w:val="Nadpis2Char"/>
    <w:semiHidden/>
    <w:unhideWhenUsed/>
    <w:qFormat/>
    <w:rsid w:val="006803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aliases w:val="Nadpis 2 centr"/>
    <w:basedOn w:val="Nadpis1"/>
    <w:next w:val="Normln"/>
    <w:link w:val="Nadpis4Char"/>
    <w:qFormat/>
    <w:rsid w:val="006D5754"/>
    <w:pPr>
      <w:spacing w:before="240" w:after="240"/>
      <w:ind w:firstLine="0"/>
      <w:outlineLvl w:val="3"/>
    </w:pPr>
  </w:style>
  <w:style w:type="paragraph" w:styleId="Nadpis5">
    <w:name w:val="heading 5"/>
    <w:basedOn w:val="Normln"/>
    <w:next w:val="Normln"/>
    <w:link w:val="Nadpis5Char"/>
    <w:qFormat/>
    <w:rsid w:val="004E6AEA"/>
    <w:pPr>
      <w:keepNext/>
      <w:jc w:val="center"/>
      <w:outlineLvl w:val="4"/>
    </w:pPr>
    <w:rPr>
      <w:b/>
      <w:color w:val="000000"/>
    </w:rPr>
  </w:style>
  <w:style w:type="paragraph" w:styleId="Nadpis6">
    <w:name w:val="heading 6"/>
    <w:basedOn w:val="Normln"/>
    <w:next w:val="Normln"/>
    <w:link w:val="Nadpis6Char"/>
    <w:qFormat/>
    <w:rsid w:val="004E6AEA"/>
    <w:pPr>
      <w:keepNext/>
      <w:ind w:firstLine="360"/>
      <w:jc w:val="center"/>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1E1B80"/>
    <w:pPr>
      <w:framePr w:w="7920" w:h="1980" w:hRule="exact" w:hSpace="141" w:wrap="auto" w:hAnchor="page" w:xAlign="center" w:yAlign="bottom"/>
      <w:ind w:left="2880"/>
    </w:pPr>
    <w:rPr>
      <w:rFonts w:cs="Arial"/>
      <w:i/>
      <w:sz w:val="28"/>
    </w:rPr>
  </w:style>
  <w:style w:type="character" w:customStyle="1" w:styleId="Nadpis1Char">
    <w:name w:val="Nadpis 1 Char"/>
    <w:link w:val="Nadpis1"/>
    <w:rsid w:val="004A7F5A"/>
    <w:rPr>
      <w:b/>
      <w:bCs/>
      <w:sz w:val="24"/>
      <w:szCs w:val="24"/>
    </w:rPr>
  </w:style>
  <w:style w:type="character" w:customStyle="1" w:styleId="Nadpis4Char">
    <w:name w:val="Nadpis 4 Char"/>
    <w:aliases w:val="Nadpis 2 centr Char"/>
    <w:link w:val="Nadpis4"/>
    <w:rsid w:val="006D5754"/>
    <w:rPr>
      <w:b/>
      <w:bCs/>
      <w:sz w:val="24"/>
      <w:szCs w:val="24"/>
    </w:rPr>
  </w:style>
  <w:style w:type="character" w:customStyle="1" w:styleId="Nadpis5Char">
    <w:name w:val="Nadpis 5 Char"/>
    <w:link w:val="Nadpis5"/>
    <w:rsid w:val="004E6AEA"/>
    <w:rPr>
      <w:b/>
      <w:color w:val="000000"/>
      <w:sz w:val="24"/>
      <w:lang w:val="cs-CZ" w:eastAsia="cs-CZ" w:bidi="ar-SA"/>
    </w:rPr>
  </w:style>
  <w:style w:type="character" w:customStyle="1" w:styleId="Nadpis6Char">
    <w:name w:val="Nadpis 6 Char"/>
    <w:link w:val="Nadpis6"/>
    <w:rsid w:val="004E6AEA"/>
    <w:rPr>
      <w:b/>
      <w:color w:val="000000"/>
      <w:sz w:val="24"/>
      <w:lang w:val="cs-CZ" w:eastAsia="cs-CZ" w:bidi="ar-SA"/>
    </w:rPr>
  </w:style>
  <w:style w:type="paragraph" w:styleId="Prosttext">
    <w:name w:val="Plain Text"/>
    <w:basedOn w:val="Normln"/>
    <w:link w:val="ProsttextChar"/>
    <w:rsid w:val="004E6AEA"/>
    <w:rPr>
      <w:rFonts w:ascii="Courier New" w:hAnsi="Courier New"/>
    </w:rPr>
  </w:style>
  <w:style w:type="character" w:customStyle="1" w:styleId="ProsttextChar">
    <w:name w:val="Prostý text Char"/>
    <w:link w:val="Prosttext"/>
    <w:rsid w:val="004E6AEA"/>
    <w:rPr>
      <w:rFonts w:ascii="Courier New" w:hAnsi="Courier New"/>
      <w:lang w:val="cs-CZ" w:eastAsia="cs-CZ" w:bidi="ar-SA"/>
    </w:rPr>
  </w:style>
  <w:style w:type="paragraph" w:styleId="Zkladntextodsazen">
    <w:name w:val="Body Text Indent"/>
    <w:basedOn w:val="Normln"/>
    <w:link w:val="ZkladntextodsazenChar"/>
    <w:rsid w:val="004E6AEA"/>
    <w:pPr>
      <w:ind w:firstLine="360"/>
    </w:pPr>
  </w:style>
  <w:style w:type="character" w:customStyle="1" w:styleId="ZkladntextodsazenChar">
    <w:name w:val="Základní text odsazený Char"/>
    <w:link w:val="Zkladntextodsazen"/>
    <w:rsid w:val="004E6AEA"/>
    <w:rPr>
      <w:sz w:val="24"/>
      <w:lang w:val="cs-CZ" w:eastAsia="cs-CZ" w:bidi="ar-SA"/>
    </w:rPr>
  </w:style>
  <w:style w:type="paragraph" w:styleId="Zkladntext">
    <w:name w:val="Body Text"/>
    <w:basedOn w:val="Normln"/>
    <w:link w:val="ZkladntextChar"/>
    <w:rsid w:val="004E6AEA"/>
    <w:rPr>
      <w:b/>
    </w:rPr>
  </w:style>
  <w:style w:type="character" w:customStyle="1" w:styleId="ZkladntextChar">
    <w:name w:val="Základní text Char"/>
    <w:link w:val="Zkladntext"/>
    <w:rsid w:val="004E6AEA"/>
    <w:rPr>
      <w:b/>
      <w:sz w:val="24"/>
      <w:lang w:val="cs-CZ" w:eastAsia="cs-CZ" w:bidi="ar-SA"/>
    </w:rPr>
  </w:style>
  <w:style w:type="paragraph" w:styleId="Textpoznpodarou">
    <w:name w:val="footnote text"/>
    <w:basedOn w:val="Normln"/>
    <w:link w:val="TextpoznpodarouChar"/>
    <w:semiHidden/>
    <w:rsid w:val="004E6AEA"/>
  </w:style>
  <w:style w:type="character" w:customStyle="1" w:styleId="TextpoznpodarouChar">
    <w:name w:val="Text pozn. pod čarou Char"/>
    <w:link w:val="Textpoznpodarou"/>
    <w:semiHidden/>
    <w:rsid w:val="004E6AEA"/>
    <w:rPr>
      <w:lang w:val="cs-CZ" w:eastAsia="cs-CZ" w:bidi="ar-SA"/>
    </w:rPr>
  </w:style>
  <w:style w:type="character" w:styleId="Znakapoznpodarou">
    <w:name w:val="footnote reference"/>
    <w:semiHidden/>
    <w:rsid w:val="004E6AEA"/>
    <w:rPr>
      <w:vertAlign w:val="superscript"/>
    </w:rPr>
  </w:style>
  <w:style w:type="paragraph" w:customStyle="1" w:styleId="Prosttext1">
    <w:name w:val="Prostý text1"/>
    <w:basedOn w:val="Normln"/>
    <w:rsid w:val="004E6AEA"/>
    <w:pPr>
      <w:overflowPunct w:val="0"/>
      <w:autoSpaceDE w:val="0"/>
      <w:autoSpaceDN w:val="0"/>
      <w:adjustRightInd w:val="0"/>
      <w:textAlignment w:val="baseline"/>
    </w:pPr>
    <w:rPr>
      <w:rFonts w:ascii="Courier New" w:hAnsi="Courier New"/>
    </w:rPr>
  </w:style>
  <w:style w:type="paragraph" w:styleId="Normlnweb">
    <w:name w:val="Normal (Web)"/>
    <w:basedOn w:val="Normln"/>
    <w:rsid w:val="004E6AEA"/>
    <w:pPr>
      <w:spacing w:before="100" w:beforeAutospacing="1" w:after="100" w:afterAutospacing="1"/>
    </w:pPr>
  </w:style>
  <w:style w:type="paragraph" w:styleId="Bezmezer">
    <w:name w:val="No Spacing"/>
    <w:link w:val="BezmezerChar"/>
    <w:qFormat/>
    <w:rsid w:val="004E6AEA"/>
    <w:rPr>
      <w:sz w:val="22"/>
      <w:szCs w:val="22"/>
      <w:lang w:eastAsia="en-US"/>
    </w:rPr>
  </w:style>
  <w:style w:type="paragraph" w:customStyle="1" w:styleId="Default">
    <w:name w:val="Default"/>
    <w:rsid w:val="004E6AEA"/>
    <w:pPr>
      <w:autoSpaceDE w:val="0"/>
      <w:autoSpaceDN w:val="0"/>
      <w:adjustRightInd w:val="0"/>
    </w:pPr>
    <w:rPr>
      <w:color w:val="000000"/>
      <w:sz w:val="24"/>
      <w:szCs w:val="24"/>
    </w:rPr>
  </w:style>
  <w:style w:type="paragraph" w:customStyle="1" w:styleId="firstpara">
    <w:name w:val="firstpara"/>
    <w:basedOn w:val="Normln"/>
    <w:rsid w:val="004E6AEA"/>
    <w:pPr>
      <w:keepLines/>
      <w:spacing w:line="260" w:lineRule="exact"/>
      <w:ind w:left="840"/>
    </w:pPr>
    <w:rPr>
      <w:rFonts w:ascii="Garamond" w:hAnsi="Garamond"/>
      <w:noProof/>
      <w:lang w:val="en-US" w:eastAsia="en-US"/>
    </w:rPr>
  </w:style>
  <w:style w:type="paragraph" w:styleId="Textbubliny">
    <w:name w:val="Balloon Text"/>
    <w:basedOn w:val="Normln"/>
    <w:semiHidden/>
    <w:rsid w:val="004E6AEA"/>
    <w:rPr>
      <w:rFonts w:ascii="Tahoma" w:hAnsi="Tahoma" w:cs="Tahoma"/>
      <w:sz w:val="16"/>
      <w:szCs w:val="16"/>
    </w:rPr>
  </w:style>
  <w:style w:type="character" w:styleId="Odkaznakoment">
    <w:name w:val="annotation reference"/>
    <w:rsid w:val="002844E3"/>
    <w:rPr>
      <w:sz w:val="16"/>
      <w:szCs w:val="16"/>
    </w:rPr>
  </w:style>
  <w:style w:type="paragraph" w:styleId="Textkomente">
    <w:name w:val="annotation text"/>
    <w:basedOn w:val="Normln"/>
    <w:link w:val="TextkomenteChar"/>
    <w:rsid w:val="002844E3"/>
  </w:style>
  <w:style w:type="character" w:customStyle="1" w:styleId="TextkomenteChar">
    <w:name w:val="Text komentáře Char"/>
    <w:basedOn w:val="Standardnpsmoodstavce"/>
    <w:link w:val="Textkomente"/>
    <w:rsid w:val="002844E3"/>
  </w:style>
  <w:style w:type="paragraph" w:styleId="Pedmtkomente">
    <w:name w:val="annotation subject"/>
    <w:basedOn w:val="Textkomente"/>
    <w:next w:val="Textkomente"/>
    <w:link w:val="PedmtkomenteChar"/>
    <w:rsid w:val="002844E3"/>
    <w:rPr>
      <w:b/>
      <w:bCs/>
    </w:rPr>
  </w:style>
  <w:style w:type="character" w:customStyle="1" w:styleId="PedmtkomenteChar">
    <w:name w:val="Předmět komentáře Char"/>
    <w:link w:val="Pedmtkomente"/>
    <w:rsid w:val="002844E3"/>
    <w:rPr>
      <w:b/>
      <w:bCs/>
    </w:rPr>
  </w:style>
  <w:style w:type="character" w:styleId="Hypertextovodkaz">
    <w:name w:val="Hyperlink"/>
    <w:rsid w:val="001B2FFE"/>
    <w:rPr>
      <w:color w:val="0563C1"/>
      <w:u w:val="single"/>
    </w:rPr>
  </w:style>
  <w:style w:type="character" w:styleId="Sledovanodkaz">
    <w:name w:val="FollowedHyperlink"/>
    <w:rsid w:val="00B00DC6"/>
    <w:rPr>
      <w:color w:val="954F72"/>
      <w:u w:val="single"/>
    </w:rPr>
  </w:style>
  <w:style w:type="paragraph" w:customStyle="1" w:styleId="Podarou">
    <w:name w:val="Pod čarou"/>
    <w:basedOn w:val="Textpoznpodarou"/>
    <w:link w:val="PodarouChar"/>
    <w:qFormat/>
    <w:rsid w:val="00EA45DB"/>
    <w:pPr>
      <w:spacing w:before="0" w:line="240" w:lineRule="auto"/>
      <w:ind w:firstLine="0"/>
      <w:jc w:val="left"/>
    </w:pPr>
    <w:rPr>
      <w:sz w:val="22"/>
    </w:rPr>
  </w:style>
  <w:style w:type="paragraph" w:customStyle="1" w:styleId="slovn">
    <w:name w:val="číslování"/>
    <w:basedOn w:val="Normln"/>
    <w:link w:val="slovnChar"/>
    <w:qFormat/>
    <w:rsid w:val="000959CF"/>
    <w:pPr>
      <w:numPr>
        <w:numId w:val="13"/>
      </w:numPr>
      <w:spacing w:before="0"/>
      <w:ind w:left="1066" w:hanging="357"/>
    </w:pPr>
    <w:rPr>
      <w:i/>
    </w:rPr>
  </w:style>
  <w:style w:type="character" w:customStyle="1" w:styleId="PodarouChar">
    <w:name w:val="Pod čarou Char"/>
    <w:link w:val="Podarou"/>
    <w:rsid w:val="00EA45DB"/>
    <w:rPr>
      <w:sz w:val="22"/>
      <w:szCs w:val="24"/>
    </w:rPr>
  </w:style>
  <w:style w:type="paragraph" w:customStyle="1" w:styleId="slovn2">
    <w:name w:val="Číslování 2"/>
    <w:basedOn w:val="Normln"/>
    <w:link w:val="slovn2Char"/>
    <w:qFormat/>
    <w:rsid w:val="000959CF"/>
  </w:style>
  <w:style w:type="character" w:customStyle="1" w:styleId="slovnChar">
    <w:name w:val="číslování Char"/>
    <w:link w:val="slovn"/>
    <w:rsid w:val="000959CF"/>
    <w:rPr>
      <w:i/>
      <w:sz w:val="24"/>
      <w:szCs w:val="24"/>
    </w:rPr>
  </w:style>
  <w:style w:type="paragraph" w:customStyle="1" w:styleId="slovn3a">
    <w:name w:val="číslování 3a"/>
    <w:basedOn w:val="slovn2"/>
    <w:link w:val="slovn3aChar"/>
    <w:qFormat/>
    <w:rsid w:val="00284737"/>
    <w:pPr>
      <w:numPr>
        <w:numId w:val="16"/>
      </w:numPr>
      <w:spacing w:before="0"/>
    </w:pPr>
  </w:style>
  <w:style w:type="character" w:customStyle="1" w:styleId="slovn2Char">
    <w:name w:val="Číslování 2 Char"/>
    <w:link w:val="slovn2"/>
    <w:rsid w:val="000959CF"/>
    <w:rPr>
      <w:sz w:val="24"/>
      <w:szCs w:val="24"/>
    </w:rPr>
  </w:style>
  <w:style w:type="paragraph" w:styleId="Revize">
    <w:name w:val="Revision"/>
    <w:hidden/>
    <w:uiPriority w:val="99"/>
    <w:semiHidden/>
    <w:rsid w:val="00507F89"/>
    <w:rPr>
      <w:sz w:val="24"/>
      <w:szCs w:val="24"/>
    </w:rPr>
  </w:style>
  <w:style w:type="character" w:customStyle="1" w:styleId="slovn3aChar">
    <w:name w:val="číslování 3a Char"/>
    <w:link w:val="slovn3a"/>
    <w:rsid w:val="00284737"/>
    <w:rPr>
      <w:sz w:val="24"/>
      <w:szCs w:val="24"/>
    </w:rPr>
  </w:style>
  <w:style w:type="character" w:customStyle="1" w:styleId="A2">
    <w:name w:val="A2"/>
    <w:uiPriority w:val="99"/>
    <w:rsid w:val="002B1D4C"/>
    <w:rPr>
      <w:i/>
      <w:iCs/>
      <w:color w:val="000000"/>
    </w:rPr>
  </w:style>
  <w:style w:type="paragraph" w:customStyle="1" w:styleId="Odrka">
    <w:name w:val="Odrážka"/>
    <w:basedOn w:val="Bezmezer"/>
    <w:link w:val="OdrkaChar"/>
    <w:qFormat/>
    <w:rsid w:val="008E7912"/>
    <w:pPr>
      <w:numPr>
        <w:numId w:val="6"/>
      </w:numPr>
    </w:pPr>
    <w:rPr>
      <w:sz w:val="24"/>
      <w:szCs w:val="24"/>
    </w:rPr>
  </w:style>
  <w:style w:type="character" w:customStyle="1" w:styleId="BezmezerChar">
    <w:name w:val="Bez mezer Char"/>
    <w:link w:val="Bezmezer"/>
    <w:rsid w:val="008E7912"/>
    <w:rPr>
      <w:sz w:val="22"/>
      <w:szCs w:val="22"/>
      <w:lang w:eastAsia="en-US"/>
    </w:rPr>
  </w:style>
  <w:style w:type="character" w:customStyle="1" w:styleId="OdrkaChar">
    <w:name w:val="Odrážka Char"/>
    <w:link w:val="Odrka"/>
    <w:rsid w:val="008E7912"/>
    <w:rPr>
      <w:sz w:val="24"/>
      <w:szCs w:val="24"/>
      <w:lang w:eastAsia="en-US"/>
    </w:rPr>
  </w:style>
  <w:style w:type="paragraph" w:customStyle="1" w:styleId="Normln2">
    <w:name w:val="Normální2"/>
    <w:basedOn w:val="Nadpis2"/>
    <w:link w:val="Normln2Char"/>
    <w:qFormat/>
    <w:rsid w:val="00680327"/>
    <w:pPr>
      <w:spacing w:before="120" w:after="120"/>
      <w:ind w:right="-2410" w:firstLine="0"/>
    </w:pPr>
    <w:rPr>
      <w:rFonts w:ascii="Tahoma" w:hAnsi="Tahoma"/>
      <w:b/>
      <w:color w:val="auto"/>
      <w:sz w:val="21"/>
      <w:lang w:eastAsia="en-US"/>
    </w:rPr>
  </w:style>
  <w:style w:type="character" w:customStyle="1" w:styleId="Normln2Char">
    <w:name w:val="Normální2 Char"/>
    <w:basedOn w:val="Standardnpsmoodstavce"/>
    <w:link w:val="Normln2"/>
    <w:rsid w:val="00680327"/>
    <w:rPr>
      <w:rFonts w:ascii="Tahoma" w:eastAsiaTheme="majorEastAsia" w:hAnsi="Tahoma" w:cstheme="majorBidi"/>
      <w:b/>
      <w:sz w:val="21"/>
      <w:szCs w:val="26"/>
      <w:lang w:eastAsia="en-US"/>
    </w:rPr>
  </w:style>
  <w:style w:type="character" w:customStyle="1" w:styleId="Nadpis2Char">
    <w:name w:val="Nadpis 2 Char"/>
    <w:basedOn w:val="Standardnpsmoodstavce"/>
    <w:link w:val="Nadpis2"/>
    <w:semiHidden/>
    <w:rsid w:val="00680327"/>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BD627A"/>
    <w:pPr>
      <w:spacing w:before="0" w:after="160" w:line="259" w:lineRule="auto"/>
      <w:ind w:left="720" w:firstLine="0"/>
      <w:contextualSpacing/>
      <w:jc w:val="left"/>
    </w:pPr>
    <w:rPr>
      <w:rFonts w:asciiTheme="minorHAnsi" w:eastAsiaTheme="minorHAnsi" w:hAnsiTheme="minorHAnsi" w:cstheme="minorBidi"/>
      <w:sz w:val="22"/>
      <w:szCs w:val="22"/>
      <w:lang w:eastAsia="en-US"/>
    </w:rPr>
  </w:style>
  <w:style w:type="character" w:styleId="Siln">
    <w:name w:val="Strong"/>
    <w:basedOn w:val="Standardnpsmoodstavce"/>
    <w:uiPriority w:val="22"/>
    <w:qFormat/>
    <w:rsid w:val="005F0357"/>
    <w:rPr>
      <w:b/>
      <w:bCs/>
    </w:rPr>
  </w:style>
  <w:style w:type="paragraph" w:styleId="Zhlav">
    <w:name w:val="header"/>
    <w:basedOn w:val="Normln"/>
    <w:link w:val="ZhlavChar"/>
    <w:unhideWhenUsed/>
    <w:rsid w:val="000C60BE"/>
    <w:pPr>
      <w:tabs>
        <w:tab w:val="center" w:pos="4536"/>
        <w:tab w:val="right" w:pos="9072"/>
      </w:tabs>
      <w:spacing w:before="0" w:line="240" w:lineRule="auto"/>
    </w:pPr>
  </w:style>
  <w:style w:type="character" w:customStyle="1" w:styleId="ZhlavChar">
    <w:name w:val="Záhlaví Char"/>
    <w:basedOn w:val="Standardnpsmoodstavce"/>
    <w:link w:val="Zhlav"/>
    <w:rsid w:val="000C60BE"/>
    <w:rPr>
      <w:sz w:val="24"/>
      <w:szCs w:val="24"/>
    </w:rPr>
  </w:style>
  <w:style w:type="paragraph" w:styleId="Zpat">
    <w:name w:val="footer"/>
    <w:basedOn w:val="Normln"/>
    <w:link w:val="ZpatChar"/>
    <w:unhideWhenUsed/>
    <w:rsid w:val="000C60BE"/>
    <w:pPr>
      <w:tabs>
        <w:tab w:val="center" w:pos="4536"/>
        <w:tab w:val="right" w:pos="9072"/>
      </w:tabs>
      <w:spacing w:before="0" w:line="240" w:lineRule="auto"/>
    </w:pPr>
  </w:style>
  <w:style w:type="character" w:customStyle="1" w:styleId="ZpatChar">
    <w:name w:val="Zápatí Char"/>
    <w:basedOn w:val="Standardnpsmoodstavce"/>
    <w:link w:val="Zpat"/>
    <w:rsid w:val="000C60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4882"/>
    <w:pPr>
      <w:spacing w:before="120" w:line="276" w:lineRule="auto"/>
      <w:ind w:firstLine="709"/>
      <w:jc w:val="both"/>
    </w:pPr>
    <w:rPr>
      <w:sz w:val="24"/>
      <w:szCs w:val="24"/>
    </w:rPr>
  </w:style>
  <w:style w:type="paragraph" w:styleId="Nadpis1">
    <w:name w:val="heading 1"/>
    <w:basedOn w:val="Normln"/>
    <w:next w:val="Normln"/>
    <w:link w:val="Nadpis1Char"/>
    <w:qFormat/>
    <w:rsid w:val="004A7F5A"/>
    <w:pPr>
      <w:jc w:val="center"/>
      <w:outlineLvl w:val="0"/>
    </w:pPr>
    <w:rPr>
      <w:b/>
      <w:bCs/>
    </w:rPr>
  </w:style>
  <w:style w:type="paragraph" w:styleId="Nadpis2">
    <w:name w:val="heading 2"/>
    <w:basedOn w:val="Normln"/>
    <w:next w:val="Normln"/>
    <w:link w:val="Nadpis2Char"/>
    <w:semiHidden/>
    <w:unhideWhenUsed/>
    <w:qFormat/>
    <w:rsid w:val="006803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aliases w:val="Nadpis 2 centr"/>
    <w:basedOn w:val="Nadpis1"/>
    <w:next w:val="Normln"/>
    <w:link w:val="Nadpis4Char"/>
    <w:qFormat/>
    <w:rsid w:val="006D5754"/>
    <w:pPr>
      <w:spacing w:before="240" w:after="240"/>
      <w:ind w:firstLine="0"/>
      <w:outlineLvl w:val="3"/>
    </w:pPr>
  </w:style>
  <w:style w:type="paragraph" w:styleId="Nadpis5">
    <w:name w:val="heading 5"/>
    <w:basedOn w:val="Normln"/>
    <w:next w:val="Normln"/>
    <w:link w:val="Nadpis5Char"/>
    <w:qFormat/>
    <w:rsid w:val="004E6AEA"/>
    <w:pPr>
      <w:keepNext/>
      <w:jc w:val="center"/>
      <w:outlineLvl w:val="4"/>
    </w:pPr>
    <w:rPr>
      <w:b/>
      <w:color w:val="000000"/>
    </w:rPr>
  </w:style>
  <w:style w:type="paragraph" w:styleId="Nadpis6">
    <w:name w:val="heading 6"/>
    <w:basedOn w:val="Normln"/>
    <w:next w:val="Normln"/>
    <w:link w:val="Nadpis6Char"/>
    <w:qFormat/>
    <w:rsid w:val="004E6AEA"/>
    <w:pPr>
      <w:keepNext/>
      <w:ind w:firstLine="360"/>
      <w:jc w:val="center"/>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1E1B80"/>
    <w:pPr>
      <w:framePr w:w="7920" w:h="1980" w:hRule="exact" w:hSpace="141" w:wrap="auto" w:hAnchor="page" w:xAlign="center" w:yAlign="bottom"/>
      <w:ind w:left="2880"/>
    </w:pPr>
    <w:rPr>
      <w:rFonts w:cs="Arial"/>
      <w:i/>
      <w:sz w:val="28"/>
    </w:rPr>
  </w:style>
  <w:style w:type="character" w:customStyle="1" w:styleId="Nadpis1Char">
    <w:name w:val="Nadpis 1 Char"/>
    <w:link w:val="Nadpis1"/>
    <w:rsid w:val="004A7F5A"/>
    <w:rPr>
      <w:b/>
      <w:bCs/>
      <w:sz w:val="24"/>
      <w:szCs w:val="24"/>
    </w:rPr>
  </w:style>
  <w:style w:type="character" w:customStyle="1" w:styleId="Nadpis4Char">
    <w:name w:val="Nadpis 4 Char"/>
    <w:aliases w:val="Nadpis 2 centr Char"/>
    <w:link w:val="Nadpis4"/>
    <w:rsid w:val="006D5754"/>
    <w:rPr>
      <w:b/>
      <w:bCs/>
      <w:sz w:val="24"/>
      <w:szCs w:val="24"/>
    </w:rPr>
  </w:style>
  <w:style w:type="character" w:customStyle="1" w:styleId="Nadpis5Char">
    <w:name w:val="Nadpis 5 Char"/>
    <w:link w:val="Nadpis5"/>
    <w:rsid w:val="004E6AEA"/>
    <w:rPr>
      <w:b/>
      <w:color w:val="000000"/>
      <w:sz w:val="24"/>
      <w:lang w:val="cs-CZ" w:eastAsia="cs-CZ" w:bidi="ar-SA"/>
    </w:rPr>
  </w:style>
  <w:style w:type="character" w:customStyle="1" w:styleId="Nadpis6Char">
    <w:name w:val="Nadpis 6 Char"/>
    <w:link w:val="Nadpis6"/>
    <w:rsid w:val="004E6AEA"/>
    <w:rPr>
      <w:b/>
      <w:color w:val="000000"/>
      <w:sz w:val="24"/>
      <w:lang w:val="cs-CZ" w:eastAsia="cs-CZ" w:bidi="ar-SA"/>
    </w:rPr>
  </w:style>
  <w:style w:type="paragraph" w:styleId="Prosttext">
    <w:name w:val="Plain Text"/>
    <w:basedOn w:val="Normln"/>
    <w:link w:val="ProsttextChar"/>
    <w:rsid w:val="004E6AEA"/>
    <w:rPr>
      <w:rFonts w:ascii="Courier New" w:hAnsi="Courier New"/>
    </w:rPr>
  </w:style>
  <w:style w:type="character" w:customStyle="1" w:styleId="ProsttextChar">
    <w:name w:val="Prostý text Char"/>
    <w:link w:val="Prosttext"/>
    <w:rsid w:val="004E6AEA"/>
    <w:rPr>
      <w:rFonts w:ascii="Courier New" w:hAnsi="Courier New"/>
      <w:lang w:val="cs-CZ" w:eastAsia="cs-CZ" w:bidi="ar-SA"/>
    </w:rPr>
  </w:style>
  <w:style w:type="paragraph" w:styleId="Zkladntextodsazen">
    <w:name w:val="Body Text Indent"/>
    <w:basedOn w:val="Normln"/>
    <w:link w:val="ZkladntextodsazenChar"/>
    <w:rsid w:val="004E6AEA"/>
    <w:pPr>
      <w:ind w:firstLine="360"/>
    </w:pPr>
  </w:style>
  <w:style w:type="character" w:customStyle="1" w:styleId="ZkladntextodsazenChar">
    <w:name w:val="Základní text odsazený Char"/>
    <w:link w:val="Zkladntextodsazen"/>
    <w:rsid w:val="004E6AEA"/>
    <w:rPr>
      <w:sz w:val="24"/>
      <w:lang w:val="cs-CZ" w:eastAsia="cs-CZ" w:bidi="ar-SA"/>
    </w:rPr>
  </w:style>
  <w:style w:type="paragraph" w:styleId="Zkladntext">
    <w:name w:val="Body Text"/>
    <w:basedOn w:val="Normln"/>
    <w:link w:val="ZkladntextChar"/>
    <w:rsid w:val="004E6AEA"/>
    <w:rPr>
      <w:b/>
    </w:rPr>
  </w:style>
  <w:style w:type="character" w:customStyle="1" w:styleId="ZkladntextChar">
    <w:name w:val="Základní text Char"/>
    <w:link w:val="Zkladntext"/>
    <w:rsid w:val="004E6AEA"/>
    <w:rPr>
      <w:b/>
      <w:sz w:val="24"/>
      <w:lang w:val="cs-CZ" w:eastAsia="cs-CZ" w:bidi="ar-SA"/>
    </w:rPr>
  </w:style>
  <w:style w:type="paragraph" w:styleId="Textpoznpodarou">
    <w:name w:val="footnote text"/>
    <w:basedOn w:val="Normln"/>
    <w:link w:val="TextpoznpodarouChar"/>
    <w:semiHidden/>
    <w:rsid w:val="004E6AEA"/>
  </w:style>
  <w:style w:type="character" w:customStyle="1" w:styleId="TextpoznpodarouChar">
    <w:name w:val="Text pozn. pod čarou Char"/>
    <w:link w:val="Textpoznpodarou"/>
    <w:semiHidden/>
    <w:rsid w:val="004E6AEA"/>
    <w:rPr>
      <w:lang w:val="cs-CZ" w:eastAsia="cs-CZ" w:bidi="ar-SA"/>
    </w:rPr>
  </w:style>
  <w:style w:type="character" w:styleId="Znakapoznpodarou">
    <w:name w:val="footnote reference"/>
    <w:semiHidden/>
    <w:rsid w:val="004E6AEA"/>
    <w:rPr>
      <w:vertAlign w:val="superscript"/>
    </w:rPr>
  </w:style>
  <w:style w:type="paragraph" w:customStyle="1" w:styleId="Prosttext1">
    <w:name w:val="Prostý text1"/>
    <w:basedOn w:val="Normln"/>
    <w:rsid w:val="004E6AEA"/>
    <w:pPr>
      <w:overflowPunct w:val="0"/>
      <w:autoSpaceDE w:val="0"/>
      <w:autoSpaceDN w:val="0"/>
      <w:adjustRightInd w:val="0"/>
      <w:textAlignment w:val="baseline"/>
    </w:pPr>
    <w:rPr>
      <w:rFonts w:ascii="Courier New" w:hAnsi="Courier New"/>
    </w:rPr>
  </w:style>
  <w:style w:type="paragraph" w:styleId="Normlnweb">
    <w:name w:val="Normal (Web)"/>
    <w:basedOn w:val="Normln"/>
    <w:rsid w:val="004E6AEA"/>
    <w:pPr>
      <w:spacing w:before="100" w:beforeAutospacing="1" w:after="100" w:afterAutospacing="1"/>
    </w:pPr>
  </w:style>
  <w:style w:type="paragraph" w:styleId="Bezmezer">
    <w:name w:val="No Spacing"/>
    <w:link w:val="BezmezerChar"/>
    <w:qFormat/>
    <w:rsid w:val="004E6AEA"/>
    <w:rPr>
      <w:sz w:val="22"/>
      <w:szCs w:val="22"/>
      <w:lang w:eastAsia="en-US"/>
    </w:rPr>
  </w:style>
  <w:style w:type="paragraph" w:customStyle="1" w:styleId="Default">
    <w:name w:val="Default"/>
    <w:rsid w:val="004E6AEA"/>
    <w:pPr>
      <w:autoSpaceDE w:val="0"/>
      <w:autoSpaceDN w:val="0"/>
      <w:adjustRightInd w:val="0"/>
    </w:pPr>
    <w:rPr>
      <w:color w:val="000000"/>
      <w:sz w:val="24"/>
      <w:szCs w:val="24"/>
    </w:rPr>
  </w:style>
  <w:style w:type="paragraph" w:customStyle="1" w:styleId="firstpara">
    <w:name w:val="firstpara"/>
    <w:basedOn w:val="Normln"/>
    <w:rsid w:val="004E6AEA"/>
    <w:pPr>
      <w:keepLines/>
      <w:spacing w:line="260" w:lineRule="exact"/>
      <w:ind w:left="840"/>
    </w:pPr>
    <w:rPr>
      <w:rFonts w:ascii="Garamond" w:hAnsi="Garamond"/>
      <w:noProof/>
      <w:lang w:val="en-US" w:eastAsia="en-US"/>
    </w:rPr>
  </w:style>
  <w:style w:type="paragraph" w:styleId="Textbubliny">
    <w:name w:val="Balloon Text"/>
    <w:basedOn w:val="Normln"/>
    <w:semiHidden/>
    <w:rsid w:val="004E6AEA"/>
    <w:rPr>
      <w:rFonts w:ascii="Tahoma" w:hAnsi="Tahoma" w:cs="Tahoma"/>
      <w:sz w:val="16"/>
      <w:szCs w:val="16"/>
    </w:rPr>
  </w:style>
  <w:style w:type="character" w:styleId="Odkaznakoment">
    <w:name w:val="annotation reference"/>
    <w:rsid w:val="002844E3"/>
    <w:rPr>
      <w:sz w:val="16"/>
      <w:szCs w:val="16"/>
    </w:rPr>
  </w:style>
  <w:style w:type="paragraph" w:styleId="Textkomente">
    <w:name w:val="annotation text"/>
    <w:basedOn w:val="Normln"/>
    <w:link w:val="TextkomenteChar"/>
    <w:rsid w:val="002844E3"/>
  </w:style>
  <w:style w:type="character" w:customStyle="1" w:styleId="TextkomenteChar">
    <w:name w:val="Text komentáře Char"/>
    <w:basedOn w:val="Standardnpsmoodstavce"/>
    <w:link w:val="Textkomente"/>
    <w:rsid w:val="002844E3"/>
  </w:style>
  <w:style w:type="paragraph" w:styleId="Pedmtkomente">
    <w:name w:val="annotation subject"/>
    <w:basedOn w:val="Textkomente"/>
    <w:next w:val="Textkomente"/>
    <w:link w:val="PedmtkomenteChar"/>
    <w:rsid w:val="002844E3"/>
    <w:rPr>
      <w:b/>
      <w:bCs/>
    </w:rPr>
  </w:style>
  <w:style w:type="character" w:customStyle="1" w:styleId="PedmtkomenteChar">
    <w:name w:val="Předmět komentáře Char"/>
    <w:link w:val="Pedmtkomente"/>
    <w:rsid w:val="002844E3"/>
    <w:rPr>
      <w:b/>
      <w:bCs/>
    </w:rPr>
  </w:style>
  <w:style w:type="character" w:styleId="Hypertextovodkaz">
    <w:name w:val="Hyperlink"/>
    <w:rsid w:val="001B2FFE"/>
    <w:rPr>
      <w:color w:val="0563C1"/>
      <w:u w:val="single"/>
    </w:rPr>
  </w:style>
  <w:style w:type="character" w:styleId="Sledovanodkaz">
    <w:name w:val="FollowedHyperlink"/>
    <w:rsid w:val="00B00DC6"/>
    <w:rPr>
      <w:color w:val="954F72"/>
      <w:u w:val="single"/>
    </w:rPr>
  </w:style>
  <w:style w:type="paragraph" w:customStyle="1" w:styleId="Podarou">
    <w:name w:val="Pod čarou"/>
    <w:basedOn w:val="Textpoznpodarou"/>
    <w:link w:val="PodarouChar"/>
    <w:qFormat/>
    <w:rsid w:val="00EA45DB"/>
    <w:pPr>
      <w:spacing w:before="0" w:line="240" w:lineRule="auto"/>
      <w:ind w:firstLine="0"/>
      <w:jc w:val="left"/>
    </w:pPr>
    <w:rPr>
      <w:sz w:val="22"/>
    </w:rPr>
  </w:style>
  <w:style w:type="paragraph" w:customStyle="1" w:styleId="slovn">
    <w:name w:val="číslování"/>
    <w:basedOn w:val="Normln"/>
    <w:link w:val="slovnChar"/>
    <w:qFormat/>
    <w:rsid w:val="000959CF"/>
    <w:pPr>
      <w:numPr>
        <w:numId w:val="13"/>
      </w:numPr>
      <w:spacing w:before="0"/>
      <w:ind w:left="1066" w:hanging="357"/>
    </w:pPr>
    <w:rPr>
      <w:i/>
    </w:rPr>
  </w:style>
  <w:style w:type="character" w:customStyle="1" w:styleId="PodarouChar">
    <w:name w:val="Pod čarou Char"/>
    <w:link w:val="Podarou"/>
    <w:rsid w:val="00EA45DB"/>
    <w:rPr>
      <w:sz w:val="22"/>
      <w:szCs w:val="24"/>
    </w:rPr>
  </w:style>
  <w:style w:type="paragraph" w:customStyle="1" w:styleId="slovn2">
    <w:name w:val="Číslování 2"/>
    <w:basedOn w:val="Normln"/>
    <w:link w:val="slovn2Char"/>
    <w:qFormat/>
    <w:rsid w:val="000959CF"/>
  </w:style>
  <w:style w:type="character" w:customStyle="1" w:styleId="slovnChar">
    <w:name w:val="číslování Char"/>
    <w:link w:val="slovn"/>
    <w:rsid w:val="000959CF"/>
    <w:rPr>
      <w:i/>
      <w:sz w:val="24"/>
      <w:szCs w:val="24"/>
    </w:rPr>
  </w:style>
  <w:style w:type="paragraph" w:customStyle="1" w:styleId="slovn3a">
    <w:name w:val="číslování 3a"/>
    <w:basedOn w:val="slovn2"/>
    <w:link w:val="slovn3aChar"/>
    <w:qFormat/>
    <w:rsid w:val="00284737"/>
    <w:pPr>
      <w:numPr>
        <w:numId w:val="16"/>
      </w:numPr>
      <w:spacing w:before="0"/>
    </w:pPr>
  </w:style>
  <w:style w:type="character" w:customStyle="1" w:styleId="slovn2Char">
    <w:name w:val="Číslování 2 Char"/>
    <w:link w:val="slovn2"/>
    <w:rsid w:val="000959CF"/>
    <w:rPr>
      <w:sz w:val="24"/>
      <w:szCs w:val="24"/>
    </w:rPr>
  </w:style>
  <w:style w:type="paragraph" w:styleId="Revize">
    <w:name w:val="Revision"/>
    <w:hidden/>
    <w:uiPriority w:val="99"/>
    <w:semiHidden/>
    <w:rsid w:val="00507F89"/>
    <w:rPr>
      <w:sz w:val="24"/>
      <w:szCs w:val="24"/>
    </w:rPr>
  </w:style>
  <w:style w:type="character" w:customStyle="1" w:styleId="slovn3aChar">
    <w:name w:val="číslování 3a Char"/>
    <w:link w:val="slovn3a"/>
    <w:rsid w:val="00284737"/>
    <w:rPr>
      <w:sz w:val="24"/>
      <w:szCs w:val="24"/>
    </w:rPr>
  </w:style>
  <w:style w:type="character" w:customStyle="1" w:styleId="A2">
    <w:name w:val="A2"/>
    <w:uiPriority w:val="99"/>
    <w:rsid w:val="002B1D4C"/>
    <w:rPr>
      <w:i/>
      <w:iCs/>
      <w:color w:val="000000"/>
    </w:rPr>
  </w:style>
  <w:style w:type="paragraph" w:customStyle="1" w:styleId="Odrka">
    <w:name w:val="Odrážka"/>
    <w:basedOn w:val="Bezmezer"/>
    <w:link w:val="OdrkaChar"/>
    <w:qFormat/>
    <w:rsid w:val="008E7912"/>
    <w:pPr>
      <w:numPr>
        <w:numId w:val="6"/>
      </w:numPr>
    </w:pPr>
    <w:rPr>
      <w:sz w:val="24"/>
      <w:szCs w:val="24"/>
    </w:rPr>
  </w:style>
  <w:style w:type="character" w:customStyle="1" w:styleId="BezmezerChar">
    <w:name w:val="Bez mezer Char"/>
    <w:link w:val="Bezmezer"/>
    <w:rsid w:val="008E7912"/>
    <w:rPr>
      <w:sz w:val="22"/>
      <w:szCs w:val="22"/>
      <w:lang w:eastAsia="en-US"/>
    </w:rPr>
  </w:style>
  <w:style w:type="character" w:customStyle="1" w:styleId="OdrkaChar">
    <w:name w:val="Odrážka Char"/>
    <w:link w:val="Odrka"/>
    <w:rsid w:val="008E7912"/>
    <w:rPr>
      <w:sz w:val="24"/>
      <w:szCs w:val="24"/>
      <w:lang w:eastAsia="en-US"/>
    </w:rPr>
  </w:style>
  <w:style w:type="paragraph" w:customStyle="1" w:styleId="Normln2">
    <w:name w:val="Normální2"/>
    <w:basedOn w:val="Nadpis2"/>
    <w:link w:val="Normln2Char"/>
    <w:qFormat/>
    <w:rsid w:val="00680327"/>
    <w:pPr>
      <w:spacing w:before="120" w:after="120"/>
      <w:ind w:right="-2410" w:firstLine="0"/>
    </w:pPr>
    <w:rPr>
      <w:rFonts w:ascii="Tahoma" w:hAnsi="Tahoma"/>
      <w:b/>
      <w:color w:val="auto"/>
      <w:sz w:val="21"/>
      <w:lang w:eastAsia="en-US"/>
    </w:rPr>
  </w:style>
  <w:style w:type="character" w:customStyle="1" w:styleId="Normln2Char">
    <w:name w:val="Normální2 Char"/>
    <w:basedOn w:val="Standardnpsmoodstavce"/>
    <w:link w:val="Normln2"/>
    <w:rsid w:val="00680327"/>
    <w:rPr>
      <w:rFonts w:ascii="Tahoma" w:eastAsiaTheme="majorEastAsia" w:hAnsi="Tahoma" w:cstheme="majorBidi"/>
      <w:b/>
      <w:sz w:val="21"/>
      <w:szCs w:val="26"/>
      <w:lang w:eastAsia="en-US"/>
    </w:rPr>
  </w:style>
  <w:style w:type="character" w:customStyle="1" w:styleId="Nadpis2Char">
    <w:name w:val="Nadpis 2 Char"/>
    <w:basedOn w:val="Standardnpsmoodstavce"/>
    <w:link w:val="Nadpis2"/>
    <w:semiHidden/>
    <w:rsid w:val="00680327"/>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BD627A"/>
    <w:pPr>
      <w:spacing w:before="0" w:after="160" w:line="259" w:lineRule="auto"/>
      <w:ind w:left="720" w:firstLine="0"/>
      <w:contextualSpacing/>
      <w:jc w:val="left"/>
    </w:pPr>
    <w:rPr>
      <w:rFonts w:asciiTheme="minorHAnsi" w:eastAsiaTheme="minorHAnsi" w:hAnsiTheme="minorHAnsi" w:cstheme="minorBidi"/>
      <w:sz w:val="22"/>
      <w:szCs w:val="22"/>
      <w:lang w:eastAsia="en-US"/>
    </w:rPr>
  </w:style>
  <w:style w:type="character" w:styleId="Siln">
    <w:name w:val="Strong"/>
    <w:basedOn w:val="Standardnpsmoodstavce"/>
    <w:uiPriority w:val="22"/>
    <w:qFormat/>
    <w:rsid w:val="005F0357"/>
    <w:rPr>
      <w:b/>
      <w:bCs/>
    </w:rPr>
  </w:style>
  <w:style w:type="paragraph" w:styleId="Zhlav">
    <w:name w:val="header"/>
    <w:basedOn w:val="Normln"/>
    <w:link w:val="ZhlavChar"/>
    <w:unhideWhenUsed/>
    <w:rsid w:val="000C60BE"/>
    <w:pPr>
      <w:tabs>
        <w:tab w:val="center" w:pos="4536"/>
        <w:tab w:val="right" w:pos="9072"/>
      </w:tabs>
      <w:spacing w:before="0" w:line="240" w:lineRule="auto"/>
    </w:pPr>
  </w:style>
  <w:style w:type="character" w:customStyle="1" w:styleId="ZhlavChar">
    <w:name w:val="Záhlaví Char"/>
    <w:basedOn w:val="Standardnpsmoodstavce"/>
    <w:link w:val="Zhlav"/>
    <w:rsid w:val="000C60BE"/>
    <w:rPr>
      <w:sz w:val="24"/>
      <w:szCs w:val="24"/>
    </w:rPr>
  </w:style>
  <w:style w:type="paragraph" w:styleId="Zpat">
    <w:name w:val="footer"/>
    <w:basedOn w:val="Normln"/>
    <w:link w:val="ZpatChar"/>
    <w:unhideWhenUsed/>
    <w:rsid w:val="000C60BE"/>
    <w:pPr>
      <w:tabs>
        <w:tab w:val="center" w:pos="4536"/>
        <w:tab w:val="right" w:pos="9072"/>
      </w:tabs>
      <w:spacing w:before="0" w:line="240" w:lineRule="auto"/>
    </w:pPr>
  </w:style>
  <w:style w:type="character" w:customStyle="1" w:styleId="ZpatChar">
    <w:name w:val="Zápatí Char"/>
    <w:basedOn w:val="Standardnpsmoodstavce"/>
    <w:link w:val="Zpat"/>
    <w:rsid w:val="000C60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4272">
      <w:bodyDiv w:val="1"/>
      <w:marLeft w:val="0"/>
      <w:marRight w:val="0"/>
      <w:marTop w:val="0"/>
      <w:marBottom w:val="0"/>
      <w:divBdr>
        <w:top w:val="none" w:sz="0" w:space="0" w:color="auto"/>
        <w:left w:val="none" w:sz="0" w:space="0" w:color="auto"/>
        <w:bottom w:val="none" w:sz="0" w:space="0" w:color="auto"/>
        <w:right w:val="none" w:sz="0" w:space="0" w:color="auto"/>
      </w:divBdr>
      <w:divsChild>
        <w:div w:id="800801964">
          <w:marLeft w:val="0"/>
          <w:marRight w:val="0"/>
          <w:marTop w:val="30"/>
          <w:marBottom w:val="0"/>
          <w:divBdr>
            <w:top w:val="none" w:sz="0" w:space="0" w:color="auto"/>
            <w:left w:val="none" w:sz="0" w:space="0" w:color="auto"/>
            <w:bottom w:val="none" w:sz="0" w:space="0" w:color="auto"/>
            <w:right w:val="none" w:sz="0" w:space="0" w:color="auto"/>
          </w:divBdr>
        </w:div>
      </w:divsChild>
    </w:div>
    <w:div w:id="386805245">
      <w:bodyDiv w:val="1"/>
      <w:marLeft w:val="0"/>
      <w:marRight w:val="0"/>
      <w:marTop w:val="0"/>
      <w:marBottom w:val="0"/>
      <w:divBdr>
        <w:top w:val="none" w:sz="0" w:space="0" w:color="auto"/>
        <w:left w:val="none" w:sz="0" w:space="0" w:color="auto"/>
        <w:bottom w:val="none" w:sz="0" w:space="0" w:color="auto"/>
        <w:right w:val="none" w:sz="0" w:space="0" w:color="auto"/>
      </w:divBdr>
      <w:divsChild>
        <w:div w:id="429591306">
          <w:marLeft w:val="0"/>
          <w:marRight w:val="0"/>
          <w:marTop w:val="30"/>
          <w:marBottom w:val="0"/>
          <w:divBdr>
            <w:top w:val="none" w:sz="0" w:space="0" w:color="auto"/>
            <w:left w:val="none" w:sz="0" w:space="0" w:color="auto"/>
            <w:bottom w:val="none" w:sz="0" w:space="0" w:color="auto"/>
            <w:right w:val="none" w:sz="0" w:space="0" w:color="auto"/>
          </w:divBdr>
        </w:div>
      </w:divsChild>
    </w:div>
    <w:div w:id="691537344">
      <w:bodyDiv w:val="1"/>
      <w:marLeft w:val="0"/>
      <w:marRight w:val="0"/>
      <w:marTop w:val="0"/>
      <w:marBottom w:val="0"/>
      <w:divBdr>
        <w:top w:val="none" w:sz="0" w:space="0" w:color="auto"/>
        <w:left w:val="none" w:sz="0" w:space="0" w:color="auto"/>
        <w:bottom w:val="none" w:sz="0" w:space="0" w:color="auto"/>
        <w:right w:val="none" w:sz="0" w:space="0" w:color="auto"/>
      </w:divBdr>
    </w:div>
    <w:div w:id="1319267980">
      <w:bodyDiv w:val="1"/>
      <w:marLeft w:val="0"/>
      <w:marRight w:val="0"/>
      <w:marTop w:val="0"/>
      <w:marBottom w:val="0"/>
      <w:divBdr>
        <w:top w:val="none" w:sz="0" w:space="0" w:color="auto"/>
        <w:left w:val="none" w:sz="0" w:space="0" w:color="auto"/>
        <w:bottom w:val="none" w:sz="0" w:space="0" w:color="auto"/>
        <w:right w:val="none" w:sz="0" w:space="0" w:color="auto"/>
      </w:divBdr>
      <w:divsChild>
        <w:div w:id="920914777">
          <w:marLeft w:val="0"/>
          <w:marRight w:val="0"/>
          <w:marTop w:val="30"/>
          <w:marBottom w:val="0"/>
          <w:divBdr>
            <w:top w:val="none" w:sz="0" w:space="0" w:color="auto"/>
            <w:left w:val="none" w:sz="0" w:space="0" w:color="auto"/>
            <w:bottom w:val="none" w:sz="0" w:space="0" w:color="auto"/>
            <w:right w:val="none" w:sz="0" w:space="0" w:color="auto"/>
          </w:divBdr>
        </w:div>
      </w:divsChild>
    </w:div>
    <w:div w:id="1595015391">
      <w:bodyDiv w:val="1"/>
      <w:marLeft w:val="0"/>
      <w:marRight w:val="0"/>
      <w:marTop w:val="0"/>
      <w:marBottom w:val="0"/>
      <w:divBdr>
        <w:top w:val="none" w:sz="0" w:space="0" w:color="auto"/>
        <w:left w:val="none" w:sz="0" w:space="0" w:color="auto"/>
        <w:bottom w:val="none" w:sz="0" w:space="0" w:color="auto"/>
        <w:right w:val="none" w:sz="0" w:space="0" w:color="auto"/>
      </w:divBdr>
      <w:divsChild>
        <w:div w:id="526479874">
          <w:marLeft w:val="0"/>
          <w:marRight w:val="0"/>
          <w:marTop w:val="30"/>
          <w:marBottom w:val="0"/>
          <w:divBdr>
            <w:top w:val="none" w:sz="0" w:space="0" w:color="auto"/>
            <w:left w:val="none" w:sz="0" w:space="0" w:color="auto"/>
            <w:bottom w:val="none" w:sz="0" w:space="0" w:color="auto"/>
            <w:right w:val="none" w:sz="0" w:space="0" w:color="auto"/>
          </w:divBdr>
        </w:div>
      </w:divsChild>
    </w:div>
    <w:div w:id="1618442052">
      <w:bodyDiv w:val="1"/>
      <w:marLeft w:val="0"/>
      <w:marRight w:val="0"/>
      <w:marTop w:val="0"/>
      <w:marBottom w:val="0"/>
      <w:divBdr>
        <w:top w:val="none" w:sz="0" w:space="0" w:color="auto"/>
        <w:left w:val="none" w:sz="0" w:space="0" w:color="auto"/>
        <w:bottom w:val="none" w:sz="0" w:space="0" w:color="auto"/>
        <w:right w:val="none" w:sz="0" w:space="0" w:color="auto"/>
      </w:divBdr>
      <w:divsChild>
        <w:div w:id="1284314052">
          <w:marLeft w:val="547"/>
          <w:marRight w:val="0"/>
          <w:marTop w:val="134"/>
          <w:marBottom w:val="0"/>
          <w:divBdr>
            <w:top w:val="none" w:sz="0" w:space="0" w:color="auto"/>
            <w:left w:val="none" w:sz="0" w:space="0" w:color="auto"/>
            <w:bottom w:val="none" w:sz="0" w:space="0" w:color="auto"/>
            <w:right w:val="none" w:sz="0" w:space="0" w:color="auto"/>
          </w:divBdr>
        </w:div>
        <w:div w:id="267930914">
          <w:marLeft w:val="547"/>
          <w:marRight w:val="0"/>
          <w:marTop w:val="134"/>
          <w:marBottom w:val="0"/>
          <w:divBdr>
            <w:top w:val="none" w:sz="0" w:space="0" w:color="auto"/>
            <w:left w:val="none" w:sz="0" w:space="0" w:color="auto"/>
            <w:bottom w:val="none" w:sz="0" w:space="0" w:color="auto"/>
            <w:right w:val="none" w:sz="0" w:space="0" w:color="auto"/>
          </w:divBdr>
        </w:div>
        <w:div w:id="1466658666">
          <w:marLeft w:val="547"/>
          <w:marRight w:val="0"/>
          <w:marTop w:val="134"/>
          <w:marBottom w:val="0"/>
          <w:divBdr>
            <w:top w:val="none" w:sz="0" w:space="0" w:color="auto"/>
            <w:left w:val="none" w:sz="0" w:space="0" w:color="auto"/>
            <w:bottom w:val="none" w:sz="0" w:space="0" w:color="auto"/>
            <w:right w:val="none" w:sz="0" w:space="0" w:color="auto"/>
          </w:divBdr>
        </w:div>
      </w:divsChild>
    </w:div>
    <w:div w:id="1627616523">
      <w:bodyDiv w:val="1"/>
      <w:marLeft w:val="0"/>
      <w:marRight w:val="0"/>
      <w:marTop w:val="0"/>
      <w:marBottom w:val="0"/>
      <w:divBdr>
        <w:top w:val="none" w:sz="0" w:space="0" w:color="auto"/>
        <w:left w:val="none" w:sz="0" w:space="0" w:color="auto"/>
        <w:bottom w:val="none" w:sz="0" w:space="0" w:color="auto"/>
        <w:right w:val="none" w:sz="0" w:space="0" w:color="auto"/>
      </w:divBdr>
    </w:div>
    <w:div w:id="189007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ptejteseknihovny.cz/" TargetMode="External"/><Relationship Id="rId3" Type="http://schemas.openxmlformats.org/officeDocument/2006/relationships/hyperlink" Target="https://www.mkcr.cz/evidence-knihoven-adresar-knihoven-evidovanych-ministerstvem-kultury-a-souvisejici-informace-341.html" TargetMode="External"/><Relationship Id="rId7" Type="http://schemas.openxmlformats.org/officeDocument/2006/relationships/hyperlink" Target="https://www.caslin.cz/" TargetMode="External"/><Relationship Id="rId2" Type="http://schemas.openxmlformats.org/officeDocument/2006/relationships/hyperlink" Target="https://www.mkcr.cz/doc/cms_library/metodicke-vyjadreni-k-principu-rovnosti-podle-knihovniho-zakona_2-1079.pdf" TargetMode="External"/><Relationship Id="rId1" Type="http://schemas.openxmlformats.org/officeDocument/2006/relationships/hyperlink" Target="https://www.mkcr.cz/statni-kulturni-politika-69.html" TargetMode="External"/><Relationship Id="rId6" Type="http://schemas.openxmlformats.org/officeDocument/2006/relationships/hyperlink" Target="https://www.knihovny.cz/" TargetMode="External"/><Relationship Id="rId11" Type="http://schemas.openxmlformats.org/officeDocument/2006/relationships/hyperlink" Target="https://knihovnaplus.nkp.cz/archiv/2017-01/informace-a-konference/koncepce-celozivotniho-vzdelavani-knihovniku-czv" TargetMode="External"/><Relationship Id="rId5" Type="http://schemas.openxmlformats.org/officeDocument/2006/relationships/hyperlink" Target="https://ipk.nkp.cz/docs/Doporuceni_Vystavba_07_05_2012DEF.pdf" TargetMode="External"/><Relationship Id="rId10" Type="http://schemas.openxmlformats.org/officeDocument/2006/relationships/hyperlink" Target="https://ipk.nkp.cz/odborne-cinnosti/mereni-vykonu-a-kvality-v-knihovnach-1" TargetMode="External"/><Relationship Id="rId4" Type="http://schemas.openxmlformats.org/officeDocument/2006/relationships/hyperlink" Target="https://ipk.nkp.cz/docs/standard-pro-dobry-knihovni-fond" TargetMode="External"/><Relationship Id="rId9" Type="http://schemas.openxmlformats.org/officeDocument/2006/relationships/hyperlink" Target="http://www.pravidla-pristupnost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6179C-1D45-4CBA-961A-5E5E4B33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3225</Words>
  <Characters>19625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2019-12-18T09:32:00Z</dcterms:created>
  <dcterms:modified xsi:type="dcterms:W3CDTF">2019-12-18T11:42:00Z</dcterms:modified>
</cp:coreProperties>
</file>